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1D8CAA9">
      <w:pPr>
        <w:keepNext w:val="0"/>
        <w:keepLines w:val="0"/>
        <w:widowControl/>
        <w:suppressLineNumbers w:val="0"/>
        <w:spacing w:before="0" w:beforeAutospacing="0" w:after="2" w:afterAutospacing="0"/>
        <w:ind w:left="0" w:right="0"/>
        <w:rPr>
          <w:rFonts w:hint="eastAsia" w:ascii="仿宋_GB2312" w:hAnsi="宋体" w:eastAsia="仿宋_GB2312" w:cs="仿宋_GB2312"/>
          <w:sz w:val="21"/>
          <w:szCs w:val="21"/>
        </w:rPr>
      </w:pPr>
      <w:bookmarkStart w:id="0" w:name="_GoBack"/>
      <w:bookmarkEnd w:id="0"/>
      <w:r>
        <w:rPr>
          <w:rFonts w:hint="eastAsia" w:ascii="宋体" w:hAnsi="宋体" w:eastAsia="宋体" w:cs="宋体"/>
          <w:color w:val="000000"/>
          <w:sz w:val="32"/>
          <w:szCs w:val="32"/>
        </w:rPr>
        <w:t xml:space="preserve"> </w:t>
      </w:r>
      <w:r>
        <w:rPr>
          <w:rFonts w:hint="eastAsia" w:ascii="仿宋_GB2312" w:hAnsi="宋体" w:eastAsia="仿宋_GB2312" w:cs="仿宋_GB2312"/>
          <w:color w:val="000000"/>
          <w:sz w:val="21"/>
          <w:szCs w:val="21"/>
        </w:rPr>
        <w:t xml:space="preserve"> </w:t>
      </w:r>
    </w:p>
    <w:p w14:paraId="1797005E">
      <w:pPr>
        <w:keepNext w:val="0"/>
        <w:keepLines w:val="0"/>
        <w:widowControl/>
        <w:suppressLineNumbers w:val="0"/>
        <w:spacing w:before="0" w:beforeAutospacing="0" w:after="2" w:afterAutospacing="0"/>
        <w:ind w:left="0" w:right="0"/>
        <w:jc w:val="center"/>
        <w:rPr>
          <w:rFonts w:hint="eastAsia" w:ascii="仿宋_GB2312" w:hAnsi="宋体" w:eastAsia="仿宋_GB2312" w:cs="仿宋_GB2312"/>
          <w:color w:val="0000FF"/>
          <w:sz w:val="21"/>
          <w:szCs w:val="21"/>
        </w:rPr>
      </w:pPr>
      <w:r>
        <w:rPr>
          <w:rFonts w:hint="eastAsia" w:ascii="仿宋_GB2312" w:hAnsi="宋体" w:eastAsia="仿宋_GB2312" w:cs="仿宋_GB2312"/>
          <w:color w:val="000000"/>
          <w:sz w:val="44"/>
          <w:szCs w:val="44"/>
        </w:rPr>
        <w:t>2022年</w:t>
      </w:r>
      <w:r>
        <w:rPr>
          <w:rFonts w:hint="eastAsia" w:ascii="仿宋_GB2312" w:eastAsia="仿宋_GB2312" w:cs="仿宋_GB2312"/>
          <w:color w:val="000000"/>
          <w:sz w:val="44"/>
          <w:szCs w:val="44"/>
          <w:lang w:val="en-US" w:eastAsia="zh-CN"/>
        </w:rPr>
        <w:t>道县政协</w:t>
      </w:r>
      <w:r>
        <w:rPr>
          <w:rFonts w:hint="eastAsia" w:ascii="仿宋_GB2312" w:hAnsi="宋体" w:eastAsia="仿宋_GB2312" w:cs="仿宋_GB2312"/>
          <w:color w:val="000000"/>
          <w:sz w:val="44"/>
          <w:szCs w:val="44"/>
        </w:rPr>
        <w:t>部门预算</w:t>
      </w:r>
      <w:r>
        <w:rPr>
          <w:rFonts w:hint="eastAsia" w:ascii="仿宋_GB2312" w:hAnsi="宋体" w:eastAsia="仿宋_GB2312" w:cs="仿宋_GB2312"/>
          <w:color w:val="000000"/>
          <w:sz w:val="21"/>
          <w:szCs w:val="21"/>
        </w:rPr>
        <w:t xml:space="preserve"> </w:t>
      </w:r>
    </w:p>
    <w:p w14:paraId="526DE4E0">
      <w:pPr>
        <w:keepNext w:val="0"/>
        <w:keepLines w:val="0"/>
        <w:widowControl/>
        <w:suppressLineNumbers w:val="0"/>
        <w:spacing w:before="0" w:beforeAutospacing="0" w:after="2" w:afterAutospacing="0"/>
        <w:ind w:left="0" w:right="0"/>
        <w:jc w:val="center"/>
        <w:rPr>
          <w:rFonts w:hint="eastAsia" w:ascii="仿宋_GB2312" w:hAnsi="宋体" w:eastAsia="仿宋_GB2312" w:cs="仿宋_GB2312"/>
          <w:sz w:val="21"/>
          <w:szCs w:val="21"/>
        </w:rPr>
      </w:pPr>
      <w:r>
        <w:rPr>
          <w:rFonts w:hint="eastAsia" w:ascii="宋体" w:hAnsi="宋体" w:eastAsia="宋体" w:cs="宋体"/>
          <w:color w:val="000000"/>
          <w:sz w:val="32"/>
          <w:szCs w:val="32"/>
        </w:rPr>
        <w:t xml:space="preserve"> </w:t>
      </w:r>
      <w:r>
        <w:rPr>
          <w:rFonts w:hint="eastAsia" w:ascii="仿宋_GB2312" w:hAnsi="宋体" w:eastAsia="仿宋_GB2312" w:cs="仿宋_GB2312"/>
          <w:color w:val="000000"/>
          <w:sz w:val="21"/>
          <w:szCs w:val="21"/>
        </w:rPr>
        <w:t xml:space="preserve"> </w:t>
      </w:r>
    </w:p>
    <w:p w14:paraId="6CFC54CB">
      <w:pPr>
        <w:keepNext w:val="0"/>
        <w:keepLines w:val="0"/>
        <w:widowControl/>
        <w:suppressLineNumbers w:val="0"/>
        <w:spacing w:before="0" w:beforeAutospacing="0" w:after="2" w:afterAutospacing="0"/>
        <w:ind w:left="0" w:right="0"/>
        <w:jc w:val="center"/>
        <w:rPr>
          <w:rFonts w:hint="eastAsia" w:ascii="仿宋_GB2312" w:hAnsi="宋体" w:eastAsia="仿宋_GB2312" w:cs="仿宋_GB2312"/>
          <w:color w:val="0000FF"/>
          <w:sz w:val="21"/>
          <w:szCs w:val="21"/>
        </w:rPr>
      </w:pPr>
      <w:r>
        <w:rPr>
          <w:rFonts w:hint="eastAsia" w:ascii="仿宋_GB2312" w:hAnsi="宋体" w:eastAsia="仿宋_GB2312" w:cs="仿宋_GB2312"/>
          <w:color w:val="000000"/>
          <w:sz w:val="32"/>
          <w:szCs w:val="32"/>
        </w:rPr>
        <w:t>目 录</w:t>
      </w:r>
      <w:r>
        <w:rPr>
          <w:rFonts w:hint="eastAsia" w:ascii="仿宋_GB2312" w:hAnsi="宋体" w:eastAsia="仿宋_GB2312" w:cs="仿宋_GB2312"/>
          <w:color w:val="000000"/>
          <w:sz w:val="21"/>
          <w:szCs w:val="21"/>
        </w:rPr>
        <w:t xml:space="preserve"> </w:t>
      </w:r>
    </w:p>
    <w:p w14:paraId="63824589">
      <w:pPr>
        <w:keepNext w:val="0"/>
        <w:keepLines w:val="0"/>
        <w:widowControl/>
        <w:suppressLineNumbers w:val="0"/>
        <w:spacing w:before="0" w:beforeAutospacing="0" w:after="2" w:afterAutospacing="0"/>
        <w:ind w:left="0" w:right="0" w:firstLine="643"/>
        <w:jc w:val="both"/>
        <w:rPr>
          <w:rFonts w:hint="eastAsia" w:ascii="仿宋_GB2312" w:hAnsi="宋体" w:eastAsia="仿宋_GB2312" w:cs="仿宋_GB2312"/>
          <w:color w:val="0000FF"/>
          <w:sz w:val="21"/>
          <w:szCs w:val="21"/>
        </w:rPr>
      </w:pPr>
      <w:r>
        <w:rPr>
          <w:rFonts w:hint="eastAsia" w:ascii="仿宋_GB2312" w:hAnsi="宋体" w:eastAsia="仿宋_GB2312" w:cs="仿宋_GB2312"/>
          <w:b/>
          <w:bCs/>
          <w:color w:val="000000"/>
          <w:sz w:val="32"/>
          <w:szCs w:val="32"/>
        </w:rPr>
        <w:t>第一部分 2022年部门预算说明</w:t>
      </w:r>
      <w:r>
        <w:rPr>
          <w:rFonts w:hint="eastAsia" w:ascii="仿宋_GB2312" w:hAnsi="宋体" w:eastAsia="仿宋_GB2312" w:cs="仿宋_GB2312"/>
          <w:color w:val="000000"/>
          <w:sz w:val="21"/>
          <w:szCs w:val="21"/>
        </w:rPr>
        <w:t xml:space="preserve"> </w:t>
      </w:r>
    </w:p>
    <w:p w14:paraId="6DD4F3E1">
      <w:pPr>
        <w:keepNext w:val="0"/>
        <w:keepLines w:val="0"/>
        <w:widowControl/>
        <w:suppressLineNumbers w:val="0"/>
        <w:spacing w:before="0" w:beforeAutospacing="0" w:after="2" w:afterAutospacing="0"/>
        <w:ind w:left="0" w:right="0" w:firstLine="643"/>
        <w:jc w:val="both"/>
        <w:rPr>
          <w:rFonts w:hint="eastAsia" w:ascii="仿宋_GB2312" w:hAnsi="宋体" w:eastAsia="仿宋_GB2312" w:cs="仿宋_GB2312"/>
          <w:b/>
          <w:bCs/>
          <w:color w:val="000000"/>
          <w:sz w:val="32"/>
          <w:szCs w:val="32"/>
        </w:rPr>
      </w:pPr>
      <w:r>
        <w:rPr>
          <w:rFonts w:hint="eastAsia" w:ascii="仿宋_GB2312" w:hAnsi="宋体" w:eastAsia="仿宋_GB2312" w:cs="仿宋_GB2312"/>
          <w:b/>
          <w:bCs/>
          <w:color w:val="000000"/>
          <w:sz w:val="32"/>
          <w:szCs w:val="32"/>
        </w:rPr>
        <w:t xml:space="preserve">一、部门基本概况 </w:t>
      </w:r>
    </w:p>
    <w:p w14:paraId="172C56C8">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（一）职能职责</w:t>
      </w:r>
      <w:r>
        <w:rPr>
          <w:rFonts w:hint="eastAsia" w:ascii="仿宋_GB2312" w:hAnsi="宋体" w:eastAsia="仿宋_GB2312" w:cs="仿宋_GB2312"/>
          <w:color w:val="000000"/>
          <w:sz w:val="21"/>
          <w:szCs w:val="21"/>
        </w:rPr>
        <w:t xml:space="preserve"> </w:t>
      </w:r>
    </w:p>
    <w:p w14:paraId="3854DA14">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（二）机构设置</w:t>
      </w:r>
      <w:r>
        <w:rPr>
          <w:rFonts w:hint="eastAsia" w:ascii="仿宋_GB2312" w:hAnsi="宋体" w:eastAsia="仿宋_GB2312" w:cs="仿宋_GB2312"/>
          <w:color w:val="000000"/>
          <w:sz w:val="21"/>
          <w:szCs w:val="21"/>
        </w:rPr>
        <w:t xml:space="preserve"> </w:t>
      </w:r>
    </w:p>
    <w:p w14:paraId="7A403F53">
      <w:pPr>
        <w:keepNext w:val="0"/>
        <w:keepLines w:val="0"/>
        <w:widowControl/>
        <w:suppressLineNumbers w:val="0"/>
        <w:spacing w:before="0" w:beforeAutospacing="0" w:after="2" w:afterAutospacing="0"/>
        <w:ind w:left="0" w:right="0" w:firstLine="643"/>
        <w:jc w:val="both"/>
        <w:rPr>
          <w:rFonts w:hint="eastAsia" w:ascii="仿宋_GB2312" w:hAnsi="宋体" w:eastAsia="仿宋_GB2312" w:cs="仿宋_GB2312"/>
          <w:sz w:val="21"/>
          <w:szCs w:val="21"/>
        </w:rPr>
      </w:pPr>
      <w:r>
        <w:rPr>
          <w:rFonts w:hint="eastAsia" w:ascii="仿宋_GB2312" w:hAnsi="宋体" w:eastAsia="仿宋_GB2312" w:cs="仿宋_GB2312"/>
          <w:b/>
          <w:bCs/>
          <w:color w:val="000000"/>
          <w:sz w:val="32"/>
          <w:szCs w:val="32"/>
        </w:rPr>
        <w:t>二、部门预算单位构成</w:t>
      </w:r>
      <w:r>
        <w:rPr>
          <w:rFonts w:hint="eastAsia" w:ascii="仿宋_GB2312" w:hAnsi="宋体" w:eastAsia="仿宋_GB2312" w:cs="仿宋_GB2312"/>
          <w:color w:val="000000"/>
          <w:sz w:val="21"/>
          <w:szCs w:val="21"/>
        </w:rPr>
        <w:t xml:space="preserve"> </w:t>
      </w:r>
    </w:p>
    <w:p w14:paraId="1B583939">
      <w:pPr>
        <w:keepNext w:val="0"/>
        <w:keepLines w:val="0"/>
        <w:widowControl/>
        <w:suppressLineNumbers w:val="0"/>
        <w:spacing w:before="0" w:beforeAutospacing="0" w:after="2" w:afterAutospacing="0"/>
        <w:ind w:left="0" w:right="0" w:firstLine="643"/>
        <w:jc w:val="both"/>
        <w:rPr>
          <w:rFonts w:hint="eastAsia" w:ascii="仿宋_GB2312" w:hAnsi="宋体" w:eastAsia="仿宋_GB2312" w:cs="仿宋_GB2312"/>
          <w:sz w:val="21"/>
          <w:szCs w:val="21"/>
        </w:rPr>
      </w:pPr>
      <w:r>
        <w:rPr>
          <w:rFonts w:hint="eastAsia" w:ascii="仿宋_GB2312" w:hAnsi="宋体" w:eastAsia="仿宋_GB2312" w:cs="仿宋_GB2312"/>
          <w:b/>
          <w:bCs/>
          <w:color w:val="000000"/>
          <w:sz w:val="32"/>
          <w:szCs w:val="32"/>
        </w:rPr>
        <w:t>三、部门收支总体情况</w:t>
      </w:r>
      <w:r>
        <w:rPr>
          <w:rFonts w:hint="eastAsia" w:ascii="仿宋_GB2312" w:hAnsi="宋体" w:eastAsia="仿宋_GB2312" w:cs="仿宋_GB2312"/>
          <w:color w:val="000000"/>
          <w:sz w:val="21"/>
          <w:szCs w:val="21"/>
        </w:rPr>
        <w:t xml:space="preserve"> </w:t>
      </w:r>
    </w:p>
    <w:p w14:paraId="09E731D8">
      <w:pPr>
        <w:keepNext w:val="0"/>
        <w:keepLines w:val="0"/>
        <w:widowControl/>
        <w:suppressLineNumbers w:val="0"/>
        <w:spacing w:before="0" w:beforeAutospacing="0" w:after="2" w:afterAutospacing="0"/>
        <w:ind w:left="0" w:right="0" w:firstLine="643"/>
        <w:jc w:val="both"/>
        <w:rPr>
          <w:rFonts w:hint="eastAsia" w:ascii="仿宋_GB2312" w:hAnsi="宋体" w:eastAsia="仿宋_GB2312" w:cs="仿宋_GB2312"/>
          <w:sz w:val="21"/>
          <w:szCs w:val="21"/>
        </w:rPr>
      </w:pPr>
      <w:r>
        <w:rPr>
          <w:rFonts w:hint="eastAsia" w:ascii="仿宋_GB2312" w:hAnsi="宋体" w:eastAsia="仿宋_GB2312" w:cs="仿宋_GB2312"/>
          <w:b/>
          <w:bCs/>
          <w:color w:val="000000"/>
          <w:sz w:val="32"/>
          <w:szCs w:val="32"/>
        </w:rPr>
        <w:t>四、一般公共预算拨款支出</w:t>
      </w:r>
      <w:r>
        <w:rPr>
          <w:rFonts w:hint="eastAsia" w:ascii="仿宋_GB2312" w:hAnsi="宋体" w:eastAsia="仿宋_GB2312" w:cs="仿宋_GB2312"/>
          <w:color w:val="000000"/>
          <w:sz w:val="21"/>
          <w:szCs w:val="21"/>
        </w:rPr>
        <w:t xml:space="preserve"> </w:t>
      </w:r>
    </w:p>
    <w:p w14:paraId="3CF13C38">
      <w:pPr>
        <w:keepNext w:val="0"/>
        <w:keepLines w:val="0"/>
        <w:widowControl/>
        <w:suppressLineNumbers w:val="0"/>
        <w:spacing w:before="0" w:beforeAutospacing="0" w:after="2" w:afterAutospacing="0"/>
        <w:ind w:left="0" w:right="0" w:firstLine="643"/>
        <w:jc w:val="both"/>
        <w:rPr>
          <w:rFonts w:hint="eastAsia" w:ascii="仿宋_GB2312" w:hAnsi="宋体" w:eastAsia="仿宋_GB2312" w:cs="仿宋_GB2312"/>
          <w:sz w:val="21"/>
          <w:szCs w:val="21"/>
        </w:rPr>
      </w:pPr>
      <w:r>
        <w:rPr>
          <w:rFonts w:hint="eastAsia" w:ascii="仿宋_GB2312" w:hAnsi="宋体" w:eastAsia="仿宋_GB2312" w:cs="仿宋_GB2312"/>
          <w:b/>
          <w:bCs/>
          <w:color w:val="000000"/>
          <w:sz w:val="32"/>
          <w:szCs w:val="32"/>
        </w:rPr>
        <w:t>五、政府性基金预算支出</w:t>
      </w:r>
      <w:r>
        <w:rPr>
          <w:rFonts w:hint="eastAsia" w:ascii="仿宋_GB2312" w:hAnsi="宋体" w:eastAsia="仿宋_GB2312" w:cs="仿宋_GB2312"/>
          <w:color w:val="000000"/>
          <w:sz w:val="21"/>
          <w:szCs w:val="21"/>
        </w:rPr>
        <w:t xml:space="preserve"> </w:t>
      </w:r>
    </w:p>
    <w:p w14:paraId="52853EB3">
      <w:pPr>
        <w:keepNext w:val="0"/>
        <w:keepLines w:val="0"/>
        <w:widowControl/>
        <w:suppressLineNumbers w:val="0"/>
        <w:spacing w:before="0" w:beforeAutospacing="0" w:after="2" w:afterAutospacing="0"/>
        <w:ind w:left="0" w:right="0" w:firstLine="643"/>
        <w:jc w:val="both"/>
        <w:rPr>
          <w:rFonts w:hint="eastAsia" w:ascii="仿宋_GB2312" w:hAnsi="宋体" w:eastAsia="仿宋_GB2312" w:cs="仿宋_GB2312"/>
          <w:sz w:val="21"/>
          <w:szCs w:val="21"/>
        </w:rPr>
      </w:pPr>
      <w:r>
        <w:rPr>
          <w:rFonts w:hint="eastAsia" w:ascii="仿宋_GB2312" w:hAnsi="宋体" w:eastAsia="仿宋_GB2312" w:cs="仿宋_GB2312"/>
          <w:b/>
          <w:bCs/>
          <w:color w:val="000000"/>
          <w:sz w:val="32"/>
          <w:szCs w:val="32"/>
        </w:rPr>
        <w:t>六、其他重要事项的情况说明</w:t>
      </w:r>
      <w:r>
        <w:rPr>
          <w:rFonts w:hint="eastAsia" w:ascii="仿宋_GB2312" w:hAnsi="宋体" w:eastAsia="仿宋_GB2312" w:cs="仿宋_GB2312"/>
          <w:color w:val="000000"/>
          <w:sz w:val="21"/>
          <w:szCs w:val="21"/>
        </w:rPr>
        <w:t xml:space="preserve"> </w:t>
      </w:r>
    </w:p>
    <w:p w14:paraId="535D21F3">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（一）机关运行经费</w:t>
      </w:r>
      <w:r>
        <w:rPr>
          <w:rFonts w:hint="eastAsia" w:ascii="仿宋_GB2312" w:hAnsi="宋体" w:eastAsia="仿宋_GB2312" w:cs="仿宋_GB2312"/>
          <w:color w:val="000000"/>
          <w:sz w:val="21"/>
          <w:szCs w:val="21"/>
        </w:rPr>
        <w:t xml:space="preserve"> </w:t>
      </w:r>
    </w:p>
    <w:p w14:paraId="7B4DBBA6">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（二）“三公”经费预算</w:t>
      </w:r>
      <w:r>
        <w:rPr>
          <w:rFonts w:hint="eastAsia" w:ascii="仿宋_GB2312" w:hAnsi="宋体" w:eastAsia="仿宋_GB2312" w:cs="仿宋_GB2312"/>
          <w:color w:val="000000"/>
          <w:sz w:val="21"/>
          <w:szCs w:val="21"/>
        </w:rPr>
        <w:t xml:space="preserve"> </w:t>
      </w:r>
    </w:p>
    <w:p w14:paraId="47113794">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（三）一般性支出情况</w:t>
      </w:r>
      <w:r>
        <w:rPr>
          <w:rFonts w:hint="eastAsia" w:ascii="仿宋_GB2312" w:hAnsi="宋体" w:eastAsia="仿宋_GB2312" w:cs="仿宋_GB2312"/>
          <w:color w:val="000000"/>
          <w:sz w:val="21"/>
          <w:szCs w:val="21"/>
        </w:rPr>
        <w:t xml:space="preserve"> </w:t>
      </w:r>
    </w:p>
    <w:p w14:paraId="7DA45DDF">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（四）政府采购情况</w:t>
      </w:r>
      <w:r>
        <w:rPr>
          <w:rFonts w:hint="eastAsia" w:ascii="仿宋_GB2312" w:hAnsi="宋体" w:eastAsia="仿宋_GB2312" w:cs="仿宋_GB2312"/>
          <w:color w:val="000000"/>
          <w:sz w:val="21"/>
          <w:szCs w:val="21"/>
        </w:rPr>
        <w:t xml:space="preserve"> </w:t>
      </w:r>
    </w:p>
    <w:p w14:paraId="7C809323">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（五）国有资产占用使用及新增资产配置情况</w:t>
      </w:r>
      <w:r>
        <w:rPr>
          <w:rFonts w:hint="eastAsia" w:ascii="仿宋_GB2312" w:hAnsi="宋体" w:eastAsia="仿宋_GB2312" w:cs="仿宋_GB2312"/>
          <w:color w:val="000000"/>
          <w:sz w:val="21"/>
          <w:szCs w:val="21"/>
        </w:rPr>
        <w:t xml:space="preserve"> </w:t>
      </w:r>
    </w:p>
    <w:p w14:paraId="7EEC4F49">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（六）预算绩效目标说明</w:t>
      </w:r>
      <w:r>
        <w:rPr>
          <w:rFonts w:hint="eastAsia" w:ascii="仿宋_GB2312" w:hAnsi="宋体" w:eastAsia="仿宋_GB2312" w:cs="仿宋_GB2312"/>
          <w:color w:val="000000"/>
          <w:sz w:val="21"/>
          <w:szCs w:val="21"/>
        </w:rPr>
        <w:t xml:space="preserve"> </w:t>
      </w:r>
    </w:p>
    <w:p w14:paraId="0AFBB3BC">
      <w:pPr>
        <w:keepNext w:val="0"/>
        <w:keepLines w:val="0"/>
        <w:widowControl/>
        <w:suppressLineNumbers w:val="0"/>
        <w:spacing w:before="0" w:beforeAutospacing="0" w:after="2" w:afterAutospacing="0"/>
        <w:ind w:left="0" w:right="0" w:firstLine="643"/>
        <w:jc w:val="both"/>
        <w:rPr>
          <w:rFonts w:hint="eastAsia" w:ascii="仿宋_GB2312" w:hAnsi="宋体" w:eastAsia="仿宋_GB2312" w:cs="仿宋_GB2312"/>
          <w:sz w:val="21"/>
          <w:szCs w:val="21"/>
        </w:rPr>
      </w:pPr>
      <w:r>
        <w:rPr>
          <w:rFonts w:hint="eastAsia" w:ascii="仿宋_GB2312" w:hAnsi="宋体" w:eastAsia="仿宋_GB2312" w:cs="仿宋_GB2312"/>
          <w:b/>
          <w:bCs/>
          <w:color w:val="000000"/>
          <w:sz w:val="32"/>
          <w:szCs w:val="32"/>
        </w:rPr>
        <w:t>七、名词解释</w:t>
      </w:r>
      <w:r>
        <w:rPr>
          <w:rFonts w:hint="eastAsia" w:ascii="仿宋_GB2312" w:hAnsi="宋体" w:eastAsia="仿宋_GB2312" w:cs="仿宋_GB2312"/>
          <w:color w:val="000000"/>
          <w:sz w:val="21"/>
          <w:szCs w:val="21"/>
        </w:rPr>
        <w:t xml:space="preserve"> </w:t>
      </w:r>
    </w:p>
    <w:p w14:paraId="076AE0C0">
      <w:pPr>
        <w:keepNext w:val="0"/>
        <w:keepLines w:val="0"/>
        <w:widowControl/>
        <w:suppressLineNumbers w:val="0"/>
        <w:spacing w:before="0" w:beforeAutospacing="0" w:after="2" w:afterAutospacing="0"/>
        <w:ind w:left="0" w:right="0" w:firstLine="643"/>
        <w:rPr>
          <w:rFonts w:hint="eastAsia" w:ascii="仿宋_GB2312" w:hAnsi="宋体" w:eastAsia="仿宋_GB2312" w:cs="仿宋_GB2312"/>
          <w:sz w:val="21"/>
          <w:szCs w:val="21"/>
        </w:rPr>
      </w:pPr>
      <w:r>
        <w:rPr>
          <w:rFonts w:hint="eastAsia" w:ascii="仿宋_GB2312" w:hAnsi="宋体" w:eastAsia="仿宋_GB2312" w:cs="仿宋_GB2312"/>
          <w:b/>
          <w:bCs/>
          <w:color w:val="000000"/>
          <w:sz w:val="32"/>
          <w:szCs w:val="32"/>
        </w:rPr>
        <w:t>第二部分 2022年部门预算表</w:t>
      </w:r>
    </w:p>
    <w:p w14:paraId="736E7D11">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1、收支总表</w:t>
      </w:r>
      <w:r>
        <w:rPr>
          <w:rFonts w:hint="eastAsia" w:ascii="仿宋_GB2312" w:hAnsi="宋体" w:eastAsia="仿宋_GB2312" w:cs="仿宋_GB2312"/>
          <w:color w:val="000000"/>
          <w:sz w:val="21"/>
          <w:szCs w:val="21"/>
        </w:rPr>
        <w:t xml:space="preserve"> </w:t>
      </w:r>
    </w:p>
    <w:p w14:paraId="4D95B588">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2、收入总表</w:t>
      </w:r>
      <w:r>
        <w:rPr>
          <w:rFonts w:hint="eastAsia" w:ascii="仿宋_GB2312" w:hAnsi="宋体" w:eastAsia="仿宋_GB2312" w:cs="仿宋_GB2312"/>
          <w:color w:val="000000"/>
          <w:sz w:val="21"/>
          <w:szCs w:val="21"/>
        </w:rPr>
        <w:t xml:space="preserve"> </w:t>
      </w:r>
    </w:p>
    <w:p w14:paraId="3C574808">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3、支出总表</w:t>
      </w:r>
      <w:r>
        <w:rPr>
          <w:rFonts w:hint="eastAsia" w:ascii="仿宋_GB2312" w:hAnsi="宋体" w:eastAsia="仿宋_GB2312" w:cs="仿宋_GB2312"/>
          <w:color w:val="000000"/>
          <w:sz w:val="21"/>
          <w:szCs w:val="21"/>
        </w:rPr>
        <w:t xml:space="preserve"> </w:t>
      </w:r>
    </w:p>
    <w:p w14:paraId="441793B4">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4、支出分类（政府预算）</w:t>
      </w:r>
    </w:p>
    <w:p w14:paraId="54FEDB6B">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5、支出分类（部门预算）</w:t>
      </w:r>
    </w:p>
    <w:p w14:paraId="7864D52F">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6、财政拨款收支总表</w:t>
      </w:r>
      <w:r>
        <w:rPr>
          <w:rFonts w:hint="eastAsia" w:ascii="仿宋_GB2312" w:hAnsi="宋体" w:eastAsia="仿宋_GB2312" w:cs="仿宋_GB2312"/>
          <w:color w:val="000000"/>
          <w:sz w:val="21"/>
          <w:szCs w:val="21"/>
        </w:rPr>
        <w:t xml:space="preserve"> </w:t>
      </w:r>
    </w:p>
    <w:p w14:paraId="4EA79A52">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color w:val="000000"/>
          <w:sz w:val="32"/>
          <w:szCs w:val="32"/>
        </w:rPr>
      </w:pPr>
      <w:r>
        <w:rPr>
          <w:rFonts w:hint="eastAsia" w:ascii="仿宋_GB2312" w:hAnsi="宋体" w:eastAsia="仿宋_GB2312" w:cs="仿宋_GB2312"/>
          <w:color w:val="000000"/>
          <w:sz w:val="32"/>
          <w:szCs w:val="32"/>
        </w:rPr>
        <w:t>7、一般公共预算支出表</w:t>
      </w:r>
    </w:p>
    <w:p w14:paraId="12E4457E">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color w:val="000000"/>
          <w:sz w:val="32"/>
          <w:szCs w:val="32"/>
          <w:lang w:val="en-US" w:eastAsia="zh-CN"/>
        </w:rPr>
      </w:pPr>
      <w:r>
        <w:rPr>
          <w:rFonts w:hint="eastAsia" w:ascii="仿宋_GB2312" w:eastAsia="仿宋_GB2312" w:cs="仿宋_GB2312"/>
          <w:color w:val="000000"/>
          <w:sz w:val="32"/>
          <w:szCs w:val="32"/>
          <w:lang w:val="en-US" w:eastAsia="zh-CN"/>
        </w:rPr>
        <w:t>8、</w:t>
      </w:r>
      <w:r>
        <w:rPr>
          <w:rFonts w:hint="eastAsia" w:ascii="仿宋_GB2312" w:hAnsi="宋体" w:eastAsia="仿宋_GB2312" w:cs="仿宋_GB2312"/>
          <w:color w:val="000000"/>
          <w:sz w:val="32"/>
          <w:szCs w:val="32"/>
        </w:rPr>
        <w:t>一般公共预算</w:t>
      </w:r>
      <w:r>
        <w:rPr>
          <w:rFonts w:hint="eastAsia" w:ascii="仿宋_GB2312" w:eastAsia="仿宋_GB2312" w:cs="仿宋_GB2312"/>
          <w:color w:val="000000"/>
          <w:sz w:val="32"/>
          <w:szCs w:val="32"/>
          <w:lang w:val="en-US" w:eastAsia="zh-CN"/>
        </w:rPr>
        <w:t>基本</w:t>
      </w:r>
      <w:r>
        <w:rPr>
          <w:rFonts w:hint="eastAsia" w:ascii="仿宋_GB2312" w:hAnsi="宋体" w:eastAsia="仿宋_GB2312" w:cs="仿宋_GB2312"/>
          <w:color w:val="000000"/>
          <w:sz w:val="32"/>
          <w:szCs w:val="32"/>
        </w:rPr>
        <w:t>支出表</w:t>
      </w:r>
    </w:p>
    <w:p w14:paraId="21A52938">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color w:val="000000"/>
          <w:sz w:val="32"/>
          <w:szCs w:val="32"/>
        </w:rPr>
      </w:pPr>
      <w:r>
        <w:rPr>
          <w:rFonts w:hint="eastAsia" w:ascii="仿宋_GB2312" w:eastAsia="仿宋_GB2312" w:cs="仿宋_GB2312"/>
          <w:color w:val="000000"/>
          <w:sz w:val="32"/>
          <w:szCs w:val="32"/>
          <w:lang w:val="en-US" w:eastAsia="zh-CN"/>
        </w:rPr>
        <w:t>9</w:t>
      </w:r>
      <w:r>
        <w:rPr>
          <w:rFonts w:hint="eastAsia" w:ascii="仿宋_GB2312" w:hAnsi="宋体" w:eastAsia="仿宋_GB2312" w:cs="仿宋_GB2312"/>
          <w:color w:val="000000"/>
          <w:sz w:val="32"/>
          <w:szCs w:val="32"/>
        </w:rPr>
        <w:t>、一般公共预算</w:t>
      </w:r>
      <w:r>
        <w:rPr>
          <w:rFonts w:hint="eastAsia" w:ascii="仿宋_GB2312" w:eastAsia="仿宋_GB2312" w:cs="仿宋_GB2312"/>
          <w:color w:val="000000"/>
          <w:sz w:val="32"/>
          <w:szCs w:val="32"/>
          <w:lang w:val="en-US" w:eastAsia="zh-CN"/>
        </w:rPr>
        <w:t>基本</w:t>
      </w:r>
      <w:r>
        <w:rPr>
          <w:rFonts w:hint="eastAsia" w:ascii="仿宋_GB2312" w:hAnsi="宋体" w:eastAsia="仿宋_GB2312" w:cs="仿宋_GB2312"/>
          <w:color w:val="000000"/>
          <w:sz w:val="32"/>
          <w:szCs w:val="32"/>
        </w:rPr>
        <w:t>支出表</w:t>
      </w:r>
      <w:r>
        <w:rPr>
          <w:rFonts w:hint="eastAsia" w:ascii="仿宋_GB2312" w:eastAsia="仿宋_GB2312" w:cs="仿宋_GB2312"/>
          <w:color w:val="000000"/>
          <w:sz w:val="32"/>
          <w:szCs w:val="32"/>
          <w:lang w:val="en-US" w:eastAsia="zh-CN"/>
        </w:rPr>
        <w:t>-人员经费（</w:t>
      </w:r>
      <w:r>
        <w:rPr>
          <w:rFonts w:hint="eastAsia" w:ascii="仿宋_GB2312" w:hAnsi="宋体" w:eastAsia="仿宋_GB2312" w:cs="仿宋_GB2312"/>
          <w:color w:val="000000"/>
          <w:sz w:val="32"/>
          <w:szCs w:val="32"/>
        </w:rPr>
        <w:t>工资福利</w:t>
      </w:r>
      <w:r>
        <w:rPr>
          <w:rFonts w:hint="eastAsia" w:ascii="仿宋_GB2312" w:eastAsia="仿宋_GB2312" w:cs="仿宋_GB2312"/>
          <w:color w:val="000000"/>
          <w:sz w:val="32"/>
          <w:szCs w:val="32"/>
          <w:lang w:val="en-US" w:eastAsia="zh-CN"/>
        </w:rPr>
        <w:t>支出）</w:t>
      </w:r>
      <w:r>
        <w:rPr>
          <w:rFonts w:hint="eastAsia" w:ascii="仿宋_GB2312" w:hAnsi="宋体" w:eastAsia="仿宋_GB2312" w:cs="仿宋_GB2312"/>
          <w:color w:val="000000"/>
          <w:sz w:val="32"/>
          <w:szCs w:val="32"/>
        </w:rPr>
        <w:t>（</w:t>
      </w:r>
      <w:r>
        <w:rPr>
          <w:rFonts w:hint="eastAsia" w:ascii="仿宋_GB2312" w:eastAsia="仿宋_GB2312" w:cs="仿宋_GB2312"/>
          <w:color w:val="000000"/>
          <w:sz w:val="32"/>
          <w:szCs w:val="32"/>
          <w:lang w:val="en-US" w:eastAsia="zh-CN"/>
        </w:rPr>
        <w:t>按</w:t>
      </w:r>
      <w:r>
        <w:rPr>
          <w:rFonts w:hint="eastAsia" w:ascii="仿宋_GB2312" w:hAnsi="宋体" w:eastAsia="仿宋_GB2312" w:cs="仿宋_GB2312"/>
          <w:color w:val="000000"/>
          <w:sz w:val="32"/>
          <w:szCs w:val="32"/>
        </w:rPr>
        <w:t>政府预算</w:t>
      </w:r>
      <w:r>
        <w:rPr>
          <w:rFonts w:hint="eastAsia" w:ascii="仿宋_GB2312" w:eastAsia="仿宋_GB2312" w:cs="仿宋_GB2312"/>
          <w:color w:val="000000"/>
          <w:sz w:val="32"/>
          <w:szCs w:val="32"/>
          <w:lang w:val="en-US" w:eastAsia="zh-CN"/>
        </w:rPr>
        <w:t>经济分类</w:t>
      </w:r>
      <w:r>
        <w:rPr>
          <w:rFonts w:hint="eastAsia" w:ascii="仿宋_GB2312" w:hAnsi="宋体" w:eastAsia="仿宋_GB2312" w:cs="仿宋_GB2312"/>
          <w:color w:val="000000"/>
          <w:sz w:val="32"/>
          <w:szCs w:val="32"/>
        </w:rPr>
        <w:t xml:space="preserve">） </w:t>
      </w:r>
    </w:p>
    <w:p w14:paraId="3A49EDA0">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color w:val="000000"/>
          <w:sz w:val="32"/>
          <w:szCs w:val="32"/>
        </w:rPr>
      </w:pPr>
      <w:r>
        <w:rPr>
          <w:rFonts w:hint="eastAsia" w:ascii="仿宋_GB2312" w:eastAsia="仿宋_GB2312" w:cs="仿宋_GB2312"/>
          <w:color w:val="000000"/>
          <w:sz w:val="32"/>
          <w:szCs w:val="32"/>
          <w:lang w:val="en-US" w:eastAsia="zh-CN"/>
        </w:rPr>
        <w:t>10</w:t>
      </w:r>
      <w:r>
        <w:rPr>
          <w:rFonts w:hint="eastAsia" w:ascii="仿宋_GB2312" w:hAnsi="宋体" w:eastAsia="仿宋_GB2312" w:cs="仿宋_GB2312"/>
          <w:color w:val="000000"/>
          <w:sz w:val="32"/>
          <w:szCs w:val="32"/>
        </w:rPr>
        <w:t>、一般公共预算</w:t>
      </w:r>
      <w:r>
        <w:rPr>
          <w:rFonts w:hint="eastAsia" w:ascii="仿宋_GB2312" w:eastAsia="仿宋_GB2312" w:cs="仿宋_GB2312"/>
          <w:color w:val="000000"/>
          <w:sz w:val="32"/>
          <w:szCs w:val="32"/>
          <w:lang w:val="en-US" w:eastAsia="zh-CN"/>
        </w:rPr>
        <w:t>基本</w:t>
      </w:r>
      <w:r>
        <w:rPr>
          <w:rFonts w:hint="eastAsia" w:ascii="仿宋_GB2312" w:hAnsi="宋体" w:eastAsia="仿宋_GB2312" w:cs="仿宋_GB2312"/>
          <w:color w:val="000000"/>
          <w:sz w:val="32"/>
          <w:szCs w:val="32"/>
        </w:rPr>
        <w:t>支出表</w:t>
      </w:r>
      <w:r>
        <w:rPr>
          <w:rFonts w:hint="eastAsia" w:ascii="仿宋_GB2312" w:eastAsia="仿宋_GB2312" w:cs="仿宋_GB2312"/>
          <w:color w:val="000000"/>
          <w:sz w:val="32"/>
          <w:szCs w:val="32"/>
          <w:lang w:val="en-US" w:eastAsia="zh-CN"/>
        </w:rPr>
        <w:t>-人员经费（</w:t>
      </w:r>
      <w:r>
        <w:rPr>
          <w:rFonts w:hint="eastAsia" w:ascii="仿宋_GB2312" w:hAnsi="宋体" w:eastAsia="仿宋_GB2312" w:cs="仿宋_GB2312"/>
          <w:color w:val="000000"/>
          <w:sz w:val="32"/>
          <w:szCs w:val="32"/>
        </w:rPr>
        <w:t>工资福利</w:t>
      </w:r>
      <w:r>
        <w:rPr>
          <w:rFonts w:hint="eastAsia" w:ascii="仿宋_GB2312" w:eastAsia="仿宋_GB2312" w:cs="仿宋_GB2312"/>
          <w:color w:val="000000"/>
          <w:sz w:val="32"/>
          <w:szCs w:val="32"/>
          <w:lang w:val="en-US" w:eastAsia="zh-CN"/>
        </w:rPr>
        <w:t>支出）</w:t>
      </w:r>
      <w:r>
        <w:rPr>
          <w:rFonts w:hint="eastAsia" w:ascii="仿宋_GB2312" w:hAnsi="宋体" w:eastAsia="仿宋_GB2312" w:cs="仿宋_GB2312"/>
          <w:color w:val="000000"/>
          <w:sz w:val="32"/>
          <w:szCs w:val="32"/>
        </w:rPr>
        <w:t>（</w:t>
      </w:r>
      <w:r>
        <w:rPr>
          <w:rFonts w:hint="eastAsia" w:ascii="仿宋_GB2312" w:eastAsia="仿宋_GB2312" w:cs="仿宋_GB2312"/>
          <w:color w:val="000000"/>
          <w:sz w:val="32"/>
          <w:szCs w:val="32"/>
          <w:lang w:val="en-US" w:eastAsia="zh-CN"/>
        </w:rPr>
        <w:t>按部门</w:t>
      </w:r>
      <w:r>
        <w:rPr>
          <w:rFonts w:hint="eastAsia" w:ascii="仿宋_GB2312" w:hAnsi="宋体" w:eastAsia="仿宋_GB2312" w:cs="仿宋_GB2312"/>
          <w:color w:val="000000"/>
          <w:sz w:val="32"/>
          <w:szCs w:val="32"/>
        </w:rPr>
        <w:t>预算</w:t>
      </w:r>
      <w:r>
        <w:rPr>
          <w:rFonts w:hint="eastAsia" w:ascii="仿宋_GB2312" w:eastAsia="仿宋_GB2312" w:cs="仿宋_GB2312"/>
          <w:color w:val="000000"/>
          <w:sz w:val="32"/>
          <w:szCs w:val="32"/>
          <w:lang w:val="en-US" w:eastAsia="zh-CN"/>
        </w:rPr>
        <w:t>经济分类</w:t>
      </w:r>
      <w:r>
        <w:rPr>
          <w:rFonts w:hint="eastAsia" w:ascii="仿宋_GB2312" w:hAnsi="宋体" w:eastAsia="仿宋_GB2312" w:cs="仿宋_GB2312"/>
          <w:color w:val="000000"/>
          <w:sz w:val="32"/>
          <w:szCs w:val="32"/>
        </w:rPr>
        <w:t>）</w:t>
      </w:r>
    </w:p>
    <w:p w14:paraId="66577798">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color w:val="000000"/>
          <w:sz w:val="32"/>
          <w:szCs w:val="32"/>
        </w:rPr>
      </w:pPr>
      <w:r>
        <w:rPr>
          <w:rFonts w:hint="eastAsia" w:ascii="仿宋_GB2312" w:hAnsi="宋体" w:eastAsia="仿宋_GB2312" w:cs="仿宋_GB2312"/>
          <w:color w:val="000000"/>
          <w:sz w:val="32"/>
          <w:szCs w:val="32"/>
        </w:rPr>
        <w:t>1</w:t>
      </w:r>
      <w:r>
        <w:rPr>
          <w:rFonts w:hint="eastAsia" w:ascii="仿宋_GB2312" w:eastAsia="仿宋_GB2312" w:cs="仿宋_GB2312"/>
          <w:color w:val="000000"/>
          <w:sz w:val="32"/>
          <w:szCs w:val="32"/>
          <w:lang w:val="en-US" w:eastAsia="zh-CN"/>
        </w:rPr>
        <w:t>1</w:t>
      </w:r>
      <w:r>
        <w:rPr>
          <w:rFonts w:hint="eastAsia" w:ascii="仿宋_GB2312" w:hAnsi="宋体" w:eastAsia="仿宋_GB2312" w:cs="仿宋_GB2312"/>
          <w:color w:val="000000"/>
          <w:sz w:val="32"/>
          <w:szCs w:val="32"/>
        </w:rPr>
        <w:t>、一般公共预算</w:t>
      </w:r>
      <w:r>
        <w:rPr>
          <w:rFonts w:hint="eastAsia" w:ascii="仿宋_GB2312" w:eastAsia="仿宋_GB2312" w:cs="仿宋_GB2312"/>
          <w:color w:val="000000"/>
          <w:sz w:val="32"/>
          <w:szCs w:val="32"/>
          <w:lang w:val="en-US" w:eastAsia="zh-CN"/>
        </w:rPr>
        <w:t>基本</w:t>
      </w:r>
      <w:r>
        <w:rPr>
          <w:rFonts w:hint="eastAsia" w:ascii="仿宋_GB2312" w:hAnsi="宋体" w:eastAsia="仿宋_GB2312" w:cs="仿宋_GB2312"/>
          <w:color w:val="000000"/>
          <w:sz w:val="32"/>
          <w:szCs w:val="32"/>
        </w:rPr>
        <w:t>支出表</w:t>
      </w:r>
      <w:r>
        <w:rPr>
          <w:rFonts w:hint="eastAsia" w:ascii="仿宋_GB2312" w:eastAsia="仿宋_GB2312" w:cs="仿宋_GB2312"/>
          <w:color w:val="000000"/>
          <w:sz w:val="32"/>
          <w:szCs w:val="32"/>
          <w:lang w:val="en-US" w:eastAsia="zh-CN"/>
        </w:rPr>
        <w:t>-人员经费（对个人和家庭的补助）</w:t>
      </w:r>
      <w:r>
        <w:rPr>
          <w:rFonts w:hint="eastAsia" w:ascii="仿宋_GB2312" w:hAnsi="宋体" w:eastAsia="仿宋_GB2312" w:cs="仿宋_GB2312"/>
          <w:color w:val="000000"/>
          <w:sz w:val="32"/>
          <w:szCs w:val="32"/>
        </w:rPr>
        <w:t>（</w:t>
      </w:r>
      <w:r>
        <w:rPr>
          <w:rFonts w:hint="eastAsia" w:ascii="仿宋_GB2312" w:eastAsia="仿宋_GB2312" w:cs="仿宋_GB2312"/>
          <w:color w:val="000000"/>
          <w:sz w:val="32"/>
          <w:szCs w:val="32"/>
          <w:lang w:val="en-US" w:eastAsia="zh-CN"/>
        </w:rPr>
        <w:t>按</w:t>
      </w:r>
      <w:r>
        <w:rPr>
          <w:rFonts w:hint="eastAsia" w:ascii="仿宋_GB2312" w:hAnsi="宋体" w:eastAsia="仿宋_GB2312" w:cs="仿宋_GB2312"/>
          <w:color w:val="000000"/>
          <w:sz w:val="32"/>
          <w:szCs w:val="32"/>
        </w:rPr>
        <w:t>政府预算</w:t>
      </w:r>
      <w:r>
        <w:rPr>
          <w:rFonts w:hint="eastAsia" w:ascii="仿宋_GB2312" w:eastAsia="仿宋_GB2312" w:cs="仿宋_GB2312"/>
          <w:color w:val="000000"/>
          <w:sz w:val="32"/>
          <w:szCs w:val="32"/>
          <w:lang w:val="en-US" w:eastAsia="zh-CN"/>
        </w:rPr>
        <w:t>经济分类</w:t>
      </w:r>
      <w:r>
        <w:rPr>
          <w:rFonts w:hint="eastAsia" w:ascii="仿宋_GB2312" w:hAnsi="宋体" w:eastAsia="仿宋_GB2312" w:cs="仿宋_GB2312"/>
          <w:color w:val="000000"/>
          <w:sz w:val="32"/>
          <w:szCs w:val="32"/>
        </w:rPr>
        <w:t xml:space="preserve">） </w:t>
      </w:r>
    </w:p>
    <w:p w14:paraId="2ABC1203">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color w:val="000000"/>
          <w:sz w:val="32"/>
          <w:szCs w:val="32"/>
        </w:rPr>
      </w:pPr>
      <w:r>
        <w:rPr>
          <w:rFonts w:hint="eastAsia" w:ascii="仿宋_GB2312" w:hAnsi="宋体" w:eastAsia="仿宋_GB2312" w:cs="仿宋_GB2312"/>
          <w:color w:val="000000"/>
          <w:sz w:val="32"/>
          <w:szCs w:val="32"/>
        </w:rPr>
        <w:t>1</w:t>
      </w:r>
      <w:r>
        <w:rPr>
          <w:rFonts w:hint="eastAsia" w:ascii="仿宋_GB2312" w:eastAsia="仿宋_GB2312" w:cs="仿宋_GB2312"/>
          <w:color w:val="000000"/>
          <w:sz w:val="32"/>
          <w:szCs w:val="32"/>
          <w:lang w:val="en-US" w:eastAsia="zh-CN"/>
        </w:rPr>
        <w:t>2</w:t>
      </w:r>
      <w:r>
        <w:rPr>
          <w:rFonts w:hint="eastAsia" w:ascii="仿宋_GB2312" w:hAnsi="宋体" w:eastAsia="仿宋_GB2312" w:cs="仿宋_GB2312"/>
          <w:color w:val="000000"/>
          <w:sz w:val="32"/>
          <w:szCs w:val="32"/>
        </w:rPr>
        <w:t>、一般公共预算</w:t>
      </w:r>
      <w:r>
        <w:rPr>
          <w:rFonts w:hint="eastAsia" w:ascii="仿宋_GB2312" w:eastAsia="仿宋_GB2312" w:cs="仿宋_GB2312"/>
          <w:color w:val="000000"/>
          <w:sz w:val="32"/>
          <w:szCs w:val="32"/>
          <w:lang w:val="en-US" w:eastAsia="zh-CN"/>
        </w:rPr>
        <w:t>基本</w:t>
      </w:r>
      <w:r>
        <w:rPr>
          <w:rFonts w:hint="eastAsia" w:ascii="仿宋_GB2312" w:hAnsi="宋体" w:eastAsia="仿宋_GB2312" w:cs="仿宋_GB2312"/>
          <w:color w:val="000000"/>
          <w:sz w:val="32"/>
          <w:szCs w:val="32"/>
        </w:rPr>
        <w:t>支出表</w:t>
      </w:r>
      <w:r>
        <w:rPr>
          <w:rFonts w:hint="eastAsia" w:ascii="仿宋_GB2312" w:eastAsia="仿宋_GB2312" w:cs="仿宋_GB2312"/>
          <w:color w:val="000000"/>
          <w:sz w:val="32"/>
          <w:szCs w:val="32"/>
          <w:lang w:val="en-US" w:eastAsia="zh-CN"/>
        </w:rPr>
        <w:t>-人员经费（对个人和家庭的补助）</w:t>
      </w:r>
      <w:r>
        <w:rPr>
          <w:rFonts w:hint="eastAsia" w:ascii="仿宋_GB2312" w:hAnsi="宋体" w:eastAsia="仿宋_GB2312" w:cs="仿宋_GB2312"/>
          <w:color w:val="000000"/>
          <w:sz w:val="32"/>
          <w:szCs w:val="32"/>
        </w:rPr>
        <w:t>（</w:t>
      </w:r>
      <w:r>
        <w:rPr>
          <w:rFonts w:hint="eastAsia" w:ascii="仿宋_GB2312" w:eastAsia="仿宋_GB2312" w:cs="仿宋_GB2312"/>
          <w:color w:val="000000"/>
          <w:sz w:val="32"/>
          <w:szCs w:val="32"/>
          <w:lang w:val="en-US" w:eastAsia="zh-CN"/>
        </w:rPr>
        <w:t>按部门</w:t>
      </w:r>
      <w:r>
        <w:rPr>
          <w:rFonts w:hint="eastAsia" w:ascii="仿宋_GB2312" w:hAnsi="宋体" w:eastAsia="仿宋_GB2312" w:cs="仿宋_GB2312"/>
          <w:color w:val="000000"/>
          <w:sz w:val="32"/>
          <w:szCs w:val="32"/>
        </w:rPr>
        <w:t>预算</w:t>
      </w:r>
      <w:r>
        <w:rPr>
          <w:rFonts w:hint="eastAsia" w:ascii="仿宋_GB2312" w:eastAsia="仿宋_GB2312" w:cs="仿宋_GB2312"/>
          <w:color w:val="000000"/>
          <w:sz w:val="32"/>
          <w:szCs w:val="32"/>
          <w:lang w:val="en-US" w:eastAsia="zh-CN"/>
        </w:rPr>
        <w:t>经济分类</w:t>
      </w:r>
      <w:r>
        <w:rPr>
          <w:rFonts w:hint="eastAsia" w:ascii="仿宋_GB2312" w:hAnsi="宋体" w:eastAsia="仿宋_GB2312" w:cs="仿宋_GB2312"/>
          <w:color w:val="000000"/>
          <w:sz w:val="32"/>
          <w:szCs w:val="32"/>
        </w:rPr>
        <w:t>）</w:t>
      </w:r>
    </w:p>
    <w:p w14:paraId="27A664C5">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color w:val="000000"/>
          <w:sz w:val="32"/>
          <w:szCs w:val="32"/>
        </w:rPr>
      </w:pPr>
      <w:r>
        <w:rPr>
          <w:rFonts w:hint="eastAsia" w:ascii="仿宋_GB2312" w:hAnsi="宋体" w:eastAsia="仿宋_GB2312" w:cs="仿宋_GB2312"/>
          <w:color w:val="000000"/>
          <w:sz w:val="32"/>
          <w:szCs w:val="32"/>
        </w:rPr>
        <w:t>1</w:t>
      </w:r>
      <w:r>
        <w:rPr>
          <w:rFonts w:hint="eastAsia" w:ascii="仿宋_GB2312" w:eastAsia="仿宋_GB2312" w:cs="仿宋_GB2312"/>
          <w:color w:val="000000"/>
          <w:sz w:val="32"/>
          <w:szCs w:val="32"/>
          <w:lang w:val="en-US" w:eastAsia="zh-CN"/>
        </w:rPr>
        <w:t>3</w:t>
      </w:r>
      <w:r>
        <w:rPr>
          <w:rFonts w:hint="eastAsia" w:ascii="仿宋_GB2312" w:hAnsi="宋体" w:eastAsia="仿宋_GB2312" w:cs="仿宋_GB2312"/>
          <w:color w:val="000000"/>
          <w:sz w:val="32"/>
          <w:szCs w:val="32"/>
        </w:rPr>
        <w:t>、一般公共预算</w:t>
      </w:r>
      <w:r>
        <w:rPr>
          <w:rFonts w:hint="eastAsia" w:ascii="仿宋_GB2312" w:eastAsia="仿宋_GB2312" w:cs="仿宋_GB2312"/>
          <w:color w:val="000000"/>
          <w:sz w:val="32"/>
          <w:szCs w:val="32"/>
          <w:lang w:val="en-US" w:eastAsia="zh-CN"/>
        </w:rPr>
        <w:t>基本</w:t>
      </w:r>
      <w:r>
        <w:rPr>
          <w:rFonts w:hint="eastAsia" w:ascii="仿宋_GB2312" w:hAnsi="宋体" w:eastAsia="仿宋_GB2312" w:cs="仿宋_GB2312"/>
          <w:color w:val="000000"/>
          <w:sz w:val="32"/>
          <w:szCs w:val="32"/>
        </w:rPr>
        <w:t>支出表</w:t>
      </w:r>
      <w:r>
        <w:rPr>
          <w:rFonts w:hint="eastAsia" w:ascii="仿宋_GB2312" w:eastAsia="仿宋_GB2312" w:cs="仿宋_GB2312"/>
          <w:color w:val="000000"/>
          <w:sz w:val="32"/>
          <w:szCs w:val="32"/>
          <w:lang w:val="en-US" w:eastAsia="zh-CN"/>
        </w:rPr>
        <w:t>-公用经费（商品和服务支出）</w:t>
      </w:r>
      <w:r>
        <w:rPr>
          <w:rFonts w:hint="eastAsia" w:ascii="仿宋_GB2312" w:hAnsi="宋体" w:eastAsia="仿宋_GB2312" w:cs="仿宋_GB2312"/>
          <w:color w:val="000000"/>
          <w:sz w:val="32"/>
          <w:szCs w:val="32"/>
        </w:rPr>
        <w:t>（</w:t>
      </w:r>
      <w:r>
        <w:rPr>
          <w:rFonts w:hint="eastAsia" w:ascii="仿宋_GB2312" w:eastAsia="仿宋_GB2312" w:cs="仿宋_GB2312"/>
          <w:color w:val="000000"/>
          <w:sz w:val="32"/>
          <w:szCs w:val="32"/>
          <w:lang w:val="en-US" w:eastAsia="zh-CN"/>
        </w:rPr>
        <w:t>按</w:t>
      </w:r>
      <w:r>
        <w:rPr>
          <w:rFonts w:hint="eastAsia" w:ascii="仿宋_GB2312" w:hAnsi="宋体" w:eastAsia="仿宋_GB2312" w:cs="仿宋_GB2312"/>
          <w:color w:val="000000"/>
          <w:sz w:val="32"/>
          <w:szCs w:val="32"/>
        </w:rPr>
        <w:t>政府预算</w:t>
      </w:r>
      <w:r>
        <w:rPr>
          <w:rFonts w:hint="eastAsia" w:ascii="仿宋_GB2312" w:eastAsia="仿宋_GB2312" w:cs="仿宋_GB2312"/>
          <w:color w:val="000000"/>
          <w:sz w:val="32"/>
          <w:szCs w:val="32"/>
          <w:lang w:val="en-US" w:eastAsia="zh-CN"/>
        </w:rPr>
        <w:t>经济分类</w:t>
      </w:r>
      <w:r>
        <w:rPr>
          <w:rFonts w:hint="eastAsia" w:ascii="仿宋_GB2312" w:hAnsi="宋体" w:eastAsia="仿宋_GB2312" w:cs="仿宋_GB2312"/>
          <w:color w:val="000000"/>
          <w:sz w:val="32"/>
          <w:szCs w:val="32"/>
        </w:rPr>
        <w:t>）</w:t>
      </w:r>
    </w:p>
    <w:p w14:paraId="6E8EA998">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color w:val="000000"/>
          <w:sz w:val="32"/>
          <w:szCs w:val="32"/>
        </w:rPr>
      </w:pPr>
      <w:r>
        <w:rPr>
          <w:rFonts w:hint="eastAsia" w:ascii="仿宋_GB2312" w:hAnsi="宋体" w:eastAsia="仿宋_GB2312" w:cs="仿宋_GB2312"/>
          <w:color w:val="000000"/>
          <w:sz w:val="32"/>
          <w:szCs w:val="32"/>
        </w:rPr>
        <w:t>1</w:t>
      </w:r>
      <w:r>
        <w:rPr>
          <w:rFonts w:hint="eastAsia" w:ascii="仿宋_GB2312" w:eastAsia="仿宋_GB2312" w:cs="仿宋_GB2312"/>
          <w:color w:val="000000"/>
          <w:sz w:val="32"/>
          <w:szCs w:val="32"/>
          <w:lang w:val="en-US" w:eastAsia="zh-CN"/>
        </w:rPr>
        <w:t>4</w:t>
      </w:r>
      <w:r>
        <w:rPr>
          <w:rFonts w:hint="eastAsia" w:ascii="仿宋_GB2312" w:hAnsi="宋体" w:eastAsia="仿宋_GB2312" w:cs="仿宋_GB2312"/>
          <w:color w:val="000000"/>
          <w:sz w:val="32"/>
          <w:szCs w:val="32"/>
        </w:rPr>
        <w:t>、一般公共预算</w:t>
      </w:r>
      <w:r>
        <w:rPr>
          <w:rFonts w:hint="eastAsia" w:ascii="仿宋_GB2312" w:eastAsia="仿宋_GB2312" w:cs="仿宋_GB2312"/>
          <w:color w:val="000000"/>
          <w:sz w:val="32"/>
          <w:szCs w:val="32"/>
          <w:lang w:val="en-US" w:eastAsia="zh-CN"/>
        </w:rPr>
        <w:t>基本</w:t>
      </w:r>
      <w:r>
        <w:rPr>
          <w:rFonts w:hint="eastAsia" w:ascii="仿宋_GB2312" w:hAnsi="宋体" w:eastAsia="仿宋_GB2312" w:cs="仿宋_GB2312"/>
          <w:color w:val="000000"/>
          <w:sz w:val="32"/>
          <w:szCs w:val="32"/>
        </w:rPr>
        <w:t>支出表</w:t>
      </w:r>
      <w:r>
        <w:rPr>
          <w:rFonts w:hint="eastAsia" w:ascii="仿宋_GB2312" w:eastAsia="仿宋_GB2312" w:cs="仿宋_GB2312"/>
          <w:color w:val="000000"/>
          <w:sz w:val="32"/>
          <w:szCs w:val="32"/>
          <w:lang w:val="en-US" w:eastAsia="zh-CN"/>
        </w:rPr>
        <w:t>-公用经费（商品和服务支出）</w:t>
      </w:r>
      <w:r>
        <w:rPr>
          <w:rFonts w:hint="eastAsia" w:ascii="仿宋_GB2312" w:hAnsi="宋体" w:eastAsia="仿宋_GB2312" w:cs="仿宋_GB2312"/>
          <w:color w:val="000000"/>
          <w:sz w:val="32"/>
          <w:szCs w:val="32"/>
        </w:rPr>
        <w:t>（</w:t>
      </w:r>
      <w:r>
        <w:rPr>
          <w:rFonts w:hint="eastAsia" w:ascii="仿宋_GB2312" w:eastAsia="仿宋_GB2312" w:cs="仿宋_GB2312"/>
          <w:color w:val="000000"/>
          <w:sz w:val="32"/>
          <w:szCs w:val="32"/>
          <w:lang w:val="en-US" w:eastAsia="zh-CN"/>
        </w:rPr>
        <w:t>按部门</w:t>
      </w:r>
      <w:r>
        <w:rPr>
          <w:rFonts w:hint="eastAsia" w:ascii="仿宋_GB2312" w:hAnsi="宋体" w:eastAsia="仿宋_GB2312" w:cs="仿宋_GB2312"/>
          <w:color w:val="000000"/>
          <w:sz w:val="32"/>
          <w:szCs w:val="32"/>
        </w:rPr>
        <w:t>预算</w:t>
      </w:r>
      <w:r>
        <w:rPr>
          <w:rFonts w:hint="eastAsia" w:ascii="仿宋_GB2312" w:eastAsia="仿宋_GB2312" w:cs="仿宋_GB2312"/>
          <w:color w:val="000000"/>
          <w:sz w:val="32"/>
          <w:szCs w:val="32"/>
          <w:lang w:val="en-US" w:eastAsia="zh-CN"/>
        </w:rPr>
        <w:t>经济分类</w:t>
      </w:r>
      <w:r>
        <w:rPr>
          <w:rFonts w:hint="eastAsia" w:ascii="仿宋_GB2312" w:hAnsi="宋体" w:eastAsia="仿宋_GB2312" w:cs="仿宋_GB2312"/>
          <w:color w:val="000000"/>
          <w:sz w:val="32"/>
          <w:szCs w:val="32"/>
        </w:rPr>
        <w:t>）</w:t>
      </w:r>
    </w:p>
    <w:p w14:paraId="3B83836B">
      <w:pPr>
        <w:spacing w:after="2"/>
        <w:ind w:firstLine="640"/>
        <w:jc w:val="both"/>
        <w:rPr>
          <w:rFonts w:hint="eastAsia"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5</w:t>
      </w:r>
      <w:r>
        <w:rPr>
          <w:rFonts w:ascii="仿宋_GB2312" w:eastAsia="仿宋_GB2312" w:cs="仿宋_GB2312"/>
          <w:color w:val="000000"/>
          <w:sz w:val="32"/>
          <w:szCs w:val="32"/>
        </w:rPr>
        <w:t>、</w:t>
      </w:r>
      <w:r>
        <w:rPr>
          <w:rFonts w:hint="eastAsia" w:ascii="仿宋_GB2312" w:eastAsia="仿宋_GB2312" w:cs="仿宋_GB2312"/>
          <w:color w:val="000000"/>
          <w:sz w:val="32"/>
          <w:szCs w:val="32"/>
        </w:rPr>
        <w:t>一般公共预算“三公”经费支出表</w:t>
      </w:r>
    </w:p>
    <w:p w14:paraId="598A586C">
      <w:pPr>
        <w:spacing w:after="2"/>
        <w:ind w:firstLine="640"/>
        <w:jc w:val="both"/>
        <w:rPr>
          <w:rFonts w:hint="eastAsia"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6</w:t>
      </w:r>
      <w:r>
        <w:rPr>
          <w:rFonts w:ascii="仿宋_GB2312" w:eastAsia="仿宋_GB2312" w:cs="仿宋_GB2312"/>
          <w:color w:val="000000"/>
          <w:sz w:val="32"/>
          <w:szCs w:val="32"/>
        </w:rPr>
        <w:t>、</w:t>
      </w:r>
      <w:r>
        <w:rPr>
          <w:rFonts w:hint="eastAsia" w:ascii="仿宋_GB2312" w:eastAsia="仿宋_GB2312" w:cs="仿宋_GB2312"/>
          <w:color w:val="000000"/>
          <w:sz w:val="32"/>
          <w:szCs w:val="32"/>
        </w:rPr>
        <w:t>政府性基金预算支出表</w:t>
      </w:r>
    </w:p>
    <w:p w14:paraId="2D68C0B2">
      <w:pPr>
        <w:spacing w:after="2"/>
        <w:ind w:firstLine="640"/>
        <w:jc w:val="both"/>
        <w:rPr>
          <w:rFonts w:hint="eastAsia"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7</w:t>
      </w:r>
      <w:r>
        <w:rPr>
          <w:rFonts w:ascii="仿宋_GB2312" w:eastAsia="仿宋_GB2312" w:cs="仿宋_GB2312"/>
          <w:color w:val="000000"/>
          <w:sz w:val="32"/>
          <w:szCs w:val="32"/>
        </w:rPr>
        <w:t>、</w:t>
      </w:r>
      <w:r>
        <w:rPr>
          <w:rFonts w:hint="eastAsia" w:ascii="仿宋_GB2312" w:eastAsia="仿宋_GB2312" w:cs="仿宋_GB2312"/>
          <w:color w:val="000000"/>
          <w:sz w:val="32"/>
          <w:szCs w:val="32"/>
        </w:rPr>
        <w:t>政府性基金预算支出分类汇总表（按政府预算经济分类）</w:t>
      </w:r>
    </w:p>
    <w:p w14:paraId="48C4AD4E">
      <w:pPr>
        <w:spacing w:after="2"/>
        <w:ind w:firstLine="640"/>
        <w:jc w:val="both"/>
        <w:rPr>
          <w:rFonts w:hint="eastAsia"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8</w:t>
      </w:r>
      <w:r>
        <w:rPr>
          <w:rFonts w:ascii="仿宋_GB2312" w:eastAsia="仿宋_GB2312" w:cs="仿宋_GB2312"/>
          <w:color w:val="000000"/>
          <w:sz w:val="32"/>
          <w:szCs w:val="32"/>
        </w:rPr>
        <w:t>、</w:t>
      </w:r>
      <w:r>
        <w:rPr>
          <w:rFonts w:hint="eastAsia" w:ascii="仿宋_GB2312" w:eastAsia="仿宋_GB2312" w:cs="仿宋_GB2312"/>
          <w:color w:val="000000"/>
          <w:sz w:val="32"/>
          <w:szCs w:val="32"/>
        </w:rPr>
        <w:t>政府性基金预算支出分类汇总表（按部门预算经济分类）</w:t>
      </w:r>
    </w:p>
    <w:p w14:paraId="61D2D63C">
      <w:pPr>
        <w:spacing w:after="2"/>
        <w:ind w:firstLine="640"/>
        <w:jc w:val="both"/>
        <w:rPr>
          <w:rFonts w:hint="eastAsia"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9</w:t>
      </w:r>
      <w:r>
        <w:rPr>
          <w:rFonts w:ascii="仿宋_GB2312" w:eastAsia="仿宋_GB2312" w:cs="仿宋_GB2312"/>
          <w:color w:val="000000"/>
          <w:sz w:val="32"/>
          <w:szCs w:val="32"/>
        </w:rPr>
        <w:t>、</w:t>
      </w:r>
      <w:r>
        <w:rPr>
          <w:rFonts w:hint="eastAsia" w:ascii="仿宋_GB2312" w:eastAsia="仿宋_GB2312" w:cs="仿宋_GB2312"/>
          <w:color w:val="000000"/>
          <w:sz w:val="32"/>
          <w:szCs w:val="32"/>
        </w:rPr>
        <w:t>国有资本经营预算支出表</w:t>
      </w:r>
    </w:p>
    <w:p w14:paraId="2465045B">
      <w:pPr>
        <w:spacing w:after="2"/>
        <w:ind w:firstLine="640"/>
        <w:jc w:val="both"/>
        <w:rPr>
          <w:rFonts w:hint="eastAsia" w:ascii="仿宋_GB2312" w:eastAsia="仿宋_GB2312" w:cs="仿宋_GB2312"/>
          <w:color w:val="000000"/>
          <w:sz w:val="32"/>
          <w:szCs w:val="32"/>
        </w:rPr>
      </w:pPr>
      <w:r>
        <w:rPr>
          <w:rFonts w:hint="eastAsia" w:ascii="仿宋_GB2312" w:eastAsia="仿宋_GB2312" w:cs="仿宋_GB2312"/>
          <w:color w:val="000000"/>
          <w:sz w:val="32"/>
          <w:szCs w:val="32"/>
          <w:lang w:val="en-US" w:eastAsia="zh-CN"/>
        </w:rPr>
        <w:t>20</w:t>
      </w:r>
      <w:r>
        <w:rPr>
          <w:rFonts w:ascii="仿宋_GB2312" w:eastAsia="仿宋_GB2312" w:cs="仿宋_GB2312"/>
          <w:color w:val="000000"/>
          <w:sz w:val="32"/>
          <w:szCs w:val="32"/>
        </w:rPr>
        <w:t>、</w:t>
      </w:r>
      <w:r>
        <w:rPr>
          <w:rFonts w:hint="eastAsia" w:ascii="仿宋_GB2312" w:eastAsia="仿宋_GB2312" w:cs="仿宋_GB2312"/>
          <w:color w:val="000000"/>
          <w:sz w:val="32"/>
          <w:szCs w:val="32"/>
        </w:rPr>
        <w:t>财政专户管理资金预算支出表</w:t>
      </w:r>
    </w:p>
    <w:p w14:paraId="2E09E60F">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color w:val="000000"/>
          <w:sz w:val="32"/>
          <w:szCs w:val="32"/>
        </w:rPr>
      </w:pPr>
      <w:r>
        <w:rPr>
          <w:rFonts w:ascii="仿宋_GB2312" w:eastAsia="仿宋_GB2312" w:cs="仿宋_GB2312"/>
          <w:color w:val="000000"/>
          <w:sz w:val="32"/>
          <w:szCs w:val="32"/>
        </w:rPr>
        <w:t>2</w:t>
      </w:r>
      <w:r>
        <w:rPr>
          <w:rFonts w:hint="eastAsia" w:ascii="仿宋_GB2312" w:eastAsia="仿宋_GB2312" w:cs="仿宋_GB2312"/>
          <w:color w:val="000000"/>
          <w:sz w:val="32"/>
          <w:szCs w:val="32"/>
          <w:lang w:val="en-US" w:eastAsia="zh-CN"/>
        </w:rPr>
        <w:t>1</w:t>
      </w:r>
      <w:r>
        <w:rPr>
          <w:rFonts w:ascii="仿宋_GB2312" w:eastAsia="仿宋_GB2312" w:cs="仿宋_GB2312"/>
          <w:color w:val="000000"/>
          <w:sz w:val="32"/>
          <w:szCs w:val="32"/>
        </w:rPr>
        <w:t>、</w:t>
      </w:r>
      <w:r>
        <w:rPr>
          <w:rFonts w:hint="eastAsia" w:ascii="仿宋_GB2312" w:eastAsia="仿宋_GB2312" w:cs="仿宋_GB2312"/>
          <w:color w:val="000000"/>
          <w:sz w:val="32"/>
          <w:szCs w:val="32"/>
        </w:rPr>
        <w:t>专项资金预算汇总表</w:t>
      </w:r>
      <w:r>
        <w:rPr>
          <w:rFonts w:ascii="仿宋_GB2312" w:eastAsia="仿宋_GB2312" w:cs="仿宋_GB2312"/>
          <w:color w:val="000000"/>
          <w:sz w:val="32"/>
          <w:szCs w:val="32"/>
        </w:rPr>
        <w:t xml:space="preserve"> </w:t>
      </w:r>
      <w:r>
        <w:rPr>
          <w:rFonts w:hint="eastAsia" w:ascii="宋体" w:hAnsi="宋体" w:eastAsia="宋体" w:cs="宋体"/>
          <w:color w:val="000000"/>
          <w:sz w:val="32"/>
          <w:szCs w:val="32"/>
        </w:rPr>
        <w:t xml:space="preserve">  </w:t>
      </w:r>
    </w:p>
    <w:p w14:paraId="2A9EFDD1">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color w:val="000000"/>
          <w:sz w:val="32"/>
          <w:szCs w:val="32"/>
        </w:rPr>
      </w:pPr>
      <w:r>
        <w:rPr>
          <w:rFonts w:hint="eastAsia" w:ascii="宋体" w:hAnsi="宋体" w:eastAsia="宋体" w:cs="宋体"/>
          <w:color w:val="000000"/>
          <w:sz w:val="32"/>
          <w:szCs w:val="32"/>
        </w:rPr>
        <w:t xml:space="preserve">  </w:t>
      </w:r>
    </w:p>
    <w:p w14:paraId="68B50EB7">
      <w:pPr>
        <w:keepNext w:val="0"/>
        <w:keepLines w:val="0"/>
        <w:widowControl/>
        <w:suppressLineNumbers w:val="0"/>
        <w:spacing w:before="0" w:beforeAutospacing="0" w:after="2" w:afterAutospacing="0"/>
        <w:ind w:left="0" w:right="0" w:firstLine="640"/>
        <w:jc w:val="both"/>
        <w:rPr>
          <w:rFonts w:hint="eastAsia" w:ascii="仿宋_GB2312" w:hAnsi="宋体" w:eastAsia="仿宋_GB2312" w:cs="仿宋_GB2312"/>
          <w:color w:val="000000"/>
          <w:sz w:val="32"/>
          <w:szCs w:val="32"/>
        </w:rPr>
      </w:pPr>
      <w:r>
        <w:rPr>
          <w:rFonts w:hint="eastAsia" w:ascii="宋体" w:hAnsi="宋体" w:eastAsia="宋体" w:cs="宋体"/>
          <w:color w:val="000000"/>
          <w:sz w:val="32"/>
          <w:szCs w:val="32"/>
        </w:rPr>
        <w:t xml:space="preserve">  </w:t>
      </w:r>
    </w:p>
    <w:p w14:paraId="4D3858B5">
      <w:pPr>
        <w:keepNext w:val="0"/>
        <w:keepLines w:val="0"/>
        <w:widowControl/>
        <w:suppressLineNumbers w:val="0"/>
        <w:spacing w:before="0" w:beforeAutospacing="0" w:after="2" w:afterAutospacing="0"/>
        <w:ind w:left="0" w:right="0"/>
        <w:jc w:val="both"/>
        <w:rPr>
          <w:rFonts w:hint="eastAsia" w:ascii="仿宋_GB2312" w:hAnsi="宋体" w:eastAsia="仿宋_GB2312" w:cs="仿宋_GB2312"/>
          <w:sz w:val="21"/>
          <w:szCs w:val="21"/>
        </w:rPr>
      </w:pPr>
      <w:r>
        <w:rPr>
          <w:rFonts w:hint="eastAsia" w:ascii="宋体" w:hAnsi="宋体" w:eastAsia="宋体" w:cs="宋体"/>
          <w:color w:val="000000"/>
          <w:sz w:val="32"/>
          <w:szCs w:val="32"/>
        </w:rPr>
        <w:t xml:space="preserve"> </w:t>
      </w:r>
      <w:r>
        <w:rPr>
          <w:rFonts w:hint="eastAsia" w:ascii="仿宋_GB2312" w:hAnsi="宋体" w:eastAsia="仿宋_GB2312" w:cs="仿宋_GB2312"/>
          <w:color w:val="000000"/>
          <w:sz w:val="21"/>
          <w:szCs w:val="21"/>
        </w:rPr>
        <w:t xml:space="preserve"> </w:t>
      </w:r>
    </w:p>
    <w:p w14:paraId="1A769624">
      <w:pPr>
        <w:keepNext w:val="0"/>
        <w:keepLines w:val="0"/>
        <w:widowControl/>
        <w:suppressLineNumbers w:val="0"/>
        <w:spacing w:before="0" w:beforeAutospacing="0" w:after="2" w:afterAutospacing="0"/>
        <w:ind w:left="0" w:right="0"/>
        <w:jc w:val="both"/>
        <w:rPr>
          <w:rFonts w:hint="eastAsia" w:ascii="仿宋_GB2312" w:hAnsi="宋体" w:eastAsia="仿宋_GB2312" w:cs="仿宋_GB2312"/>
          <w:sz w:val="21"/>
          <w:szCs w:val="21"/>
        </w:rPr>
      </w:pPr>
      <w:r>
        <w:rPr>
          <w:rFonts w:hint="eastAsia" w:ascii="宋体" w:hAnsi="宋体" w:eastAsia="宋体" w:cs="宋体"/>
          <w:color w:val="000000"/>
          <w:sz w:val="32"/>
          <w:szCs w:val="32"/>
        </w:rPr>
        <w:t xml:space="preserve"> </w:t>
      </w:r>
      <w:r>
        <w:rPr>
          <w:rFonts w:hint="eastAsia" w:ascii="仿宋_GB2312" w:hAnsi="宋体" w:eastAsia="仿宋_GB2312" w:cs="仿宋_GB2312"/>
          <w:color w:val="000000"/>
          <w:sz w:val="21"/>
          <w:szCs w:val="21"/>
        </w:rPr>
        <w:t xml:space="preserve"> </w:t>
      </w:r>
    </w:p>
    <w:p w14:paraId="0C560119">
      <w:pPr>
        <w:keepNext w:val="0"/>
        <w:keepLines w:val="0"/>
        <w:widowControl/>
        <w:suppressLineNumbers w:val="0"/>
        <w:spacing w:before="0" w:beforeAutospacing="0" w:after="2" w:afterAutospacing="0"/>
        <w:ind w:left="0" w:right="0"/>
        <w:jc w:val="both"/>
        <w:rPr>
          <w:rFonts w:hint="eastAsia" w:ascii="仿宋_GB2312" w:hAnsi="宋体" w:eastAsia="仿宋_GB2312" w:cs="仿宋_GB2312"/>
          <w:sz w:val="21"/>
          <w:szCs w:val="21"/>
        </w:rPr>
      </w:pPr>
      <w:r>
        <w:rPr>
          <w:rFonts w:hint="eastAsia" w:ascii="宋体" w:hAnsi="宋体" w:eastAsia="宋体" w:cs="宋体"/>
          <w:color w:val="000000"/>
          <w:sz w:val="32"/>
          <w:szCs w:val="32"/>
        </w:rPr>
        <w:t xml:space="preserve"> </w:t>
      </w:r>
      <w:r>
        <w:rPr>
          <w:rFonts w:hint="eastAsia" w:ascii="仿宋_GB2312" w:hAnsi="宋体" w:eastAsia="仿宋_GB2312" w:cs="仿宋_GB2312"/>
          <w:color w:val="000000"/>
          <w:sz w:val="21"/>
          <w:szCs w:val="21"/>
        </w:rPr>
        <w:t xml:space="preserve"> </w:t>
      </w:r>
    </w:p>
    <w:p w14:paraId="5A56D70D">
      <w:pPr>
        <w:keepNext w:val="0"/>
        <w:keepLines w:val="0"/>
        <w:widowControl/>
        <w:suppressLineNumbers w:val="0"/>
        <w:spacing w:before="0" w:beforeAutospacing="0" w:after="2" w:afterAutospacing="0"/>
        <w:ind w:left="0" w:right="0"/>
        <w:jc w:val="center"/>
        <w:rPr>
          <w:rFonts w:hint="eastAsia" w:ascii="仿宋_GB2312" w:hAnsi="宋体" w:eastAsia="仿宋_GB2312" w:cs="仿宋_GB2312"/>
          <w:sz w:val="21"/>
          <w:szCs w:val="21"/>
        </w:rPr>
      </w:pPr>
      <w:r>
        <w:rPr>
          <w:rFonts w:hint="eastAsia" w:ascii="仿宋_GB2312" w:hAnsi="宋体" w:eastAsia="仿宋_GB2312" w:cs="仿宋_GB2312"/>
          <w:color w:val="000000"/>
          <w:sz w:val="36"/>
          <w:szCs w:val="36"/>
        </w:rPr>
        <w:t>第一部分 部门预算说明</w:t>
      </w:r>
      <w:r>
        <w:rPr>
          <w:rFonts w:hint="eastAsia" w:ascii="仿宋_GB2312" w:hAnsi="宋体" w:eastAsia="仿宋_GB2312" w:cs="仿宋_GB2312"/>
          <w:color w:val="000000"/>
          <w:sz w:val="21"/>
          <w:szCs w:val="21"/>
        </w:rPr>
        <w:t xml:space="preserve"> </w:t>
      </w:r>
    </w:p>
    <w:p w14:paraId="274ED788">
      <w:pPr>
        <w:keepNext w:val="0"/>
        <w:keepLines w:val="0"/>
        <w:widowControl/>
        <w:suppressLineNumbers w:val="0"/>
        <w:spacing w:before="0" w:beforeAutospacing="0" w:after="2" w:afterAutospacing="0"/>
        <w:ind w:left="0" w:right="0"/>
        <w:rPr>
          <w:rFonts w:hint="eastAsia" w:ascii="仿宋_GB2312" w:hAnsi="宋体" w:eastAsia="仿宋_GB2312" w:cs="仿宋_GB2312"/>
          <w:sz w:val="21"/>
          <w:szCs w:val="21"/>
        </w:rPr>
      </w:pPr>
      <w:r>
        <w:rPr>
          <w:rFonts w:hint="eastAsia" w:ascii="宋体" w:hAnsi="宋体" w:eastAsia="宋体" w:cs="宋体"/>
          <w:b/>
          <w:bCs/>
          <w:color w:val="000000"/>
          <w:sz w:val="32"/>
          <w:szCs w:val="32"/>
        </w:rPr>
        <w:t xml:space="preserve"> </w:t>
      </w:r>
      <w:r>
        <w:rPr>
          <w:rFonts w:hint="eastAsia" w:ascii="仿宋_GB2312" w:hAnsi="宋体" w:eastAsia="仿宋_GB2312" w:cs="仿宋_GB2312"/>
          <w:color w:val="000000"/>
          <w:sz w:val="21"/>
          <w:szCs w:val="21"/>
        </w:rPr>
        <w:t xml:space="preserve"> </w:t>
      </w:r>
    </w:p>
    <w:p w14:paraId="78E701E3">
      <w:pPr>
        <w:keepNext w:val="0"/>
        <w:keepLines w:val="0"/>
        <w:widowControl/>
        <w:suppressLineNumbers w:val="0"/>
        <w:spacing w:before="0" w:beforeAutospacing="0" w:after="2" w:afterAutospacing="0"/>
        <w:ind w:left="0" w:right="0" w:firstLine="627"/>
        <w:rPr>
          <w:rFonts w:hint="eastAsia" w:ascii="仿宋_GB2312" w:hAnsi="宋体" w:eastAsia="仿宋_GB2312" w:cs="仿宋_GB2312"/>
          <w:color w:val="0000FF"/>
          <w:sz w:val="21"/>
          <w:szCs w:val="21"/>
        </w:rPr>
      </w:pPr>
      <w:r>
        <w:rPr>
          <w:rFonts w:hint="eastAsia" w:ascii="仿宋_GB2312" w:hAnsi="宋体" w:eastAsia="仿宋_GB2312" w:cs="仿宋_GB2312"/>
          <w:color w:val="000000"/>
          <w:sz w:val="32"/>
          <w:szCs w:val="32"/>
        </w:rPr>
        <w:t>一、部门基本概况</w:t>
      </w:r>
    </w:p>
    <w:p w14:paraId="7E9836B4">
      <w:pPr>
        <w:keepNext w:val="0"/>
        <w:keepLines w:val="0"/>
        <w:widowControl/>
        <w:suppressLineNumbers w:val="0"/>
        <w:spacing w:before="0" w:beforeAutospacing="0" w:after="2" w:afterAutospacing="0"/>
        <w:ind w:left="0" w:right="0" w:firstLine="627"/>
        <w:rPr>
          <w:rFonts w:hint="eastAsia" w:ascii="仿宋_GB2312" w:hAnsi="宋体" w:eastAsia="仿宋_GB2312" w:cs="仿宋_GB2312"/>
          <w:sz w:val="21"/>
          <w:szCs w:val="21"/>
        </w:rPr>
      </w:pPr>
      <w:r>
        <w:rPr>
          <w:rFonts w:hint="eastAsia" w:ascii="仿宋_GB2312" w:hAnsi="宋体" w:eastAsia="仿宋_GB2312" w:cs="仿宋_GB2312"/>
          <w:b/>
          <w:bCs/>
          <w:color w:val="000000"/>
          <w:sz w:val="32"/>
          <w:szCs w:val="32"/>
        </w:rPr>
        <w:t>（一）职能职责</w:t>
      </w:r>
      <w:r>
        <w:rPr>
          <w:rFonts w:hint="eastAsia" w:ascii="仿宋_GB2312" w:hAnsi="宋体" w:eastAsia="仿宋_GB2312" w:cs="仿宋_GB2312"/>
          <w:color w:val="000000"/>
          <w:sz w:val="21"/>
          <w:szCs w:val="21"/>
        </w:rPr>
        <w:t xml:space="preserve"> </w:t>
      </w:r>
    </w:p>
    <w:p w14:paraId="76918A13">
      <w:pPr>
        <w:keepNext w:val="0"/>
        <w:keepLines w:val="0"/>
        <w:widowControl/>
        <w:suppressLineNumbers w:val="0"/>
        <w:pBdr>
          <w:top w:val="none" w:color="000000" w:sz="0" w:space="0"/>
          <w:left w:val="none" w:color="000000" w:sz="0" w:space="0"/>
          <w:bottom w:val="none" w:color="000000" w:sz="0" w:space="0"/>
          <w:right w:val="none" w:color="000000" w:sz="0" w:space="0"/>
        </w:pBdr>
        <w:ind w:lef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lang w:val="en-US" w:eastAsia="zh-CN" w:bidi="ar"/>
        </w:rPr>
        <w:t>1、负责县政协全体会议、常务委员会议、主席办公会议、常务委员专题座谈会和专门委员会的会务工作，负责上述会议所形成的决议、决定、建议案的组织实施。</w:t>
      </w:r>
    </w:p>
    <w:p w14:paraId="3455536A">
      <w:pPr>
        <w:keepNext w:val="0"/>
        <w:keepLines w:val="0"/>
        <w:widowControl/>
        <w:suppressLineNumbers w:val="0"/>
        <w:pBdr>
          <w:top w:val="none" w:color="000000" w:sz="0" w:space="0"/>
          <w:left w:val="none" w:color="000000" w:sz="0" w:space="0"/>
          <w:bottom w:val="none" w:color="000000" w:sz="0" w:space="0"/>
          <w:right w:val="none" w:color="000000" w:sz="0" w:space="0"/>
        </w:pBdr>
        <w:ind w:lef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lang w:val="en-US" w:eastAsia="zh-CN" w:bidi="ar"/>
        </w:rPr>
        <w:t>2、协调县政协各专门委员会的工作，充分发挥政协委员的作用，履行好政治协商、民主监督、参政议政的基本职能。</w:t>
      </w:r>
    </w:p>
    <w:p w14:paraId="41D606AC">
      <w:pPr>
        <w:keepNext w:val="0"/>
        <w:keepLines w:val="0"/>
        <w:widowControl/>
        <w:suppressLineNumbers w:val="0"/>
        <w:pBdr>
          <w:top w:val="none" w:color="000000" w:sz="0" w:space="0"/>
          <w:left w:val="none" w:color="000000" w:sz="0" w:space="0"/>
          <w:bottom w:val="none" w:color="000000" w:sz="0" w:space="0"/>
          <w:right w:val="none" w:color="000000" w:sz="0" w:space="0"/>
        </w:pBdr>
        <w:ind w:lef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lang w:val="en-US" w:eastAsia="zh-CN" w:bidi="ar"/>
        </w:rPr>
        <w:t>3、负责县政协委员进行视察、参观、调查、座谈学习、研讨等日常活动的服务和具体组织工作，受市政协的委托，组织在道县的市政协委员进行视察活动。</w:t>
      </w:r>
    </w:p>
    <w:p w14:paraId="1557BE42">
      <w:pPr>
        <w:keepNext w:val="0"/>
        <w:keepLines w:val="0"/>
        <w:widowControl/>
        <w:suppressLineNumbers w:val="0"/>
        <w:pBdr>
          <w:top w:val="none" w:color="000000" w:sz="0" w:space="0"/>
          <w:left w:val="none" w:color="000000" w:sz="0" w:space="0"/>
          <w:bottom w:val="none" w:color="000000" w:sz="0" w:space="0"/>
          <w:right w:val="none" w:color="000000" w:sz="0" w:space="0"/>
        </w:pBdr>
        <w:ind w:lef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lang w:val="en-US" w:eastAsia="zh-CN" w:bidi="ar"/>
        </w:rPr>
        <w:t>4、研究统一战线和人民政协的理论、政策，调查研究地方政协的共同性问题及其解决办法，供领导参考。</w:t>
      </w:r>
    </w:p>
    <w:p w14:paraId="4B03472A">
      <w:pPr>
        <w:keepNext w:val="0"/>
        <w:keepLines w:val="0"/>
        <w:widowControl/>
        <w:suppressLineNumbers w:val="0"/>
        <w:pBdr>
          <w:top w:val="none" w:color="000000" w:sz="0" w:space="0"/>
          <w:left w:val="none" w:color="000000" w:sz="0" w:space="0"/>
          <w:bottom w:val="none" w:color="000000" w:sz="0" w:space="0"/>
          <w:right w:val="none" w:color="000000" w:sz="0" w:space="0"/>
        </w:pBdr>
        <w:ind w:lef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lang w:val="en-US" w:eastAsia="zh-CN" w:bidi="ar"/>
        </w:rPr>
        <w:t>5、宣传人民政协的方针政策、工作业绩和经验以及政协委员的先进事迹，收集和反映县政协委员和各界人士的意见与建议，综合反映社情民意。</w:t>
      </w:r>
    </w:p>
    <w:p w14:paraId="68D62E86">
      <w:pPr>
        <w:keepNext w:val="0"/>
        <w:keepLines w:val="0"/>
        <w:widowControl/>
        <w:suppressLineNumbers w:val="0"/>
        <w:pBdr>
          <w:top w:val="none" w:color="000000" w:sz="0" w:space="0"/>
          <w:left w:val="none" w:color="000000" w:sz="0" w:space="0"/>
          <w:bottom w:val="none" w:color="000000" w:sz="0" w:space="0"/>
          <w:right w:val="none" w:color="000000" w:sz="0" w:space="0"/>
        </w:pBdr>
        <w:ind w:left="0" w:firstLine="64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lang w:val="en-US" w:eastAsia="zh-CN" w:bidi="ar"/>
        </w:rPr>
        <w:t>6、联系各民主党派、工商联、各人民团体和无党派人士，联系县直有关部门，互通信息，协调工作，加强合作。</w:t>
      </w:r>
    </w:p>
    <w:p w14:paraId="4F486F55">
      <w:pPr>
        <w:keepNext w:val="0"/>
        <w:keepLines w:val="0"/>
        <w:widowControl/>
        <w:suppressLineNumbers w:val="0"/>
        <w:pBdr>
          <w:top w:val="none" w:color="000000" w:sz="0" w:space="0"/>
          <w:left w:val="none" w:color="000000" w:sz="0" w:space="0"/>
          <w:bottom w:val="none" w:color="000000" w:sz="0" w:space="0"/>
          <w:right w:val="none" w:color="000000" w:sz="0" w:space="0"/>
        </w:pBdr>
        <w:ind w:right="0" w:firstLine="640"/>
        <w:jc w:val="left"/>
        <w:rPr>
          <w:rFonts w:hint="eastAsia" w:ascii="仿宋_GB2312" w:hAnsi="仿宋_GB2312" w:eastAsia="仿宋_GB2312" w:cs="仿宋_GB2312"/>
          <w:i w:val="0"/>
          <w:caps w:val="0"/>
          <w:color w:val="333333"/>
          <w:spacing w:val="0"/>
          <w:sz w:val="32"/>
          <w:szCs w:val="32"/>
          <w:lang w:val="en-US" w:eastAsia="zh-CN" w:bidi="ar"/>
        </w:rPr>
      </w:pPr>
      <w:r>
        <w:rPr>
          <w:rFonts w:hint="eastAsia" w:ascii="仿宋_GB2312" w:hAnsi="仿宋_GB2312" w:eastAsia="仿宋_GB2312" w:cs="仿宋_GB2312"/>
          <w:i w:val="0"/>
          <w:caps w:val="0"/>
          <w:color w:val="333333"/>
          <w:spacing w:val="0"/>
          <w:sz w:val="32"/>
          <w:szCs w:val="32"/>
          <w:lang w:val="en-US" w:eastAsia="zh-CN" w:bidi="ar"/>
        </w:rPr>
        <w:t>7、负责县政协开展各项活动的有关后勤服务管理工作和县政协机关行政事务管理工作。</w:t>
      </w:r>
    </w:p>
    <w:p w14:paraId="4FF93E5F">
      <w:pPr>
        <w:keepNext w:val="0"/>
        <w:keepLines w:val="0"/>
        <w:widowControl/>
        <w:suppressLineNumbers w:val="0"/>
        <w:pBdr>
          <w:top w:val="none" w:color="000000" w:sz="0" w:space="0"/>
          <w:left w:val="none" w:color="000000" w:sz="0" w:space="0"/>
          <w:bottom w:val="none" w:color="000000" w:sz="0" w:space="0"/>
          <w:right w:val="none" w:color="000000" w:sz="0" w:space="0"/>
        </w:pBdr>
        <w:ind w:firstLine="640"/>
        <w:jc w:val="left"/>
        <w:rPr>
          <w:rFonts w:hint="eastAsia" w:ascii="仿宋_GB2312" w:hAnsi="仿宋_GB2312" w:eastAsia="仿宋_GB2312" w:cs="仿宋_GB2312"/>
          <w:i w:val="0"/>
          <w:caps w:val="0"/>
          <w:color w:val="333333"/>
          <w:spacing w:val="0"/>
          <w:sz w:val="32"/>
          <w:szCs w:val="32"/>
          <w:lang w:val="en-US" w:eastAsia="zh-CN" w:bidi="ar"/>
        </w:rPr>
      </w:pPr>
      <w:r>
        <w:rPr>
          <w:rFonts w:hint="eastAsia" w:ascii="仿宋_GB2312" w:hAnsi="仿宋_GB2312" w:eastAsia="仿宋_GB2312" w:cs="仿宋_GB2312"/>
          <w:i w:val="0"/>
          <w:caps w:val="0"/>
          <w:color w:val="333333"/>
          <w:spacing w:val="0"/>
          <w:sz w:val="32"/>
          <w:szCs w:val="32"/>
          <w:lang w:val="en-US" w:eastAsia="zh-CN" w:bidi="ar"/>
        </w:rPr>
        <w:t>8、负责权限范围内的人事任免</w:t>
      </w:r>
    </w:p>
    <w:p w14:paraId="26CD5E30">
      <w:pPr>
        <w:keepNext w:val="0"/>
        <w:keepLines w:val="0"/>
        <w:widowControl/>
        <w:suppressLineNumbers w:val="0"/>
        <w:pBdr>
          <w:top w:val="none" w:color="000000" w:sz="0" w:space="0"/>
          <w:left w:val="none" w:color="000000" w:sz="0" w:space="0"/>
          <w:bottom w:val="none" w:color="000000" w:sz="0" w:space="0"/>
          <w:right w:val="none" w:color="000000" w:sz="0" w:space="0"/>
        </w:pBdr>
        <w:tabs>
          <w:tab w:val="left" w:pos="-200"/>
        </w:tabs>
        <w:ind w:firstLine="640"/>
        <w:jc w:val="left"/>
        <w:rPr>
          <w:rFonts w:hint="eastAsia" w:ascii="仿宋_GB2312" w:hAnsi="仿宋_GB2312" w:eastAsia="仿宋_GB2312" w:cs="仿宋_GB2312"/>
          <w:i w:val="0"/>
          <w:caps w:val="0"/>
          <w:color w:val="333333"/>
          <w:spacing w:val="0"/>
          <w:sz w:val="32"/>
          <w:szCs w:val="32"/>
          <w:lang w:val="en-US" w:eastAsia="zh-CN" w:bidi="ar"/>
        </w:rPr>
      </w:pPr>
      <w:r>
        <w:rPr>
          <w:rFonts w:hint="eastAsia" w:ascii="仿宋_GB2312" w:hAnsi="仿宋_GB2312" w:eastAsia="仿宋_GB2312" w:cs="仿宋_GB2312"/>
          <w:i w:val="0"/>
          <w:caps w:val="0"/>
          <w:color w:val="333333"/>
          <w:spacing w:val="0"/>
          <w:sz w:val="32"/>
          <w:szCs w:val="32"/>
          <w:lang w:val="en-US" w:eastAsia="zh-CN" w:bidi="ar"/>
        </w:rPr>
        <w:t>9、负责接待来道县访问的海内外有关友好人士和对外联谊工作。</w:t>
      </w:r>
    </w:p>
    <w:p w14:paraId="575A649F">
      <w:pPr>
        <w:keepNext w:val="0"/>
        <w:keepLines w:val="0"/>
        <w:widowControl/>
        <w:suppressLineNumbers w:val="0"/>
        <w:spacing w:before="0" w:beforeAutospacing="0" w:after="2" w:afterAutospacing="0"/>
        <w:ind w:left="0" w:right="0" w:firstLine="628"/>
        <w:rPr>
          <w:rFonts w:hint="eastAsia" w:ascii="仿宋_GB2312" w:hAnsi="仿宋_GB2312" w:eastAsia="仿宋_GB2312" w:cs="仿宋_GB2312"/>
          <w:i w:val="0"/>
          <w:caps w:val="0"/>
          <w:color w:val="333333"/>
          <w:spacing w:val="0"/>
          <w:sz w:val="32"/>
          <w:szCs w:val="32"/>
          <w:lang w:val="en-US" w:eastAsia="zh-CN" w:bidi="ar"/>
        </w:rPr>
      </w:pPr>
      <w:r>
        <w:rPr>
          <w:rFonts w:hint="eastAsia" w:ascii="仿宋_GB2312" w:hAnsi="仿宋_GB2312" w:eastAsia="仿宋_GB2312" w:cs="仿宋_GB2312"/>
          <w:i w:val="0"/>
          <w:caps w:val="0"/>
          <w:color w:val="333333"/>
          <w:spacing w:val="0"/>
          <w:sz w:val="32"/>
          <w:szCs w:val="32"/>
          <w:lang w:val="en-US" w:eastAsia="zh-CN" w:bidi="ar"/>
        </w:rPr>
        <w:t>10、承办县委、县政协主席、副主席交办的其它事项。</w:t>
      </w:r>
    </w:p>
    <w:p w14:paraId="1376E9D8">
      <w:pPr>
        <w:keepNext w:val="0"/>
        <w:keepLines w:val="0"/>
        <w:widowControl/>
        <w:suppressLineNumbers w:val="0"/>
        <w:spacing w:before="0" w:beforeAutospacing="0" w:after="2" w:afterAutospacing="0"/>
        <w:ind w:left="0" w:right="0" w:firstLine="628"/>
        <w:rPr>
          <w:rFonts w:hint="eastAsia" w:ascii="仿宋_GB2312" w:hAnsi="宋体" w:eastAsia="仿宋_GB2312" w:cs="仿宋_GB2312"/>
          <w:sz w:val="21"/>
          <w:szCs w:val="21"/>
        </w:rPr>
      </w:pPr>
      <w:r>
        <w:rPr>
          <w:rFonts w:hint="eastAsia" w:ascii="仿宋_GB2312" w:hAnsi="宋体" w:eastAsia="仿宋_GB2312" w:cs="仿宋_GB2312"/>
          <w:b/>
          <w:bCs/>
          <w:color w:val="000000"/>
          <w:sz w:val="32"/>
          <w:szCs w:val="32"/>
        </w:rPr>
        <w:t>（二）机构设置</w:t>
      </w:r>
      <w:r>
        <w:rPr>
          <w:rFonts w:hint="eastAsia" w:ascii="仿宋_GB2312" w:hAnsi="宋体" w:eastAsia="仿宋_GB2312" w:cs="仿宋_GB2312"/>
          <w:color w:val="000000"/>
          <w:sz w:val="21"/>
          <w:szCs w:val="21"/>
        </w:rPr>
        <w:t xml:space="preserve"> </w:t>
      </w:r>
    </w:p>
    <w:p w14:paraId="2FFD01D1">
      <w:pPr>
        <w:keepNext w:val="0"/>
        <w:keepLines w:val="0"/>
        <w:widowControl/>
        <w:suppressLineNumbers w:val="0"/>
        <w:pBdr>
          <w:top w:val="none" w:color="000000" w:sz="0" w:space="0"/>
          <w:left w:val="none" w:color="000000" w:sz="0" w:space="0"/>
          <w:bottom w:val="none" w:color="000000" w:sz="0" w:space="0"/>
          <w:right w:val="none" w:color="000000" w:sz="0" w:space="0"/>
        </w:pBdr>
        <w:ind w:firstLine="640"/>
        <w:jc w:val="left"/>
        <w:rPr>
          <w:rFonts w:hint="eastAsia" w:ascii="仿宋_GB2312" w:hAnsi="仿宋_GB2312" w:eastAsia="仿宋_GB2312" w:cs="仿宋_GB2312"/>
          <w:i w:val="0"/>
          <w:caps w:val="0"/>
          <w:color w:val="333333"/>
          <w:spacing w:val="0"/>
          <w:sz w:val="32"/>
          <w:szCs w:val="32"/>
          <w:lang w:val="en-US" w:eastAsia="zh-CN" w:bidi="ar"/>
        </w:rPr>
      </w:pPr>
      <w:r>
        <w:rPr>
          <w:rFonts w:hint="eastAsia" w:ascii="仿宋_GB2312" w:hAnsi="仿宋_GB2312" w:eastAsia="仿宋_GB2312" w:cs="仿宋_GB2312"/>
          <w:i w:val="0"/>
          <w:caps w:val="0"/>
          <w:color w:val="333333"/>
          <w:spacing w:val="0"/>
          <w:sz w:val="32"/>
          <w:szCs w:val="32"/>
          <w:lang w:val="en-US" w:eastAsia="zh-CN" w:bidi="ar"/>
        </w:rPr>
        <w:t>根据编委核定，县政协为正处级单位，内设六委一室一政协云中心，全部纳入2022年部门预算编制范围。内设委室分别是办公室、提案委、学联委、文史委、经外委、社民委、农环委、政协云中心。</w:t>
      </w:r>
    </w:p>
    <w:p w14:paraId="04738C89">
      <w:pPr>
        <w:keepNext w:val="0"/>
        <w:keepLines w:val="0"/>
        <w:widowControl/>
        <w:suppressLineNumbers w:val="0"/>
        <w:spacing w:before="0" w:beforeAutospacing="0" w:after="2" w:afterAutospacing="0"/>
        <w:ind w:left="0" w:right="0" w:firstLine="627"/>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二、部门预算单位构成</w:t>
      </w:r>
      <w:r>
        <w:rPr>
          <w:rFonts w:hint="eastAsia" w:ascii="仿宋_GB2312" w:hAnsi="宋体" w:eastAsia="仿宋_GB2312" w:cs="仿宋_GB2312"/>
          <w:color w:val="000000"/>
          <w:sz w:val="21"/>
          <w:szCs w:val="21"/>
        </w:rPr>
        <w:t xml:space="preserve"> </w:t>
      </w:r>
    </w:p>
    <w:p w14:paraId="23AA4C4B">
      <w:pPr>
        <w:keepNext w:val="0"/>
        <w:keepLines w:val="0"/>
        <w:widowControl/>
        <w:suppressLineNumbers w:val="0"/>
        <w:spacing w:before="0" w:beforeAutospacing="0" w:after="2" w:afterAutospacing="0"/>
        <w:ind w:left="0" w:right="0" w:firstLine="627"/>
        <w:jc w:val="both"/>
        <w:rPr>
          <w:rFonts w:hint="eastAsia" w:ascii="仿宋_GB2312" w:hAnsi="宋体" w:eastAsia="仿宋_GB2312" w:cs="仿宋_GB2312"/>
          <w:sz w:val="21"/>
          <w:szCs w:val="21"/>
        </w:rPr>
      </w:pPr>
      <w:r>
        <w:rPr>
          <w:rFonts w:hint="eastAsia" w:ascii="仿宋_GB2312" w:eastAsia="仿宋_GB2312" w:cs="仿宋_GB2312"/>
          <w:color w:val="000000"/>
          <w:sz w:val="32"/>
          <w:szCs w:val="32"/>
          <w:lang w:val="en-US" w:eastAsia="zh-CN"/>
        </w:rPr>
        <w:t>县政协预算单位</w:t>
      </w:r>
      <w:r>
        <w:rPr>
          <w:rFonts w:hint="eastAsia" w:ascii="仿宋_GB2312" w:hAnsi="宋体" w:eastAsia="仿宋_GB2312" w:cs="仿宋_GB2312"/>
          <w:color w:val="000000"/>
          <w:sz w:val="32"/>
          <w:szCs w:val="32"/>
        </w:rPr>
        <w:t>只有本级，没有其他二级预算单位，因此，纳入2022年部门预算编制范围的只有</w:t>
      </w:r>
      <w:r>
        <w:rPr>
          <w:rFonts w:hint="eastAsia" w:ascii="仿宋_GB2312" w:eastAsia="仿宋_GB2312" w:cs="仿宋_GB2312"/>
          <w:color w:val="000000"/>
          <w:sz w:val="32"/>
          <w:szCs w:val="32"/>
          <w:lang w:val="en-US" w:eastAsia="zh-CN"/>
        </w:rPr>
        <w:t>道县政协</w:t>
      </w:r>
      <w:r>
        <w:rPr>
          <w:rFonts w:hint="eastAsia" w:ascii="仿宋_GB2312" w:hAnsi="宋体" w:eastAsia="仿宋_GB2312" w:cs="仿宋_GB2312"/>
          <w:color w:val="000000"/>
          <w:sz w:val="32"/>
          <w:szCs w:val="32"/>
        </w:rPr>
        <w:t>本级。</w:t>
      </w:r>
      <w:r>
        <w:rPr>
          <w:rFonts w:hint="eastAsia" w:ascii="仿宋_GB2312" w:hAnsi="宋体" w:eastAsia="仿宋_GB2312" w:cs="仿宋_GB2312"/>
          <w:color w:val="000000"/>
          <w:sz w:val="21"/>
          <w:szCs w:val="21"/>
        </w:rPr>
        <w:t xml:space="preserve"> </w:t>
      </w:r>
    </w:p>
    <w:p w14:paraId="0B3795BF">
      <w:pPr>
        <w:keepNext w:val="0"/>
        <w:keepLines w:val="0"/>
        <w:widowControl/>
        <w:suppressLineNumbers w:val="0"/>
        <w:spacing w:before="0" w:beforeAutospacing="0" w:after="2" w:afterAutospacing="0"/>
        <w:ind w:left="0" w:right="0" w:firstLine="627"/>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三、</w:t>
      </w:r>
      <w:r>
        <w:rPr>
          <w:rFonts w:hint="eastAsia" w:ascii="仿宋_GB2312" w:eastAsia="仿宋_GB2312" w:cs="仿宋_GB2312"/>
          <w:color w:val="000000"/>
          <w:sz w:val="32"/>
          <w:szCs w:val="32"/>
          <w:lang w:val="en-US" w:eastAsia="zh-CN"/>
        </w:rPr>
        <w:t>预算收入、预算支出</w:t>
      </w:r>
      <w:r>
        <w:rPr>
          <w:rFonts w:hint="eastAsia" w:ascii="仿宋_GB2312" w:hAnsi="宋体" w:eastAsia="仿宋_GB2312" w:cs="仿宋_GB2312"/>
          <w:color w:val="000000"/>
          <w:sz w:val="21"/>
          <w:szCs w:val="21"/>
        </w:rPr>
        <w:t xml:space="preserve"> </w:t>
      </w:r>
    </w:p>
    <w:p w14:paraId="26D91D95">
      <w:pPr>
        <w:keepNext w:val="0"/>
        <w:keepLines w:val="0"/>
        <w:widowControl/>
        <w:suppressLineNumbers w:val="0"/>
        <w:spacing w:before="0" w:beforeAutospacing="0" w:after="2" w:afterAutospacing="0"/>
        <w:ind w:left="0" w:right="0" w:firstLine="628"/>
        <w:jc w:val="both"/>
        <w:rPr>
          <w:rFonts w:hint="eastAsia" w:ascii="仿宋_GB2312" w:hAnsi="宋体" w:eastAsia="仿宋_GB2312" w:cs="仿宋_GB2312"/>
          <w:sz w:val="21"/>
          <w:szCs w:val="21"/>
        </w:rPr>
      </w:pPr>
      <w:r>
        <w:rPr>
          <w:rFonts w:hint="eastAsia" w:ascii="仿宋_GB2312" w:hAnsi="宋体" w:eastAsia="仿宋_GB2312" w:cs="仿宋_GB2312"/>
          <w:b/>
          <w:bCs/>
          <w:color w:val="000000"/>
          <w:sz w:val="32"/>
          <w:szCs w:val="32"/>
        </w:rPr>
        <w:t>（一）收入预算：</w:t>
      </w:r>
      <w:r>
        <w:rPr>
          <w:rFonts w:hint="eastAsia" w:ascii="仿宋_GB2312" w:hAnsi="宋体" w:eastAsia="仿宋_GB2312" w:cs="仿宋_GB2312"/>
          <w:color w:val="000000"/>
          <w:sz w:val="32"/>
          <w:szCs w:val="32"/>
        </w:rPr>
        <w:t>2022年本部门收入预算</w:t>
      </w:r>
      <w:r>
        <w:rPr>
          <w:rFonts w:hint="eastAsia" w:ascii="仿宋_GB2312" w:eastAsia="仿宋_GB2312" w:cs="仿宋_GB2312"/>
          <w:color w:val="000000"/>
          <w:sz w:val="32"/>
          <w:szCs w:val="32"/>
          <w:lang w:val="en-US" w:eastAsia="zh-CN"/>
        </w:rPr>
        <w:t>753.78</w:t>
      </w:r>
      <w:r>
        <w:rPr>
          <w:rFonts w:hint="eastAsia" w:ascii="仿宋_GB2312" w:hAnsi="宋体" w:eastAsia="仿宋_GB2312" w:cs="仿宋_GB2312"/>
          <w:color w:val="000000"/>
          <w:sz w:val="32"/>
          <w:szCs w:val="32"/>
        </w:rPr>
        <w:t>万元，其中，一般公共预算拨款</w:t>
      </w:r>
      <w:r>
        <w:rPr>
          <w:rFonts w:hint="eastAsia" w:ascii="仿宋_GB2312" w:eastAsia="仿宋_GB2312" w:cs="仿宋_GB2312"/>
          <w:color w:val="000000"/>
          <w:sz w:val="32"/>
          <w:szCs w:val="32"/>
          <w:lang w:val="en-US" w:eastAsia="zh-CN"/>
        </w:rPr>
        <w:t>753.78</w:t>
      </w:r>
      <w:r>
        <w:rPr>
          <w:rFonts w:hint="eastAsia" w:ascii="仿宋_GB2312" w:hAnsi="宋体" w:eastAsia="仿宋_GB2312" w:cs="仿宋_GB2312"/>
          <w:color w:val="000000"/>
          <w:sz w:val="32"/>
          <w:szCs w:val="32"/>
        </w:rPr>
        <w:t>万元。收入较去年增加</w:t>
      </w:r>
      <w:r>
        <w:rPr>
          <w:rFonts w:hint="eastAsia" w:ascii="仿宋_GB2312" w:eastAsia="仿宋_GB2312" w:cs="仿宋_GB2312"/>
          <w:color w:val="000000"/>
          <w:sz w:val="32"/>
          <w:szCs w:val="32"/>
          <w:lang w:val="en-US" w:eastAsia="zh-CN"/>
        </w:rPr>
        <w:t>18.39</w:t>
      </w:r>
      <w:r>
        <w:rPr>
          <w:rFonts w:hint="eastAsia" w:ascii="仿宋_GB2312" w:hAnsi="宋体" w:eastAsia="仿宋_GB2312" w:cs="仿宋_GB2312"/>
          <w:color w:val="000000"/>
          <w:sz w:val="32"/>
          <w:szCs w:val="32"/>
        </w:rPr>
        <w:t>万元，主要</w:t>
      </w:r>
      <w:r>
        <w:rPr>
          <w:rFonts w:hint="eastAsia" w:ascii="仿宋_GB2312" w:hAnsi="仿宋_GB2312" w:eastAsia="仿宋_GB2312" w:cs="仿宋_GB2312"/>
          <w:i w:val="0"/>
          <w:caps w:val="0"/>
          <w:color w:val="333333"/>
          <w:spacing w:val="0"/>
          <w:sz w:val="32"/>
          <w:szCs w:val="32"/>
          <w:lang w:val="en-US" w:eastAsia="zh-CN" w:bidi="ar"/>
        </w:rPr>
        <w:t>是基本预算收入较去年增加21.69万元，主要原因是换届选举后人员调入，相应增加工资及各项社保资金21.69万元；项目预算收入较去年减少3.30万元，主要是按相关政策要求调减项目收入3.30万元</w:t>
      </w:r>
      <w:r>
        <w:rPr>
          <w:rFonts w:hint="eastAsia" w:ascii="仿宋_GB2312" w:hAnsi="宋体" w:eastAsia="仿宋_GB2312" w:cs="仿宋_GB2312"/>
          <w:color w:val="000000"/>
          <w:sz w:val="32"/>
          <w:szCs w:val="32"/>
        </w:rPr>
        <w:t>。</w:t>
      </w:r>
      <w:r>
        <w:rPr>
          <w:rFonts w:hint="eastAsia" w:ascii="仿宋_GB2312" w:hAnsi="宋体" w:eastAsia="仿宋_GB2312" w:cs="仿宋_GB2312"/>
          <w:color w:val="000000"/>
          <w:sz w:val="21"/>
          <w:szCs w:val="21"/>
        </w:rPr>
        <w:t xml:space="preserve"> </w:t>
      </w:r>
    </w:p>
    <w:p w14:paraId="1A661BD4">
      <w:pPr>
        <w:keepNext w:val="0"/>
        <w:keepLines w:val="0"/>
        <w:widowControl/>
        <w:suppressLineNumbers w:val="0"/>
        <w:spacing w:before="0" w:beforeAutospacing="0" w:after="2" w:afterAutospacing="0"/>
        <w:ind w:left="0" w:right="0" w:firstLine="628"/>
        <w:rPr>
          <w:rFonts w:hint="eastAsia" w:ascii="仿宋_GB2312" w:hAnsi="宋体" w:eastAsia="仿宋_GB2312" w:cs="仿宋_GB2312"/>
          <w:sz w:val="21"/>
          <w:szCs w:val="21"/>
        </w:rPr>
      </w:pPr>
      <w:r>
        <w:rPr>
          <w:rFonts w:hint="eastAsia" w:ascii="仿宋_GB2312" w:hAnsi="宋体" w:eastAsia="仿宋_GB2312" w:cs="仿宋_GB2312"/>
          <w:b/>
          <w:bCs/>
          <w:color w:val="000000"/>
          <w:sz w:val="32"/>
          <w:szCs w:val="32"/>
        </w:rPr>
        <w:t>（二）支出预算：</w:t>
      </w:r>
      <w:r>
        <w:rPr>
          <w:rFonts w:hint="eastAsia" w:ascii="仿宋_GB2312" w:hAnsi="宋体" w:eastAsia="仿宋_GB2312" w:cs="仿宋_GB2312"/>
          <w:color w:val="000000"/>
          <w:sz w:val="32"/>
          <w:szCs w:val="32"/>
        </w:rPr>
        <w:t>2022年本部门支出预算</w:t>
      </w:r>
      <w:r>
        <w:rPr>
          <w:rFonts w:hint="eastAsia" w:ascii="仿宋_GB2312" w:eastAsia="仿宋_GB2312" w:cs="仿宋_GB2312"/>
          <w:color w:val="000000"/>
          <w:sz w:val="32"/>
          <w:szCs w:val="32"/>
          <w:lang w:val="en-US" w:eastAsia="zh-CN"/>
        </w:rPr>
        <w:t>753.78</w:t>
      </w:r>
      <w:r>
        <w:rPr>
          <w:rFonts w:hint="eastAsia" w:ascii="仿宋_GB2312" w:hAnsi="宋体" w:eastAsia="仿宋_GB2312" w:cs="仿宋_GB2312"/>
          <w:color w:val="000000"/>
          <w:sz w:val="32"/>
          <w:szCs w:val="32"/>
        </w:rPr>
        <w:t>万元，支出较去年增加</w:t>
      </w:r>
      <w:r>
        <w:rPr>
          <w:rFonts w:hint="eastAsia" w:ascii="仿宋_GB2312" w:eastAsia="仿宋_GB2312" w:cs="仿宋_GB2312"/>
          <w:color w:val="000000"/>
          <w:sz w:val="32"/>
          <w:szCs w:val="32"/>
          <w:lang w:val="en-US" w:eastAsia="zh-CN"/>
        </w:rPr>
        <w:t>18.39</w:t>
      </w:r>
      <w:r>
        <w:rPr>
          <w:rFonts w:hint="eastAsia" w:ascii="仿宋_GB2312" w:hAnsi="宋体" w:eastAsia="仿宋_GB2312" w:cs="仿宋_GB2312"/>
          <w:color w:val="000000"/>
          <w:sz w:val="32"/>
          <w:szCs w:val="32"/>
        </w:rPr>
        <w:t>万元，主要是</w:t>
      </w:r>
      <w:r>
        <w:rPr>
          <w:rFonts w:hint="eastAsia" w:ascii="仿宋_GB2312" w:hAnsi="仿宋_GB2312" w:eastAsia="仿宋_GB2312" w:cs="仿宋_GB2312"/>
          <w:i w:val="0"/>
          <w:caps w:val="0"/>
          <w:color w:val="333333"/>
          <w:spacing w:val="0"/>
          <w:sz w:val="32"/>
          <w:szCs w:val="32"/>
          <w:lang w:val="en-US" w:eastAsia="zh-CN" w:bidi="ar"/>
        </w:rPr>
        <w:t>基本预算支出较去年增加21.69万元，主要原因是换届选举后人员调入，相应增加工资及各项社保资金支出21.69万元；项目预算支出较去年减少3.30万元，主要是按相关政策要求调减项目支出3.30万元</w:t>
      </w:r>
      <w:r>
        <w:rPr>
          <w:rFonts w:hint="eastAsia" w:ascii="仿宋_GB2312" w:hAnsi="宋体" w:eastAsia="仿宋_GB2312" w:cs="仿宋_GB2312"/>
          <w:color w:val="000000"/>
          <w:sz w:val="32"/>
          <w:szCs w:val="32"/>
        </w:rPr>
        <w:t>。</w:t>
      </w:r>
      <w:r>
        <w:rPr>
          <w:rFonts w:hint="eastAsia" w:ascii="仿宋_GB2312" w:hAnsi="宋体" w:eastAsia="仿宋_GB2312" w:cs="仿宋_GB2312"/>
          <w:color w:val="000000"/>
          <w:sz w:val="21"/>
          <w:szCs w:val="21"/>
        </w:rPr>
        <w:t xml:space="preserve"> </w:t>
      </w:r>
    </w:p>
    <w:p w14:paraId="5F471F57">
      <w:pPr>
        <w:keepNext w:val="0"/>
        <w:keepLines w:val="0"/>
        <w:widowControl/>
        <w:suppressLineNumbers w:val="0"/>
        <w:spacing w:before="0" w:beforeAutospacing="0" w:after="2" w:afterAutospacing="0"/>
        <w:ind w:left="0" w:right="0" w:firstLine="660"/>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四、一般公共预算拨款支出</w:t>
      </w:r>
      <w:r>
        <w:rPr>
          <w:rFonts w:hint="eastAsia" w:ascii="仿宋_GB2312" w:hAnsi="宋体" w:eastAsia="仿宋_GB2312" w:cs="仿宋_GB2312"/>
          <w:color w:val="000000"/>
          <w:sz w:val="21"/>
          <w:szCs w:val="21"/>
        </w:rPr>
        <w:t xml:space="preserve"> </w:t>
      </w:r>
    </w:p>
    <w:p w14:paraId="58755C21">
      <w:pPr>
        <w:keepNext w:val="0"/>
        <w:keepLines w:val="0"/>
        <w:widowControl/>
        <w:suppressLineNumbers w:val="0"/>
        <w:spacing w:before="0" w:beforeAutospacing="0" w:after="2" w:afterAutospacing="0"/>
        <w:ind w:left="0" w:right="0" w:firstLine="660"/>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2022年本部门一般公共预算拨款支出预算</w:t>
      </w:r>
      <w:r>
        <w:rPr>
          <w:rFonts w:hint="eastAsia" w:ascii="仿宋_GB2312" w:eastAsia="仿宋_GB2312" w:cs="仿宋_GB2312"/>
          <w:color w:val="000000"/>
          <w:sz w:val="32"/>
          <w:szCs w:val="32"/>
          <w:lang w:val="en-US" w:eastAsia="zh-CN"/>
        </w:rPr>
        <w:t>753.78</w:t>
      </w:r>
      <w:r>
        <w:rPr>
          <w:rFonts w:hint="eastAsia" w:ascii="仿宋_GB2312" w:hAnsi="宋体" w:eastAsia="仿宋_GB2312" w:cs="仿宋_GB2312"/>
          <w:color w:val="000000"/>
          <w:sz w:val="32"/>
          <w:szCs w:val="32"/>
        </w:rPr>
        <w:t>万元，具体安排情况如下：</w:t>
      </w:r>
      <w:r>
        <w:rPr>
          <w:rFonts w:hint="eastAsia" w:ascii="仿宋_GB2312" w:hAnsi="宋体" w:eastAsia="仿宋_GB2312" w:cs="仿宋_GB2312"/>
          <w:color w:val="000000"/>
          <w:sz w:val="21"/>
          <w:szCs w:val="21"/>
        </w:rPr>
        <w:t xml:space="preserve"> </w:t>
      </w:r>
    </w:p>
    <w:p w14:paraId="7DF90A5B">
      <w:pPr>
        <w:keepNext w:val="0"/>
        <w:keepLines w:val="0"/>
        <w:widowControl/>
        <w:suppressLineNumbers w:val="0"/>
        <w:spacing w:before="0" w:beforeAutospacing="0" w:after="2" w:afterAutospacing="0"/>
        <w:ind w:left="0" w:right="0" w:firstLine="660"/>
        <w:rPr>
          <w:rFonts w:hint="eastAsia" w:ascii="仿宋_GB2312" w:hAnsi="宋体" w:eastAsia="仿宋_GB2312" w:cs="仿宋_GB2312"/>
          <w:sz w:val="21"/>
          <w:szCs w:val="21"/>
        </w:rPr>
      </w:pPr>
      <w:r>
        <w:rPr>
          <w:rFonts w:hint="eastAsia" w:ascii="楷体_GB2312" w:hAnsi="宋体" w:eastAsia="楷体_GB2312" w:cs="楷体_GB2312"/>
          <w:b/>
          <w:bCs/>
          <w:color w:val="000000"/>
          <w:sz w:val="32"/>
          <w:szCs w:val="32"/>
        </w:rPr>
        <w:t>（一）</w:t>
      </w:r>
      <w:r>
        <w:rPr>
          <w:rFonts w:hint="eastAsia" w:ascii="仿宋_GB2312" w:hAnsi="宋体" w:eastAsia="仿宋_GB2312" w:cs="仿宋_GB2312"/>
          <w:b/>
          <w:bCs/>
          <w:color w:val="000000"/>
          <w:sz w:val="32"/>
          <w:szCs w:val="32"/>
        </w:rPr>
        <w:t>基本支出：</w:t>
      </w:r>
      <w:r>
        <w:rPr>
          <w:rFonts w:hint="eastAsia" w:ascii="仿宋_GB2312" w:hAnsi="宋体" w:eastAsia="仿宋_GB2312" w:cs="仿宋_GB2312"/>
          <w:color w:val="000000"/>
          <w:sz w:val="32"/>
          <w:szCs w:val="32"/>
        </w:rPr>
        <w:t>2022年本部门基本支出预算数</w:t>
      </w:r>
      <w:r>
        <w:rPr>
          <w:rFonts w:hint="eastAsia" w:ascii="仿宋_GB2312" w:eastAsia="仿宋_GB2312" w:cs="仿宋_GB2312"/>
          <w:color w:val="000000"/>
          <w:sz w:val="32"/>
          <w:szCs w:val="32"/>
          <w:lang w:val="en-US" w:eastAsia="zh-CN"/>
        </w:rPr>
        <w:t>521.12</w:t>
      </w:r>
      <w:r>
        <w:rPr>
          <w:rFonts w:hint="eastAsia" w:ascii="仿宋_GB2312" w:hAnsi="宋体" w:eastAsia="仿宋_GB2312" w:cs="仿宋_GB2312"/>
          <w:color w:val="000000"/>
          <w:sz w:val="32"/>
          <w:szCs w:val="32"/>
        </w:rPr>
        <w:t>万元，主要是为保障部门正常运转、完成日常工作任务而发生的各项支出，包括用于工资福利支出等人员经费以及办公费、印刷费、水电费、办公设备购置等公用经费。</w:t>
      </w:r>
      <w:r>
        <w:rPr>
          <w:rFonts w:hint="eastAsia" w:ascii="仿宋_GB2312" w:hAnsi="宋体" w:eastAsia="仿宋_GB2312" w:cs="仿宋_GB2312"/>
          <w:color w:val="000000"/>
          <w:sz w:val="21"/>
          <w:szCs w:val="21"/>
        </w:rPr>
        <w:t xml:space="preserve"> </w:t>
      </w:r>
    </w:p>
    <w:p w14:paraId="6561FAE2">
      <w:pPr>
        <w:keepNext w:val="0"/>
        <w:keepLines w:val="0"/>
        <w:widowControl/>
        <w:suppressLineNumbers w:val="0"/>
        <w:spacing w:before="0" w:beforeAutospacing="0" w:after="2" w:afterAutospacing="0"/>
        <w:ind w:left="0" w:right="0" w:firstLine="660"/>
        <w:rPr>
          <w:rFonts w:hint="eastAsia" w:ascii="仿宋_GB2312" w:hAnsi="宋体" w:eastAsia="仿宋_GB2312" w:cs="仿宋_GB2312"/>
          <w:sz w:val="21"/>
          <w:szCs w:val="21"/>
        </w:rPr>
      </w:pPr>
      <w:r>
        <w:rPr>
          <w:rFonts w:hint="eastAsia" w:ascii="仿宋_GB2312" w:hAnsi="宋体" w:eastAsia="仿宋_GB2312" w:cs="仿宋_GB2312"/>
          <w:b/>
          <w:bCs/>
          <w:color w:val="000000"/>
          <w:sz w:val="32"/>
          <w:szCs w:val="32"/>
        </w:rPr>
        <w:t>（二）项目支出：</w:t>
      </w:r>
      <w:r>
        <w:rPr>
          <w:rFonts w:hint="eastAsia" w:ascii="仿宋_GB2312" w:hAnsi="宋体" w:eastAsia="仿宋_GB2312" w:cs="仿宋_GB2312"/>
          <w:color w:val="000000"/>
          <w:sz w:val="32"/>
          <w:szCs w:val="32"/>
        </w:rPr>
        <w:t>2022年本部门项目支出预算</w:t>
      </w:r>
      <w:r>
        <w:rPr>
          <w:rFonts w:hint="eastAsia" w:ascii="仿宋_GB2312" w:eastAsia="仿宋_GB2312" w:cs="仿宋_GB2312"/>
          <w:color w:val="000000"/>
          <w:sz w:val="32"/>
          <w:szCs w:val="32"/>
          <w:lang w:val="en-US" w:eastAsia="zh-CN"/>
        </w:rPr>
        <w:t>232.66</w:t>
      </w:r>
      <w:r>
        <w:rPr>
          <w:rFonts w:hint="eastAsia" w:ascii="仿宋_GB2312" w:hAnsi="宋体" w:eastAsia="仿宋_GB2312" w:cs="仿宋_GB2312"/>
          <w:color w:val="000000"/>
          <w:sz w:val="32"/>
          <w:szCs w:val="32"/>
        </w:rPr>
        <w:t>万元，主要是部门为完成特定行政工作任务或事业发展目标而发生的支出，包括有关事业发展专项、专项业务费、基本建设支出等，其中：专项商品和服务支出</w:t>
      </w:r>
      <w:r>
        <w:rPr>
          <w:rFonts w:hint="eastAsia" w:ascii="仿宋_GB2312" w:eastAsia="仿宋_GB2312" w:cs="仿宋_GB2312"/>
          <w:color w:val="000000"/>
          <w:sz w:val="32"/>
          <w:szCs w:val="32"/>
          <w:lang w:val="en-US" w:eastAsia="zh-CN"/>
        </w:rPr>
        <w:t>65.40</w:t>
      </w:r>
      <w:r>
        <w:rPr>
          <w:rFonts w:hint="eastAsia" w:ascii="仿宋_GB2312" w:hAnsi="宋体" w:eastAsia="仿宋_GB2312" w:cs="仿宋_GB2312"/>
          <w:color w:val="000000"/>
          <w:sz w:val="32"/>
          <w:szCs w:val="32"/>
        </w:rPr>
        <w:t>万元，主要用于</w:t>
      </w:r>
      <w:r>
        <w:rPr>
          <w:rFonts w:hint="eastAsia" w:ascii="仿宋_GB2312" w:eastAsia="仿宋_GB2312" w:cs="仿宋_GB2312"/>
          <w:color w:val="000000"/>
          <w:sz w:val="32"/>
          <w:szCs w:val="32"/>
          <w:lang w:val="en-US" w:eastAsia="zh-CN"/>
        </w:rPr>
        <w:t>机关办公、日常会议及</w:t>
      </w:r>
      <w:r>
        <w:rPr>
          <w:rFonts w:hint="eastAsia" w:ascii="仿宋_GB2312" w:hAnsi="宋体" w:eastAsia="仿宋_GB2312" w:cs="仿宋_GB2312"/>
          <w:color w:val="000000"/>
          <w:sz w:val="32"/>
          <w:szCs w:val="32"/>
        </w:rPr>
        <w:t>维</w:t>
      </w:r>
      <w:r>
        <w:rPr>
          <w:rFonts w:hint="eastAsia" w:ascii="仿宋_GB2312" w:eastAsia="仿宋_GB2312" w:cs="仿宋_GB2312"/>
          <w:color w:val="000000"/>
          <w:sz w:val="32"/>
          <w:szCs w:val="32"/>
          <w:lang w:val="en-US" w:eastAsia="zh-CN"/>
        </w:rPr>
        <w:t>修（护）</w:t>
      </w:r>
      <w:r>
        <w:rPr>
          <w:rFonts w:hint="eastAsia" w:ascii="仿宋_GB2312" w:hAnsi="宋体" w:eastAsia="仿宋_GB2312" w:cs="仿宋_GB2312"/>
          <w:color w:val="000000"/>
          <w:sz w:val="32"/>
          <w:szCs w:val="32"/>
        </w:rPr>
        <w:t>费等方面。</w:t>
      </w:r>
    </w:p>
    <w:p w14:paraId="48F516E6">
      <w:pPr>
        <w:keepNext w:val="0"/>
        <w:keepLines w:val="0"/>
        <w:widowControl/>
        <w:suppressLineNumbers w:val="0"/>
        <w:spacing w:before="0" w:beforeAutospacing="0" w:after="2" w:afterAutospacing="0"/>
        <w:ind w:left="0" w:right="0" w:firstLine="660"/>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五、政府性基金预算支出</w:t>
      </w:r>
      <w:r>
        <w:rPr>
          <w:rFonts w:hint="eastAsia" w:ascii="仿宋_GB2312" w:hAnsi="宋体" w:eastAsia="仿宋_GB2312" w:cs="仿宋_GB2312"/>
          <w:color w:val="000000"/>
          <w:sz w:val="21"/>
          <w:szCs w:val="21"/>
        </w:rPr>
        <w:t xml:space="preserve"> </w:t>
      </w:r>
    </w:p>
    <w:p w14:paraId="633FA5CB">
      <w:pPr>
        <w:keepNext w:val="0"/>
        <w:keepLines w:val="0"/>
        <w:widowControl/>
        <w:suppressLineNumbers w:val="0"/>
        <w:spacing w:before="0" w:beforeAutospacing="0" w:after="2" w:afterAutospacing="0"/>
        <w:ind w:left="0" w:right="0" w:firstLine="660"/>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2022年本部门无政府性基金安排的支出。</w:t>
      </w:r>
      <w:r>
        <w:rPr>
          <w:rFonts w:hint="eastAsia" w:ascii="仿宋_GB2312" w:hAnsi="宋体" w:eastAsia="仿宋_GB2312" w:cs="仿宋_GB2312"/>
          <w:color w:val="000000"/>
          <w:sz w:val="21"/>
          <w:szCs w:val="21"/>
        </w:rPr>
        <w:t xml:space="preserve"> </w:t>
      </w:r>
    </w:p>
    <w:p w14:paraId="7F66A632">
      <w:pPr>
        <w:keepNext w:val="0"/>
        <w:keepLines w:val="0"/>
        <w:widowControl/>
        <w:suppressLineNumbers w:val="0"/>
        <w:spacing w:before="0" w:beforeAutospacing="0" w:after="2" w:afterAutospacing="0"/>
        <w:ind w:left="0" w:right="0" w:firstLine="660"/>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六、其他重要事项的情况说明</w:t>
      </w:r>
      <w:r>
        <w:rPr>
          <w:rFonts w:hint="eastAsia" w:ascii="仿宋_GB2312" w:hAnsi="宋体" w:eastAsia="仿宋_GB2312" w:cs="仿宋_GB2312"/>
          <w:color w:val="000000"/>
          <w:sz w:val="21"/>
          <w:szCs w:val="21"/>
        </w:rPr>
        <w:t xml:space="preserve"> </w:t>
      </w:r>
    </w:p>
    <w:p w14:paraId="5EAA93D8">
      <w:pPr>
        <w:keepNext w:val="0"/>
        <w:keepLines w:val="0"/>
        <w:widowControl/>
        <w:suppressLineNumbers w:val="0"/>
        <w:spacing w:before="0" w:beforeAutospacing="0" w:after="2" w:afterAutospacing="0"/>
        <w:ind w:left="0" w:right="0" w:firstLine="660"/>
        <w:rPr>
          <w:rFonts w:hint="eastAsia" w:ascii="仿宋_GB2312" w:hAnsi="宋体" w:eastAsia="仿宋_GB2312" w:cs="仿宋_GB2312"/>
          <w:sz w:val="21"/>
          <w:szCs w:val="21"/>
        </w:rPr>
      </w:pPr>
      <w:r>
        <w:rPr>
          <w:rFonts w:hint="eastAsia" w:ascii="楷体_GB2312" w:hAnsi="宋体" w:eastAsia="楷体_GB2312" w:cs="楷体_GB2312"/>
          <w:b/>
          <w:bCs/>
          <w:color w:val="000000"/>
          <w:sz w:val="32"/>
          <w:szCs w:val="32"/>
        </w:rPr>
        <w:t>（一）</w:t>
      </w:r>
      <w:r>
        <w:rPr>
          <w:rFonts w:hint="eastAsia" w:ascii="仿宋_GB2312" w:hAnsi="宋体" w:eastAsia="仿宋_GB2312" w:cs="仿宋_GB2312"/>
          <w:b/>
          <w:bCs/>
          <w:color w:val="000000"/>
          <w:sz w:val="32"/>
          <w:szCs w:val="32"/>
        </w:rPr>
        <w:t>机关运行经费</w:t>
      </w:r>
      <w:r>
        <w:rPr>
          <w:rFonts w:hint="eastAsia" w:ascii="仿宋_GB2312" w:hAnsi="宋体" w:eastAsia="仿宋_GB2312" w:cs="仿宋_GB2312"/>
          <w:color w:val="000000"/>
          <w:sz w:val="21"/>
          <w:szCs w:val="21"/>
        </w:rPr>
        <w:t xml:space="preserve"> </w:t>
      </w:r>
    </w:p>
    <w:p w14:paraId="519AFF81">
      <w:pPr>
        <w:keepNext w:val="0"/>
        <w:keepLines w:val="0"/>
        <w:widowControl/>
        <w:suppressLineNumbers w:val="0"/>
        <w:pBdr>
          <w:top w:val="none" w:color="000000" w:sz="0" w:space="0"/>
          <w:left w:val="none" w:color="000000" w:sz="0" w:space="0"/>
          <w:bottom w:val="none" w:color="000000" w:sz="0" w:space="0"/>
          <w:right w:val="none" w:color="000000" w:sz="0" w:space="0"/>
        </w:pBdr>
        <w:ind w:firstLine="640"/>
        <w:jc w:val="left"/>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2022年本部门机关运行经费</w:t>
      </w:r>
      <w:r>
        <w:rPr>
          <w:rFonts w:hint="eastAsia" w:ascii="仿宋_GB2312" w:eastAsia="仿宋_GB2312" w:cs="仿宋_GB2312"/>
          <w:color w:val="000000"/>
          <w:sz w:val="32"/>
          <w:szCs w:val="32"/>
          <w:lang w:val="en-US" w:eastAsia="zh-CN"/>
        </w:rPr>
        <w:t>132</w:t>
      </w:r>
      <w:r>
        <w:rPr>
          <w:rFonts w:hint="eastAsia" w:ascii="仿宋_GB2312" w:hAnsi="宋体" w:eastAsia="仿宋_GB2312" w:cs="仿宋_GB2312"/>
          <w:color w:val="000000"/>
          <w:sz w:val="32"/>
          <w:szCs w:val="32"/>
        </w:rPr>
        <w:t>万元，比上年预算增加</w:t>
      </w:r>
      <w:r>
        <w:rPr>
          <w:rFonts w:hint="eastAsia" w:ascii="仿宋_GB2312" w:eastAsia="仿宋_GB2312" w:cs="仿宋_GB2312"/>
          <w:color w:val="000000"/>
          <w:sz w:val="32"/>
          <w:szCs w:val="32"/>
          <w:lang w:val="en-US" w:eastAsia="zh-CN"/>
        </w:rPr>
        <w:t>21</w:t>
      </w:r>
      <w:r>
        <w:rPr>
          <w:rFonts w:hint="eastAsia" w:ascii="仿宋_GB2312" w:hAnsi="宋体" w:eastAsia="仿宋_GB2312" w:cs="仿宋_GB2312"/>
          <w:color w:val="000000"/>
          <w:sz w:val="32"/>
          <w:szCs w:val="32"/>
        </w:rPr>
        <w:t>万元，增长比例</w:t>
      </w:r>
      <w:r>
        <w:rPr>
          <w:rFonts w:hint="eastAsia" w:ascii="仿宋_GB2312" w:eastAsia="仿宋_GB2312" w:cs="仿宋_GB2312"/>
          <w:color w:val="000000"/>
          <w:sz w:val="32"/>
          <w:szCs w:val="32"/>
          <w:lang w:val="en-US" w:eastAsia="zh-CN"/>
        </w:rPr>
        <w:t>18</w:t>
      </w:r>
      <w:r>
        <w:rPr>
          <w:rFonts w:hint="eastAsia" w:ascii="仿宋_GB2312" w:hAnsi="宋体" w:eastAsia="仿宋_GB2312" w:cs="仿宋_GB2312"/>
          <w:color w:val="000000"/>
          <w:sz w:val="32"/>
          <w:szCs w:val="32"/>
        </w:rPr>
        <w:t>%，主要是</w:t>
      </w:r>
      <w:r>
        <w:rPr>
          <w:rFonts w:hint="eastAsia" w:ascii="仿宋_GB2312" w:hAnsi="仿宋_GB2312" w:eastAsia="仿宋_GB2312" w:cs="仿宋_GB2312"/>
          <w:i w:val="0"/>
          <w:caps w:val="0"/>
          <w:color w:val="333333"/>
          <w:spacing w:val="0"/>
          <w:sz w:val="32"/>
          <w:szCs w:val="32"/>
          <w:lang w:val="en-US" w:eastAsia="zh-CN" w:bidi="ar"/>
        </w:rPr>
        <w:t>主要原因是政协十届委员会换届选举新增人员，公用经费及社保经费增加、相应增运行经费。</w:t>
      </w:r>
      <w:r>
        <w:rPr>
          <w:rFonts w:hint="eastAsia" w:ascii="仿宋_GB2312" w:hAnsi="宋体" w:eastAsia="仿宋_GB2312" w:cs="仿宋_GB2312"/>
          <w:color w:val="000000"/>
          <w:sz w:val="21"/>
          <w:szCs w:val="21"/>
        </w:rPr>
        <w:t xml:space="preserve"> </w:t>
      </w:r>
    </w:p>
    <w:p w14:paraId="22A75CF3">
      <w:pPr>
        <w:keepNext w:val="0"/>
        <w:keepLines w:val="0"/>
        <w:widowControl/>
        <w:suppressLineNumbers w:val="0"/>
        <w:spacing w:before="0" w:beforeAutospacing="0" w:after="2" w:afterAutospacing="0"/>
        <w:ind w:left="0" w:right="0" w:firstLine="660"/>
        <w:jc w:val="both"/>
        <w:rPr>
          <w:rFonts w:hint="eastAsia" w:ascii="宋体" w:hAnsi="宋体" w:eastAsia="宋体" w:cs="宋体"/>
          <w:sz w:val="21"/>
          <w:szCs w:val="21"/>
        </w:rPr>
      </w:pPr>
      <w:r>
        <w:rPr>
          <w:rFonts w:hint="eastAsia" w:ascii="仿宋_GB2312" w:hAnsi="宋体" w:eastAsia="仿宋_GB2312" w:cs="仿宋_GB2312"/>
          <w:b/>
          <w:bCs/>
          <w:color w:val="000000"/>
          <w:sz w:val="32"/>
          <w:szCs w:val="32"/>
        </w:rPr>
        <w:t>（</w:t>
      </w:r>
      <w:r>
        <w:rPr>
          <w:rFonts w:hint="eastAsia" w:ascii="楷体_GB2312" w:hAnsi="宋体" w:eastAsia="楷体_GB2312" w:cs="楷体_GB2312"/>
          <w:b/>
          <w:bCs/>
          <w:color w:val="000000"/>
          <w:sz w:val="32"/>
          <w:szCs w:val="32"/>
        </w:rPr>
        <w:t>二</w:t>
      </w:r>
      <w:r>
        <w:rPr>
          <w:rFonts w:hint="eastAsia" w:ascii="仿宋_GB2312" w:hAnsi="宋体" w:eastAsia="仿宋_GB2312" w:cs="仿宋_GB2312"/>
          <w:b/>
          <w:bCs/>
          <w:color w:val="000000"/>
          <w:sz w:val="32"/>
          <w:szCs w:val="32"/>
        </w:rPr>
        <w:t>）“三公”经费预算</w:t>
      </w:r>
      <w:r>
        <w:rPr>
          <w:rFonts w:hint="eastAsia" w:ascii="宋体" w:hAnsi="宋体" w:eastAsia="宋体" w:cs="宋体"/>
          <w:color w:val="000000"/>
          <w:sz w:val="21"/>
          <w:szCs w:val="21"/>
        </w:rPr>
        <w:t xml:space="preserve"> </w:t>
      </w:r>
    </w:p>
    <w:p w14:paraId="01ED4818">
      <w:pPr>
        <w:keepNext w:val="0"/>
        <w:keepLines w:val="0"/>
        <w:widowControl/>
        <w:suppressLineNumbers w:val="0"/>
        <w:spacing w:before="0" w:beforeAutospacing="0" w:after="2" w:afterAutospacing="0"/>
        <w:ind w:left="0" w:right="0" w:firstLine="660"/>
        <w:jc w:val="both"/>
        <w:rPr>
          <w:rFonts w:ascii="仿宋_GB2312" w:hAnsi="宋体" w:eastAsia="仿宋_GB2312" w:cs="仿宋_GB2312"/>
          <w:sz w:val="21"/>
          <w:szCs w:val="21"/>
          <w:lang w:val="en-US" w:eastAsia="zh-CN"/>
        </w:rPr>
      </w:pPr>
      <w:r>
        <w:rPr>
          <w:rFonts w:hint="eastAsia" w:ascii="仿宋_GB2312" w:hAnsi="宋体" w:eastAsia="仿宋_GB2312" w:cs="仿宋_GB2312"/>
          <w:color w:val="000000"/>
          <w:sz w:val="32"/>
          <w:szCs w:val="32"/>
        </w:rPr>
        <w:t>2022年本部门“三公”经费预算数为</w:t>
      </w:r>
      <w:r>
        <w:rPr>
          <w:rFonts w:hint="eastAsia" w:ascii="仿宋_GB2312" w:eastAsia="仿宋_GB2312" w:cs="仿宋_GB2312"/>
          <w:color w:val="000000"/>
          <w:sz w:val="32"/>
          <w:szCs w:val="32"/>
          <w:lang w:val="en-US" w:eastAsia="zh-CN"/>
        </w:rPr>
        <w:t>12</w:t>
      </w:r>
      <w:r>
        <w:rPr>
          <w:rFonts w:hint="eastAsia" w:ascii="仿宋_GB2312" w:hAnsi="宋体" w:eastAsia="仿宋_GB2312" w:cs="仿宋_GB2312"/>
          <w:color w:val="000000"/>
          <w:sz w:val="32"/>
          <w:szCs w:val="32"/>
        </w:rPr>
        <w:t>万元，其中，公务接待费</w:t>
      </w:r>
      <w:r>
        <w:rPr>
          <w:rFonts w:hint="eastAsia" w:ascii="仿宋_GB2312" w:eastAsia="仿宋_GB2312" w:cs="仿宋_GB2312"/>
          <w:color w:val="000000"/>
          <w:sz w:val="32"/>
          <w:szCs w:val="32"/>
          <w:lang w:val="en-US" w:eastAsia="zh-CN"/>
        </w:rPr>
        <w:t>12</w:t>
      </w:r>
      <w:r>
        <w:rPr>
          <w:rFonts w:hint="eastAsia" w:ascii="仿宋_GB2312" w:hAnsi="宋体" w:eastAsia="仿宋_GB2312" w:cs="仿宋_GB2312"/>
          <w:color w:val="000000"/>
          <w:sz w:val="32"/>
          <w:szCs w:val="32"/>
        </w:rPr>
        <w:t>万元，公务用车购置及运行费</w:t>
      </w:r>
      <w:r>
        <w:rPr>
          <w:rFonts w:hint="eastAsia" w:ascii="仿宋_GB2312" w:eastAsia="仿宋_GB2312" w:cs="仿宋_GB2312"/>
          <w:color w:val="000000"/>
          <w:sz w:val="32"/>
          <w:szCs w:val="32"/>
          <w:lang w:val="en-US" w:eastAsia="zh-CN"/>
        </w:rPr>
        <w:t>0</w:t>
      </w:r>
      <w:r>
        <w:rPr>
          <w:rFonts w:hint="eastAsia" w:ascii="仿宋_GB2312" w:hAnsi="宋体" w:eastAsia="仿宋_GB2312" w:cs="仿宋_GB2312"/>
          <w:color w:val="000000"/>
          <w:sz w:val="32"/>
          <w:szCs w:val="32"/>
        </w:rPr>
        <w:t>万元（其中，公务用车购置费</w:t>
      </w:r>
      <w:r>
        <w:rPr>
          <w:rFonts w:hint="eastAsia" w:ascii="仿宋_GB2312" w:eastAsia="仿宋_GB2312" w:cs="仿宋_GB2312"/>
          <w:color w:val="000000"/>
          <w:sz w:val="32"/>
          <w:szCs w:val="32"/>
          <w:lang w:val="en-US" w:eastAsia="zh-CN"/>
        </w:rPr>
        <w:t>0</w:t>
      </w:r>
      <w:r>
        <w:rPr>
          <w:rFonts w:hint="eastAsia" w:ascii="仿宋_GB2312" w:hAnsi="宋体" w:eastAsia="仿宋_GB2312" w:cs="仿宋_GB2312"/>
          <w:color w:val="000000"/>
          <w:sz w:val="32"/>
          <w:szCs w:val="32"/>
        </w:rPr>
        <w:t>万元，公务用车运行费</w:t>
      </w:r>
      <w:r>
        <w:rPr>
          <w:rFonts w:hint="eastAsia" w:ascii="仿宋_GB2312" w:eastAsia="仿宋_GB2312" w:cs="仿宋_GB2312"/>
          <w:color w:val="000000"/>
          <w:sz w:val="32"/>
          <w:szCs w:val="32"/>
          <w:lang w:val="en-US" w:eastAsia="zh-CN"/>
        </w:rPr>
        <w:t>0</w:t>
      </w:r>
      <w:r>
        <w:rPr>
          <w:rFonts w:hint="eastAsia" w:ascii="仿宋_GB2312" w:hAnsi="宋体" w:eastAsia="仿宋_GB2312" w:cs="仿宋_GB2312"/>
          <w:color w:val="000000"/>
          <w:sz w:val="32"/>
          <w:szCs w:val="32"/>
        </w:rPr>
        <w:t>万元），因公出国（境）费</w:t>
      </w:r>
      <w:r>
        <w:rPr>
          <w:rFonts w:hint="eastAsia" w:ascii="仿宋_GB2312" w:eastAsia="仿宋_GB2312" w:cs="仿宋_GB2312"/>
          <w:color w:val="000000"/>
          <w:sz w:val="32"/>
          <w:szCs w:val="32"/>
          <w:lang w:val="en-US" w:eastAsia="zh-CN"/>
        </w:rPr>
        <w:t>0</w:t>
      </w:r>
      <w:r>
        <w:rPr>
          <w:rFonts w:hint="eastAsia" w:ascii="仿宋_GB2312" w:hAnsi="宋体" w:eastAsia="仿宋_GB2312" w:cs="仿宋_GB2312"/>
          <w:color w:val="000000"/>
          <w:sz w:val="32"/>
          <w:szCs w:val="32"/>
        </w:rPr>
        <w:t>万元。2022年“三公”经费预算较2021年相比</w:t>
      </w:r>
      <w:r>
        <w:rPr>
          <w:rFonts w:hint="eastAsia" w:ascii="仿宋_GB2312" w:hAnsi="仿宋_GB2312" w:eastAsia="仿宋_GB2312" w:cs="仿宋_GB2312"/>
          <w:i w:val="0"/>
          <w:caps w:val="0"/>
          <w:color w:val="333333"/>
          <w:spacing w:val="0"/>
          <w:sz w:val="32"/>
          <w:szCs w:val="32"/>
          <w:lang w:val="en-US" w:eastAsia="zh-CN" w:bidi="ar"/>
        </w:rPr>
        <w:t>减少1.50万元主要是公务接待费压缩1.50万元，2022年度没有预算因公出国（境</w:t>
      </w:r>
      <w:r>
        <w:rPr>
          <w:rFonts w:hint="eastAsia" w:ascii="仿宋_GB2312" w:hAnsi="宋体" w:eastAsia="仿宋_GB2312" w:cs="仿宋_GB2312"/>
          <w:color w:val="000000"/>
          <w:sz w:val="21"/>
          <w:szCs w:val="21"/>
        </w:rPr>
        <w:t xml:space="preserve"> </w:t>
      </w:r>
      <w:r>
        <w:rPr>
          <w:rFonts w:hint="eastAsia" w:ascii="仿宋_GB2312" w:eastAsia="仿宋_GB2312" w:cs="仿宋_GB2312"/>
          <w:color w:val="000000"/>
          <w:sz w:val="21"/>
          <w:szCs w:val="21"/>
          <w:lang w:eastAsia="zh-CN"/>
        </w:rPr>
        <w:t>）</w:t>
      </w:r>
      <w:r>
        <w:rPr>
          <w:rFonts w:hint="eastAsia" w:ascii="仿宋_GB2312" w:eastAsia="仿宋_GB2312" w:cs="仿宋_GB2312"/>
          <w:color w:val="000000"/>
          <w:sz w:val="21"/>
          <w:szCs w:val="21"/>
          <w:lang w:val="en-US" w:eastAsia="zh-CN"/>
        </w:rPr>
        <w:t>。</w:t>
      </w:r>
    </w:p>
    <w:p w14:paraId="016346CA">
      <w:pPr>
        <w:keepNext w:val="0"/>
        <w:keepLines w:val="0"/>
        <w:widowControl/>
        <w:suppressLineNumbers w:val="0"/>
        <w:spacing w:before="0" w:beforeAutospacing="0" w:after="2" w:afterAutospacing="0"/>
        <w:ind w:left="0" w:right="0" w:firstLine="660"/>
        <w:jc w:val="both"/>
        <w:rPr>
          <w:rFonts w:hint="eastAsia" w:ascii="宋体" w:hAnsi="宋体" w:eastAsia="宋体" w:cs="宋体"/>
          <w:sz w:val="21"/>
          <w:szCs w:val="21"/>
        </w:rPr>
      </w:pPr>
      <w:r>
        <w:rPr>
          <w:rFonts w:hint="eastAsia" w:ascii="仿宋_GB2312" w:hAnsi="宋体" w:eastAsia="仿宋_GB2312" w:cs="仿宋_GB2312"/>
          <w:b/>
          <w:bCs/>
          <w:color w:val="000000"/>
          <w:sz w:val="32"/>
          <w:szCs w:val="32"/>
        </w:rPr>
        <w:t>（</w:t>
      </w:r>
      <w:r>
        <w:rPr>
          <w:rFonts w:hint="eastAsia" w:ascii="楷体_GB2312" w:hAnsi="宋体" w:eastAsia="楷体_GB2312" w:cs="楷体_GB2312"/>
          <w:b/>
          <w:bCs/>
          <w:color w:val="000000"/>
          <w:sz w:val="32"/>
          <w:szCs w:val="32"/>
        </w:rPr>
        <w:t>三</w:t>
      </w:r>
      <w:r>
        <w:rPr>
          <w:rFonts w:hint="eastAsia" w:ascii="仿宋_GB2312" w:hAnsi="宋体" w:eastAsia="仿宋_GB2312" w:cs="仿宋_GB2312"/>
          <w:b/>
          <w:bCs/>
          <w:color w:val="000000"/>
          <w:sz w:val="32"/>
          <w:szCs w:val="32"/>
        </w:rPr>
        <w:t>）一般性支出情况</w:t>
      </w:r>
      <w:r>
        <w:rPr>
          <w:rFonts w:hint="eastAsia" w:ascii="宋体" w:hAnsi="宋体" w:eastAsia="宋体" w:cs="宋体"/>
          <w:color w:val="000000"/>
          <w:sz w:val="21"/>
          <w:szCs w:val="21"/>
        </w:rPr>
        <w:t xml:space="preserve"> </w:t>
      </w:r>
    </w:p>
    <w:p w14:paraId="11331F5F">
      <w:pPr>
        <w:keepNext w:val="0"/>
        <w:keepLines w:val="0"/>
        <w:widowControl/>
        <w:suppressLineNumbers w:val="0"/>
        <w:spacing w:before="0" w:beforeAutospacing="0" w:after="2" w:afterAutospacing="0"/>
        <w:ind w:left="0" w:right="0" w:firstLine="66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2022年本部门</w:t>
      </w:r>
      <w:r>
        <w:rPr>
          <w:rFonts w:hint="eastAsia" w:ascii="仿宋_GB2312" w:eastAsia="仿宋_GB2312" w:cs="仿宋_GB2312"/>
          <w:color w:val="000000"/>
          <w:sz w:val="32"/>
          <w:szCs w:val="32"/>
          <w:lang w:val="en-US" w:eastAsia="zh-CN"/>
        </w:rPr>
        <w:t>一般性支出办公费2万元，印刷费1.50万元，差旅费用8万元，维修维护费用10万元，会议费用8万元，工会经费23万元，福利费用5万元，其他商品和服务支出3.40万元等65.40万元。</w:t>
      </w:r>
      <w:r>
        <w:rPr>
          <w:rFonts w:hint="eastAsia" w:ascii="仿宋_GB2312" w:hAnsi="宋体" w:eastAsia="仿宋_GB2312" w:cs="仿宋_GB2312"/>
          <w:color w:val="000000"/>
          <w:sz w:val="21"/>
          <w:szCs w:val="21"/>
        </w:rPr>
        <w:t xml:space="preserve"> </w:t>
      </w:r>
    </w:p>
    <w:p w14:paraId="457672D5">
      <w:pPr>
        <w:keepNext w:val="0"/>
        <w:keepLines w:val="0"/>
        <w:widowControl/>
        <w:suppressLineNumbers w:val="0"/>
        <w:spacing w:before="0" w:beforeAutospacing="0" w:after="2" w:afterAutospacing="0"/>
        <w:ind w:left="0" w:right="0" w:firstLine="660"/>
        <w:jc w:val="both"/>
        <w:rPr>
          <w:rFonts w:hint="eastAsia" w:ascii="宋体" w:hAnsi="宋体" w:eastAsia="宋体" w:cs="宋体"/>
          <w:sz w:val="21"/>
          <w:szCs w:val="21"/>
        </w:rPr>
      </w:pPr>
      <w:r>
        <w:rPr>
          <w:rFonts w:hint="eastAsia" w:ascii="仿宋_GB2312" w:hAnsi="宋体" w:eastAsia="仿宋_GB2312" w:cs="仿宋_GB2312"/>
          <w:b/>
          <w:bCs/>
          <w:color w:val="000000"/>
          <w:sz w:val="32"/>
          <w:szCs w:val="32"/>
        </w:rPr>
        <w:t>（</w:t>
      </w:r>
      <w:r>
        <w:rPr>
          <w:rFonts w:hint="eastAsia" w:ascii="楷体_GB2312" w:hAnsi="宋体" w:eastAsia="楷体_GB2312" w:cs="楷体_GB2312"/>
          <w:b/>
          <w:bCs/>
          <w:color w:val="000000"/>
          <w:sz w:val="32"/>
          <w:szCs w:val="32"/>
        </w:rPr>
        <w:t>四</w:t>
      </w:r>
      <w:r>
        <w:rPr>
          <w:rFonts w:hint="eastAsia" w:ascii="仿宋_GB2312" w:hAnsi="宋体" w:eastAsia="仿宋_GB2312" w:cs="仿宋_GB2312"/>
          <w:b/>
          <w:bCs/>
          <w:color w:val="000000"/>
          <w:sz w:val="32"/>
          <w:szCs w:val="32"/>
        </w:rPr>
        <w:t>）政府采购情况</w:t>
      </w:r>
      <w:r>
        <w:rPr>
          <w:rFonts w:hint="eastAsia" w:ascii="宋体" w:hAnsi="宋体" w:eastAsia="宋体" w:cs="宋体"/>
          <w:color w:val="000000"/>
          <w:sz w:val="21"/>
          <w:szCs w:val="21"/>
        </w:rPr>
        <w:t xml:space="preserve"> </w:t>
      </w:r>
    </w:p>
    <w:p w14:paraId="3769AE8A">
      <w:pPr>
        <w:keepNext w:val="0"/>
        <w:keepLines w:val="0"/>
        <w:widowControl/>
        <w:suppressLineNumbers w:val="0"/>
        <w:spacing w:before="0" w:beforeAutospacing="0" w:after="2" w:afterAutospacing="0"/>
        <w:ind w:left="0" w:right="0" w:firstLine="66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2022年本部门政府采购预算总额</w:t>
      </w:r>
      <w:r>
        <w:rPr>
          <w:rFonts w:hint="eastAsia" w:ascii="仿宋_GB2312" w:eastAsia="仿宋_GB2312" w:cs="仿宋_GB2312"/>
          <w:color w:val="000000"/>
          <w:sz w:val="32"/>
          <w:szCs w:val="32"/>
          <w:lang w:val="en-US" w:eastAsia="zh-CN"/>
        </w:rPr>
        <w:t>40</w:t>
      </w:r>
      <w:r>
        <w:rPr>
          <w:rFonts w:hint="eastAsia" w:ascii="仿宋_GB2312" w:hAnsi="宋体" w:eastAsia="仿宋_GB2312" w:cs="仿宋_GB2312"/>
          <w:color w:val="000000"/>
          <w:sz w:val="32"/>
          <w:szCs w:val="32"/>
        </w:rPr>
        <w:t>万元，其中，货物类采购预算</w:t>
      </w:r>
      <w:r>
        <w:rPr>
          <w:rFonts w:hint="eastAsia" w:ascii="仿宋_GB2312" w:eastAsia="仿宋_GB2312" w:cs="仿宋_GB2312"/>
          <w:color w:val="000000"/>
          <w:sz w:val="32"/>
          <w:szCs w:val="32"/>
          <w:lang w:val="en-US" w:eastAsia="zh-CN"/>
        </w:rPr>
        <w:t>18</w:t>
      </w:r>
      <w:r>
        <w:rPr>
          <w:rFonts w:hint="eastAsia" w:ascii="仿宋_GB2312" w:hAnsi="宋体" w:eastAsia="仿宋_GB2312" w:cs="仿宋_GB2312"/>
          <w:color w:val="000000"/>
          <w:sz w:val="32"/>
          <w:szCs w:val="32"/>
        </w:rPr>
        <w:t>万元；工程类采购预算</w:t>
      </w:r>
      <w:r>
        <w:rPr>
          <w:rFonts w:hint="eastAsia" w:ascii="仿宋_GB2312" w:eastAsia="仿宋_GB2312" w:cs="仿宋_GB2312"/>
          <w:color w:val="000000"/>
          <w:sz w:val="32"/>
          <w:szCs w:val="32"/>
          <w:lang w:val="en-US" w:eastAsia="zh-CN"/>
        </w:rPr>
        <w:t>10</w:t>
      </w:r>
      <w:r>
        <w:rPr>
          <w:rFonts w:hint="eastAsia" w:ascii="仿宋_GB2312" w:hAnsi="宋体" w:eastAsia="仿宋_GB2312" w:cs="仿宋_GB2312"/>
          <w:color w:val="000000"/>
          <w:sz w:val="32"/>
          <w:szCs w:val="32"/>
        </w:rPr>
        <w:t>万元；服务类采购预算</w:t>
      </w:r>
      <w:r>
        <w:rPr>
          <w:rFonts w:hint="eastAsia" w:ascii="仿宋_GB2312" w:eastAsia="仿宋_GB2312" w:cs="仿宋_GB2312"/>
          <w:color w:val="000000"/>
          <w:sz w:val="32"/>
          <w:szCs w:val="32"/>
          <w:lang w:val="en-US" w:eastAsia="zh-CN"/>
        </w:rPr>
        <w:t>12</w:t>
      </w:r>
      <w:r>
        <w:rPr>
          <w:rFonts w:hint="eastAsia" w:ascii="仿宋_GB2312" w:hAnsi="宋体" w:eastAsia="仿宋_GB2312" w:cs="仿宋_GB2312"/>
          <w:color w:val="000000"/>
          <w:sz w:val="32"/>
          <w:szCs w:val="32"/>
        </w:rPr>
        <w:t>万元。</w:t>
      </w:r>
      <w:r>
        <w:rPr>
          <w:rFonts w:hint="eastAsia" w:ascii="仿宋_GB2312" w:hAnsi="宋体" w:eastAsia="仿宋_GB2312" w:cs="仿宋_GB2312"/>
          <w:color w:val="000000"/>
          <w:sz w:val="21"/>
          <w:szCs w:val="21"/>
        </w:rPr>
        <w:t xml:space="preserve"> </w:t>
      </w:r>
    </w:p>
    <w:p w14:paraId="74C22388">
      <w:pPr>
        <w:keepNext w:val="0"/>
        <w:keepLines w:val="0"/>
        <w:widowControl/>
        <w:suppressLineNumbers w:val="0"/>
        <w:spacing w:before="0" w:beforeAutospacing="0" w:after="2" w:afterAutospacing="0"/>
        <w:ind w:left="0" w:right="0" w:firstLine="660"/>
        <w:rPr>
          <w:rFonts w:hint="eastAsia" w:ascii="宋体" w:hAnsi="宋体" w:eastAsia="宋体" w:cs="宋体"/>
          <w:sz w:val="21"/>
          <w:szCs w:val="21"/>
        </w:rPr>
      </w:pPr>
      <w:r>
        <w:rPr>
          <w:rFonts w:hint="eastAsia" w:ascii="仿宋_GB2312" w:hAnsi="宋体" w:eastAsia="仿宋_GB2312" w:cs="仿宋_GB2312"/>
          <w:b/>
          <w:bCs/>
          <w:color w:val="000000"/>
          <w:sz w:val="32"/>
          <w:szCs w:val="32"/>
        </w:rPr>
        <w:t>（</w:t>
      </w:r>
      <w:r>
        <w:rPr>
          <w:rFonts w:hint="eastAsia" w:ascii="楷体_GB2312" w:hAnsi="宋体" w:eastAsia="楷体_GB2312" w:cs="楷体_GB2312"/>
          <w:b/>
          <w:bCs/>
          <w:color w:val="000000"/>
          <w:sz w:val="32"/>
          <w:szCs w:val="32"/>
        </w:rPr>
        <w:t>五</w:t>
      </w:r>
      <w:r>
        <w:rPr>
          <w:rFonts w:hint="eastAsia" w:ascii="仿宋_GB2312" w:hAnsi="宋体" w:eastAsia="仿宋_GB2312" w:cs="仿宋_GB2312"/>
          <w:b/>
          <w:bCs/>
          <w:color w:val="000000"/>
          <w:sz w:val="32"/>
          <w:szCs w:val="32"/>
        </w:rPr>
        <w:t>）国有资产占用使用及新增资产配置情况</w:t>
      </w:r>
      <w:r>
        <w:rPr>
          <w:rFonts w:hint="eastAsia" w:ascii="宋体" w:hAnsi="宋体" w:eastAsia="宋体" w:cs="宋体"/>
          <w:color w:val="000000"/>
          <w:sz w:val="21"/>
          <w:szCs w:val="21"/>
        </w:rPr>
        <w:t xml:space="preserve"> </w:t>
      </w:r>
    </w:p>
    <w:p w14:paraId="6617EBF5">
      <w:pPr>
        <w:keepNext w:val="0"/>
        <w:keepLines w:val="0"/>
        <w:widowControl/>
        <w:suppressLineNumbers w:val="0"/>
        <w:pBdr>
          <w:top w:val="none" w:color="000000" w:sz="0" w:space="0"/>
          <w:left w:val="none" w:color="000000" w:sz="0" w:space="0"/>
          <w:bottom w:val="none" w:color="000000" w:sz="0" w:space="0"/>
          <w:right w:val="none" w:color="000000" w:sz="0" w:space="0"/>
        </w:pBdr>
        <w:ind w:firstLine="640"/>
        <w:jc w:val="left"/>
        <w:rPr>
          <w:rFonts w:hint="eastAsia" w:ascii="仿宋_GB2312" w:hAnsi="仿宋_GB2312" w:eastAsia="仿宋_GB2312" w:cs="仿宋_GB2312"/>
          <w:i w:val="0"/>
          <w:caps w:val="0"/>
          <w:color w:val="333333"/>
          <w:spacing w:val="0"/>
          <w:sz w:val="32"/>
          <w:szCs w:val="32"/>
          <w:lang w:val="en-US" w:eastAsia="zh-CN" w:bidi="ar"/>
        </w:rPr>
      </w:pPr>
      <w:r>
        <w:rPr>
          <w:rFonts w:hint="eastAsia" w:ascii="仿宋_GB2312" w:hAnsi="宋体" w:eastAsia="仿宋_GB2312" w:cs="仿宋_GB2312"/>
          <w:color w:val="000000"/>
          <w:sz w:val="32"/>
          <w:szCs w:val="32"/>
        </w:rPr>
        <w:t>截至2021年12月底，</w:t>
      </w:r>
      <w:r>
        <w:rPr>
          <w:rFonts w:hint="eastAsia" w:ascii="仿宋_GB2312" w:hAnsi="仿宋_GB2312" w:eastAsia="仿宋_GB2312" w:cs="仿宋_GB2312"/>
          <w:i w:val="0"/>
          <w:caps w:val="0"/>
          <w:color w:val="333333"/>
          <w:spacing w:val="0"/>
          <w:sz w:val="32"/>
          <w:szCs w:val="32"/>
          <w:lang w:val="en-US" w:eastAsia="zh-CN" w:bidi="ar"/>
        </w:rPr>
        <w:t>我单位国有资产总额净值125.47万元，其中固定资产97.97万元，无形资产27.50万元，流动资产0.00万元，净资产97.97万元。占用的固定资产主要有：</w:t>
      </w:r>
    </w:p>
    <w:p w14:paraId="43632092">
      <w:pPr>
        <w:keepNext w:val="0"/>
        <w:keepLines w:val="0"/>
        <w:widowControl/>
        <w:suppressLineNumbers w:val="0"/>
        <w:pBdr>
          <w:top w:val="none" w:color="000000" w:sz="0" w:space="0"/>
          <w:left w:val="none" w:color="000000" w:sz="0" w:space="0"/>
          <w:bottom w:val="none" w:color="000000" w:sz="0" w:space="0"/>
          <w:right w:val="none" w:color="000000" w:sz="0" w:space="0"/>
        </w:pBdr>
        <w:ind w:firstLine="640"/>
        <w:jc w:val="left"/>
        <w:rPr>
          <w:rFonts w:hint="eastAsia" w:ascii="仿宋_GB2312" w:hAnsi="仿宋_GB2312" w:eastAsia="仿宋_GB2312" w:cs="仿宋_GB2312"/>
          <w:i w:val="0"/>
          <w:caps w:val="0"/>
          <w:color w:val="333333"/>
          <w:spacing w:val="0"/>
          <w:sz w:val="32"/>
          <w:szCs w:val="32"/>
          <w:lang w:val="en-US" w:eastAsia="zh-CN" w:bidi="ar"/>
        </w:rPr>
      </w:pPr>
      <w:r>
        <w:rPr>
          <w:rFonts w:hint="eastAsia" w:ascii="仿宋_GB2312" w:hAnsi="仿宋_GB2312" w:eastAsia="仿宋_GB2312" w:cs="仿宋_GB2312"/>
          <w:i w:val="0"/>
          <w:caps w:val="0"/>
          <w:color w:val="333333"/>
          <w:spacing w:val="0"/>
          <w:sz w:val="32"/>
          <w:szCs w:val="32"/>
          <w:lang w:val="en-US" w:eastAsia="zh-CN" w:bidi="ar"/>
        </w:rPr>
        <w:t>(1)土地房屋及构筑物价值65.77万元；房屋建筑物1260平方米，价值65.77万元，其中办公用房770平方米(含公用部分)，价值39.63万元；培训用房490平方米，价值26.14万元。</w:t>
      </w:r>
    </w:p>
    <w:p w14:paraId="2BD9EBBE">
      <w:pPr>
        <w:keepNext w:val="0"/>
        <w:keepLines w:val="0"/>
        <w:widowControl/>
        <w:suppressLineNumbers w:val="0"/>
        <w:pBdr>
          <w:top w:val="none" w:color="000000" w:sz="0" w:space="0"/>
          <w:left w:val="none" w:color="000000" w:sz="0" w:space="0"/>
          <w:bottom w:val="none" w:color="000000" w:sz="0" w:space="0"/>
          <w:right w:val="none" w:color="000000" w:sz="0" w:space="0"/>
        </w:pBdr>
        <w:ind w:firstLine="640"/>
        <w:jc w:val="left"/>
        <w:rPr>
          <w:rFonts w:hint="eastAsia" w:ascii="仿宋_GB2312" w:hAnsi="仿宋_GB2312" w:eastAsia="仿宋_GB2312" w:cs="仿宋_GB2312"/>
          <w:i w:val="0"/>
          <w:caps w:val="0"/>
          <w:color w:val="333333"/>
          <w:spacing w:val="0"/>
          <w:sz w:val="32"/>
          <w:szCs w:val="32"/>
          <w:lang w:val="en-US" w:eastAsia="zh-CN" w:bidi="ar"/>
        </w:rPr>
      </w:pPr>
      <w:r>
        <w:rPr>
          <w:rFonts w:hint="eastAsia" w:ascii="仿宋_GB2312" w:hAnsi="仿宋_GB2312" w:eastAsia="仿宋_GB2312" w:cs="仿宋_GB2312"/>
          <w:i w:val="0"/>
          <w:caps w:val="0"/>
          <w:color w:val="333333"/>
          <w:spacing w:val="0"/>
          <w:sz w:val="32"/>
          <w:szCs w:val="32"/>
          <w:lang w:val="en-US" w:eastAsia="zh-CN" w:bidi="ar"/>
        </w:rPr>
        <w:t>(2)计算机设备25件10.15万元。</w:t>
      </w:r>
    </w:p>
    <w:p w14:paraId="39EF2F8F">
      <w:pPr>
        <w:keepNext w:val="0"/>
        <w:keepLines w:val="0"/>
        <w:widowControl/>
        <w:suppressLineNumbers w:val="0"/>
        <w:pBdr>
          <w:top w:val="none" w:color="000000" w:sz="0" w:space="0"/>
          <w:left w:val="none" w:color="000000" w:sz="0" w:space="0"/>
          <w:bottom w:val="none" w:color="000000" w:sz="0" w:space="0"/>
          <w:right w:val="none" w:color="000000" w:sz="0" w:space="0"/>
        </w:pBdr>
        <w:ind w:firstLine="640"/>
        <w:jc w:val="left"/>
        <w:rPr>
          <w:rFonts w:hint="eastAsia" w:ascii="仿宋_GB2312" w:hAnsi="仿宋_GB2312" w:eastAsia="仿宋_GB2312" w:cs="仿宋_GB2312"/>
          <w:i w:val="0"/>
          <w:caps w:val="0"/>
          <w:color w:val="333333"/>
          <w:spacing w:val="0"/>
          <w:sz w:val="32"/>
          <w:szCs w:val="32"/>
          <w:lang w:val="en-US" w:eastAsia="zh-CN" w:bidi="ar"/>
        </w:rPr>
      </w:pPr>
      <w:r>
        <w:rPr>
          <w:rFonts w:hint="eastAsia" w:ascii="仿宋_GB2312" w:hAnsi="仿宋_GB2312" w:eastAsia="仿宋_GB2312" w:cs="仿宋_GB2312"/>
          <w:i w:val="0"/>
          <w:caps w:val="0"/>
          <w:color w:val="333333"/>
          <w:spacing w:val="0"/>
          <w:sz w:val="32"/>
          <w:szCs w:val="32"/>
          <w:lang w:val="en-US" w:eastAsia="zh-CN" w:bidi="ar"/>
        </w:rPr>
        <w:t>(3)办公设备30件16.51万元。</w:t>
      </w:r>
    </w:p>
    <w:p w14:paraId="383D3BEA">
      <w:pPr>
        <w:keepNext w:val="0"/>
        <w:keepLines w:val="0"/>
        <w:widowControl/>
        <w:suppressLineNumbers w:val="0"/>
        <w:pBdr>
          <w:top w:val="none" w:color="000000" w:sz="0" w:space="0"/>
          <w:left w:val="none" w:color="000000" w:sz="0" w:space="0"/>
          <w:bottom w:val="none" w:color="000000" w:sz="0" w:space="0"/>
          <w:right w:val="none" w:color="000000" w:sz="0" w:space="0"/>
        </w:pBdr>
        <w:ind w:firstLine="640"/>
        <w:jc w:val="left"/>
        <w:rPr>
          <w:rFonts w:hint="eastAsia" w:ascii="仿宋_GB2312" w:hAnsi="仿宋_GB2312" w:eastAsia="仿宋_GB2312" w:cs="仿宋_GB2312"/>
          <w:i w:val="0"/>
          <w:caps w:val="0"/>
          <w:color w:val="333333"/>
          <w:spacing w:val="0"/>
          <w:sz w:val="32"/>
          <w:szCs w:val="32"/>
          <w:lang w:val="en-US" w:eastAsia="zh-CN" w:bidi="ar"/>
        </w:rPr>
      </w:pPr>
      <w:r>
        <w:rPr>
          <w:rFonts w:hint="eastAsia" w:ascii="仿宋_GB2312" w:hAnsi="仿宋_GB2312" w:eastAsia="仿宋_GB2312" w:cs="仿宋_GB2312"/>
          <w:i w:val="0"/>
          <w:caps w:val="0"/>
          <w:color w:val="333333"/>
          <w:spacing w:val="0"/>
          <w:sz w:val="32"/>
          <w:szCs w:val="32"/>
          <w:lang w:val="en-US" w:eastAsia="zh-CN" w:bidi="ar"/>
        </w:rPr>
        <w:t>(4)车辆1辆2.06万元，是2017年公务用车改革，7辆公务用车已统一上交县机关事务局，国有资产还没有作报缴处理，提取折旧后，仍有一辆车挂在单位资产账上。</w:t>
      </w:r>
    </w:p>
    <w:p w14:paraId="0071F9CC">
      <w:pPr>
        <w:keepNext w:val="0"/>
        <w:keepLines w:val="0"/>
        <w:widowControl/>
        <w:suppressLineNumbers w:val="0"/>
        <w:pBdr>
          <w:top w:val="none" w:color="000000" w:sz="0" w:space="0"/>
          <w:left w:val="none" w:color="000000" w:sz="0" w:space="0"/>
          <w:bottom w:val="none" w:color="000000" w:sz="0" w:space="0"/>
          <w:right w:val="none" w:color="000000" w:sz="0" w:space="0"/>
        </w:pBdr>
        <w:ind w:firstLine="640"/>
        <w:jc w:val="left"/>
        <w:rPr>
          <w:rFonts w:hint="eastAsia" w:ascii="仿宋_GB2312" w:hAnsi="仿宋_GB2312" w:eastAsia="仿宋_GB2312" w:cs="仿宋_GB2312"/>
          <w:i w:val="0"/>
          <w:caps w:val="0"/>
          <w:color w:val="333333"/>
          <w:spacing w:val="0"/>
          <w:sz w:val="32"/>
          <w:szCs w:val="32"/>
          <w:lang w:val="en-US" w:eastAsia="zh-CN" w:bidi="ar"/>
        </w:rPr>
      </w:pPr>
      <w:r>
        <w:rPr>
          <w:rFonts w:hint="eastAsia" w:ascii="仿宋_GB2312" w:hAnsi="仿宋_GB2312" w:eastAsia="仿宋_GB2312" w:cs="仿宋_GB2312"/>
          <w:i w:val="0"/>
          <w:caps w:val="0"/>
          <w:color w:val="333333"/>
          <w:spacing w:val="0"/>
          <w:sz w:val="32"/>
          <w:szCs w:val="32"/>
          <w:lang w:val="en-US" w:eastAsia="zh-CN" w:bidi="ar"/>
        </w:rPr>
        <w:t>(5)用具、装具44件3.48万元。</w:t>
      </w:r>
    </w:p>
    <w:p w14:paraId="74536A8F">
      <w:pPr>
        <w:keepNext w:val="0"/>
        <w:keepLines w:val="0"/>
        <w:widowControl/>
        <w:suppressLineNumbers w:val="0"/>
        <w:pBdr>
          <w:top w:val="none" w:color="000000" w:sz="0" w:space="0"/>
          <w:left w:val="none" w:color="000000" w:sz="0" w:space="0"/>
          <w:bottom w:val="none" w:color="000000" w:sz="0" w:space="0"/>
          <w:right w:val="none" w:color="000000" w:sz="0" w:space="0"/>
        </w:pBdr>
        <w:ind w:firstLine="640"/>
        <w:jc w:val="left"/>
        <w:rPr>
          <w:rFonts w:hint="eastAsia" w:ascii="仿宋_GB2312" w:hAnsi="仿宋_GB2312" w:eastAsia="仿宋_GB2312" w:cs="仿宋_GB2312"/>
          <w:i w:val="0"/>
          <w:caps w:val="0"/>
          <w:color w:val="333333"/>
          <w:spacing w:val="0"/>
          <w:sz w:val="32"/>
          <w:szCs w:val="32"/>
          <w:lang w:val="en-US" w:eastAsia="zh-CN" w:bidi="ar"/>
        </w:rPr>
      </w:pPr>
      <w:r>
        <w:rPr>
          <w:rFonts w:hint="eastAsia" w:ascii="仿宋_GB2312" w:hAnsi="仿宋_GB2312" w:eastAsia="仿宋_GB2312" w:cs="仿宋_GB2312"/>
          <w:i w:val="0"/>
          <w:caps w:val="0"/>
          <w:color w:val="333333"/>
          <w:spacing w:val="0"/>
          <w:sz w:val="32"/>
          <w:szCs w:val="32"/>
          <w:lang w:val="en-US" w:eastAsia="zh-CN" w:bidi="ar"/>
        </w:rPr>
        <w:t>(6)无形资产27.50万元，一是2018年按省、市要求建设的政协云与社会网格化对接平台19.5万元，另一个2020年12月份按省市要求建设的政协网站8万元。</w:t>
      </w:r>
    </w:p>
    <w:p w14:paraId="0A5359C1">
      <w:pPr>
        <w:keepNext w:val="0"/>
        <w:keepLines w:val="0"/>
        <w:widowControl/>
        <w:suppressLineNumbers w:val="0"/>
        <w:spacing w:before="0" w:beforeAutospacing="0" w:after="2" w:afterAutospacing="0"/>
        <w:ind w:left="0" w:right="0" w:firstLine="660"/>
        <w:rPr>
          <w:rFonts w:hint="eastAsia" w:ascii="宋体" w:hAnsi="宋体" w:eastAsia="宋体" w:cs="宋体"/>
          <w:sz w:val="21"/>
          <w:szCs w:val="21"/>
        </w:rPr>
      </w:pPr>
      <w:r>
        <w:rPr>
          <w:rFonts w:hint="eastAsia" w:ascii="仿宋_GB2312" w:hAnsi="宋体" w:eastAsia="仿宋_GB2312" w:cs="仿宋_GB2312"/>
          <w:b/>
          <w:bCs/>
          <w:color w:val="000000"/>
          <w:sz w:val="32"/>
          <w:szCs w:val="32"/>
        </w:rPr>
        <w:t>（</w:t>
      </w:r>
      <w:r>
        <w:rPr>
          <w:rFonts w:hint="eastAsia" w:ascii="楷体_GB2312" w:hAnsi="宋体" w:eastAsia="楷体_GB2312" w:cs="楷体_GB2312"/>
          <w:b/>
          <w:bCs/>
          <w:color w:val="000000"/>
          <w:sz w:val="32"/>
          <w:szCs w:val="32"/>
        </w:rPr>
        <w:t>六</w:t>
      </w:r>
      <w:r>
        <w:rPr>
          <w:rFonts w:hint="eastAsia" w:ascii="仿宋_GB2312" w:hAnsi="宋体" w:eastAsia="仿宋_GB2312" w:cs="仿宋_GB2312"/>
          <w:b/>
          <w:bCs/>
          <w:color w:val="000000"/>
          <w:sz w:val="32"/>
          <w:szCs w:val="32"/>
        </w:rPr>
        <w:t>）预算绩效目标说明</w:t>
      </w:r>
      <w:r>
        <w:rPr>
          <w:rFonts w:hint="eastAsia" w:ascii="宋体" w:hAnsi="宋体" w:eastAsia="宋体" w:cs="宋体"/>
          <w:color w:val="000000"/>
          <w:sz w:val="21"/>
          <w:szCs w:val="21"/>
        </w:rPr>
        <w:t xml:space="preserve"> </w:t>
      </w:r>
    </w:p>
    <w:p w14:paraId="460E1C24">
      <w:pPr>
        <w:keepNext w:val="0"/>
        <w:keepLines w:val="0"/>
        <w:widowControl/>
        <w:suppressLineNumbers w:val="0"/>
        <w:spacing w:before="0" w:beforeAutospacing="0" w:after="2" w:afterAutospacing="0"/>
        <w:ind w:left="0" w:right="0" w:firstLine="660"/>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本部门所有支出实行绩效目标管理。纳入2022年部门整体支出绩效目标的金额为</w:t>
      </w:r>
      <w:r>
        <w:rPr>
          <w:rFonts w:hint="eastAsia" w:ascii="仿宋_GB2312" w:eastAsia="仿宋_GB2312" w:cs="仿宋_GB2312"/>
          <w:color w:val="000000"/>
          <w:sz w:val="32"/>
          <w:szCs w:val="32"/>
          <w:lang w:val="en-US" w:eastAsia="zh-CN"/>
        </w:rPr>
        <w:t>753.78</w:t>
      </w:r>
      <w:r>
        <w:rPr>
          <w:rFonts w:hint="eastAsia" w:ascii="仿宋_GB2312" w:hAnsi="宋体" w:eastAsia="仿宋_GB2312" w:cs="仿宋_GB2312"/>
          <w:color w:val="000000"/>
          <w:sz w:val="32"/>
          <w:szCs w:val="32"/>
        </w:rPr>
        <w:t>万元，其中，基本支出</w:t>
      </w:r>
      <w:r>
        <w:rPr>
          <w:rFonts w:hint="eastAsia" w:ascii="仿宋_GB2312" w:eastAsia="仿宋_GB2312" w:cs="仿宋_GB2312"/>
          <w:color w:val="000000"/>
          <w:sz w:val="32"/>
          <w:szCs w:val="32"/>
          <w:lang w:val="en-US" w:eastAsia="zh-CN"/>
        </w:rPr>
        <w:t>521.12</w:t>
      </w:r>
      <w:r>
        <w:rPr>
          <w:rFonts w:hint="eastAsia" w:ascii="仿宋_GB2312" w:hAnsi="宋体" w:eastAsia="仿宋_GB2312" w:cs="仿宋_GB2312"/>
          <w:color w:val="000000"/>
          <w:sz w:val="32"/>
          <w:szCs w:val="32"/>
        </w:rPr>
        <w:t>万元，项目支出</w:t>
      </w:r>
      <w:r>
        <w:rPr>
          <w:rFonts w:hint="eastAsia" w:ascii="仿宋_GB2312" w:eastAsia="仿宋_GB2312" w:cs="仿宋_GB2312"/>
          <w:color w:val="000000"/>
          <w:sz w:val="32"/>
          <w:szCs w:val="32"/>
          <w:lang w:val="en-US" w:eastAsia="zh-CN"/>
        </w:rPr>
        <w:t>232.66</w:t>
      </w:r>
      <w:r>
        <w:rPr>
          <w:rFonts w:hint="eastAsia" w:ascii="仿宋_GB2312" w:hAnsi="宋体" w:eastAsia="仿宋_GB2312" w:cs="仿宋_GB2312"/>
          <w:color w:val="000000"/>
          <w:sz w:val="32"/>
          <w:szCs w:val="32"/>
        </w:rPr>
        <w:t>万元。</w:t>
      </w:r>
      <w:r>
        <w:rPr>
          <w:rFonts w:hint="eastAsia" w:ascii="仿宋_GB2312" w:hAnsi="宋体" w:eastAsia="仿宋_GB2312" w:cs="仿宋_GB2312"/>
          <w:color w:val="000000"/>
          <w:sz w:val="21"/>
          <w:szCs w:val="21"/>
        </w:rPr>
        <w:t xml:space="preserve"> </w:t>
      </w:r>
    </w:p>
    <w:p w14:paraId="57877BFF">
      <w:pPr>
        <w:keepNext w:val="0"/>
        <w:keepLines w:val="0"/>
        <w:widowControl/>
        <w:suppressLineNumbers w:val="0"/>
        <w:spacing w:before="0" w:beforeAutospacing="0" w:after="2" w:afterAutospacing="0"/>
        <w:ind w:left="0" w:right="0" w:firstLine="660"/>
        <w:jc w:val="both"/>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七、名词解释</w:t>
      </w:r>
      <w:r>
        <w:rPr>
          <w:rFonts w:hint="eastAsia" w:ascii="仿宋_GB2312" w:hAnsi="宋体" w:eastAsia="仿宋_GB2312" w:cs="仿宋_GB2312"/>
          <w:color w:val="000000"/>
          <w:sz w:val="21"/>
          <w:szCs w:val="21"/>
        </w:rPr>
        <w:t xml:space="preserve"> </w:t>
      </w:r>
    </w:p>
    <w:p w14:paraId="6C30CAC5">
      <w:pPr>
        <w:keepNext w:val="0"/>
        <w:keepLines w:val="0"/>
        <w:widowControl/>
        <w:suppressLineNumbers w:val="0"/>
        <w:spacing w:before="0" w:beforeAutospacing="0" w:after="2" w:afterAutospacing="0"/>
        <w:ind w:left="0" w:right="0" w:firstLine="643"/>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1、基本支出：是指为保障单位机构正常运转、完成日常工作任务而发生的各项支出，包括用于基本工资、津贴补贴等人员经费以及办公费、印刷费、水电费、办公设备购置等日常公用经费。</w:t>
      </w:r>
      <w:r>
        <w:rPr>
          <w:rFonts w:hint="eastAsia" w:ascii="仿宋_GB2312" w:hAnsi="宋体" w:eastAsia="仿宋_GB2312" w:cs="仿宋_GB2312"/>
          <w:color w:val="000000"/>
          <w:sz w:val="21"/>
          <w:szCs w:val="21"/>
        </w:rPr>
        <w:t xml:space="preserve"> </w:t>
      </w:r>
    </w:p>
    <w:p w14:paraId="20AC6081">
      <w:pPr>
        <w:keepNext w:val="0"/>
        <w:keepLines w:val="0"/>
        <w:widowControl/>
        <w:suppressLineNumbers w:val="0"/>
        <w:spacing w:before="0" w:beforeAutospacing="0" w:after="2" w:afterAutospacing="0"/>
        <w:ind w:left="0" w:right="0" w:firstLine="643"/>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2、项目支出：是指单位为完成特定行政工作任务或事业发展目标而发生的支出。</w:t>
      </w:r>
      <w:r>
        <w:rPr>
          <w:rFonts w:hint="eastAsia" w:ascii="仿宋_GB2312" w:hAnsi="宋体" w:eastAsia="仿宋_GB2312" w:cs="仿宋_GB2312"/>
          <w:color w:val="000000"/>
          <w:sz w:val="21"/>
          <w:szCs w:val="21"/>
        </w:rPr>
        <w:t xml:space="preserve"> </w:t>
      </w:r>
    </w:p>
    <w:p w14:paraId="2DC92A1D">
      <w:pPr>
        <w:keepNext w:val="0"/>
        <w:keepLines w:val="0"/>
        <w:widowControl/>
        <w:suppressLineNumbers w:val="0"/>
        <w:spacing w:before="0" w:beforeAutospacing="0" w:after="2" w:afterAutospacing="0"/>
        <w:ind w:left="0" w:right="0" w:firstLine="643"/>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3、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hAnsi="宋体" w:eastAsia="仿宋_GB2312" w:cs="仿宋_GB2312"/>
          <w:color w:val="000000"/>
          <w:sz w:val="21"/>
          <w:szCs w:val="21"/>
        </w:rPr>
        <w:t xml:space="preserve"> </w:t>
      </w:r>
    </w:p>
    <w:p w14:paraId="6EFA7DBE">
      <w:pPr>
        <w:keepNext w:val="0"/>
        <w:keepLines w:val="0"/>
        <w:widowControl/>
        <w:suppressLineNumbers w:val="0"/>
        <w:spacing w:before="0" w:beforeAutospacing="0" w:after="2" w:afterAutospacing="0"/>
        <w:ind w:left="0" w:right="0" w:firstLine="643"/>
        <w:rPr>
          <w:rFonts w:hint="eastAsia" w:ascii="仿宋_GB2312" w:hAnsi="宋体" w:eastAsia="仿宋_GB2312" w:cs="仿宋_GB2312"/>
          <w:sz w:val="21"/>
          <w:szCs w:val="21"/>
        </w:rPr>
      </w:pPr>
      <w:r>
        <w:rPr>
          <w:rFonts w:hint="eastAsia" w:ascii="仿宋_GB2312" w:hAnsi="宋体" w:eastAsia="仿宋_GB2312" w:cs="仿宋_GB2312"/>
          <w:color w:val="000000"/>
          <w:sz w:val="32"/>
          <w:szCs w:val="32"/>
        </w:rPr>
        <w:t>4、“三公”经费：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r>
        <w:rPr>
          <w:rFonts w:hint="eastAsia" w:ascii="仿宋_GB2312" w:hAnsi="宋体" w:eastAsia="仿宋_GB2312" w:cs="仿宋_GB2312"/>
          <w:color w:val="000000"/>
          <w:sz w:val="21"/>
          <w:szCs w:val="21"/>
        </w:rPr>
        <w:t xml:space="preserve"> </w:t>
      </w:r>
    </w:p>
    <w:p w14:paraId="227B2F49">
      <w:pPr>
        <w:keepNext w:val="0"/>
        <w:keepLines w:val="0"/>
        <w:widowControl/>
        <w:suppressLineNumbers w:val="0"/>
        <w:spacing w:before="0" w:beforeAutospacing="0" w:after="2" w:afterAutospacing="0"/>
        <w:ind w:left="0" w:right="0" w:firstLine="640"/>
        <w:rPr>
          <w:rFonts w:hint="eastAsia" w:ascii="仿宋_GB2312" w:hAnsi="宋体" w:eastAsia="仿宋_GB2312" w:cs="仿宋_GB2312"/>
          <w:sz w:val="21"/>
          <w:szCs w:val="21"/>
        </w:rPr>
      </w:pPr>
      <w:r>
        <w:rPr>
          <w:rFonts w:hint="eastAsia" w:ascii="宋体" w:hAnsi="宋体" w:eastAsia="宋体" w:cs="宋体"/>
          <w:color w:val="000000"/>
          <w:sz w:val="32"/>
          <w:szCs w:val="32"/>
        </w:rPr>
        <w:t xml:space="preserve"> </w:t>
      </w:r>
      <w:r>
        <w:rPr>
          <w:rFonts w:hint="eastAsia" w:ascii="仿宋_GB2312" w:hAnsi="宋体" w:eastAsia="仿宋_GB2312" w:cs="仿宋_GB2312"/>
          <w:color w:val="000000"/>
          <w:sz w:val="21"/>
          <w:szCs w:val="21"/>
        </w:rPr>
        <w:t xml:space="preserve"> </w:t>
      </w:r>
    </w:p>
    <w:p w14:paraId="3A7EC290">
      <w:pPr>
        <w:keepNext w:val="0"/>
        <w:keepLines w:val="0"/>
        <w:widowControl/>
        <w:suppressLineNumbers w:val="0"/>
        <w:spacing w:before="0" w:beforeAutospacing="0" w:after="2" w:afterAutospacing="0"/>
        <w:ind w:left="0" w:right="0"/>
        <w:rPr>
          <w:rFonts w:hint="eastAsia" w:ascii="仿宋_GB2312" w:hAnsi="宋体" w:eastAsia="仿宋_GB2312" w:cs="仿宋_GB2312"/>
          <w:sz w:val="21"/>
          <w:szCs w:val="21"/>
        </w:rPr>
      </w:pPr>
      <w:r>
        <w:rPr>
          <w:rFonts w:hint="eastAsia" w:ascii="宋体" w:hAnsi="宋体" w:eastAsia="宋体" w:cs="宋体"/>
          <w:b/>
          <w:bCs/>
          <w:color w:val="000000"/>
          <w:sz w:val="32"/>
          <w:szCs w:val="32"/>
        </w:rPr>
        <w:t xml:space="preserve"> </w:t>
      </w:r>
      <w:r>
        <w:rPr>
          <w:rFonts w:hint="eastAsia" w:ascii="仿宋_GB2312" w:hAnsi="宋体" w:eastAsia="仿宋_GB2312" w:cs="仿宋_GB2312"/>
          <w:color w:val="000000"/>
          <w:sz w:val="21"/>
          <w:szCs w:val="21"/>
        </w:rPr>
        <w:t xml:space="preserve"> </w:t>
      </w:r>
    </w:p>
    <w:p w14:paraId="104C44FE">
      <w:pPr>
        <w:keepNext w:val="0"/>
        <w:keepLines w:val="0"/>
        <w:widowControl/>
        <w:suppressLineNumbers w:val="0"/>
        <w:spacing w:before="0" w:beforeAutospacing="0" w:after="2" w:afterAutospacing="0"/>
        <w:ind w:left="0" w:right="0"/>
        <w:jc w:val="both"/>
        <w:rPr>
          <w:rFonts w:hint="eastAsia" w:ascii="仿宋_GB2312" w:hAnsi="宋体" w:eastAsia="仿宋_GB2312" w:cs="仿宋_GB2312"/>
          <w:sz w:val="21"/>
          <w:szCs w:val="21"/>
        </w:rPr>
      </w:pPr>
      <w:r>
        <w:rPr>
          <w:rFonts w:hint="eastAsia" w:ascii="宋体" w:hAnsi="宋体" w:eastAsia="宋体" w:cs="宋体"/>
          <w:color w:val="000000"/>
          <w:sz w:val="36"/>
          <w:szCs w:val="36"/>
        </w:rPr>
        <w:t xml:space="preserve"> </w:t>
      </w:r>
      <w:r>
        <w:rPr>
          <w:rFonts w:hint="eastAsia" w:ascii="仿宋_GB2312" w:hAnsi="宋体" w:eastAsia="仿宋_GB2312" w:cs="仿宋_GB2312"/>
          <w:color w:val="000000"/>
          <w:sz w:val="21"/>
          <w:szCs w:val="21"/>
        </w:rPr>
        <w:t xml:space="preserve"> </w:t>
      </w:r>
    </w:p>
    <w:p w14:paraId="4B9F9591">
      <w:pPr>
        <w:keepNext w:val="0"/>
        <w:keepLines w:val="0"/>
        <w:widowControl/>
        <w:suppressLineNumbers w:val="0"/>
        <w:spacing w:before="0" w:beforeAutospacing="0" w:after="2" w:afterAutospacing="0"/>
        <w:ind w:left="0" w:right="0" w:firstLine="720"/>
        <w:jc w:val="center"/>
        <w:rPr>
          <w:rFonts w:hint="eastAsia" w:ascii="仿宋_GB2312" w:hAnsi="宋体" w:eastAsia="仿宋_GB2312" w:cs="仿宋_GB2312"/>
          <w:sz w:val="21"/>
          <w:szCs w:val="21"/>
        </w:rPr>
      </w:pPr>
      <w:r>
        <w:rPr>
          <w:rFonts w:hint="eastAsia" w:ascii="仿宋_GB2312" w:hAnsi="宋体" w:eastAsia="仿宋_GB2312" w:cs="仿宋_GB2312"/>
          <w:color w:val="000000"/>
          <w:sz w:val="36"/>
          <w:szCs w:val="36"/>
        </w:rPr>
        <w:t>第二部分 2022年部门预算表</w:t>
      </w:r>
      <w:r>
        <w:rPr>
          <w:rFonts w:hint="eastAsia" w:ascii="仿宋_GB2312" w:hAnsi="宋体" w:eastAsia="仿宋_GB2312" w:cs="仿宋_GB2312"/>
          <w:color w:val="000000"/>
          <w:sz w:val="21"/>
          <w:szCs w:val="21"/>
        </w:rPr>
        <w:t xml:space="preserve"> </w:t>
      </w:r>
    </w:p>
    <w:p w14:paraId="4F2F8866">
      <w:pPr>
        <w:keepNext w:val="0"/>
        <w:keepLines w:val="0"/>
        <w:widowControl/>
        <w:suppressLineNumbers w:val="0"/>
        <w:spacing w:before="0" w:beforeAutospacing="0" w:after="210" w:afterAutospacing="0"/>
        <w:ind w:left="0" w:right="0" w:firstLine="720"/>
        <w:jc w:val="center"/>
        <w:rPr>
          <w:rFonts w:hint="eastAsia" w:ascii="仿宋_GB2312" w:hAnsi="宋体" w:eastAsia="仿宋_GB2312" w:cs="仿宋_GB2312"/>
          <w:sz w:val="21"/>
          <w:szCs w:val="21"/>
        </w:rPr>
      </w:pPr>
      <w:r>
        <w:rPr>
          <w:rFonts w:hint="eastAsia" w:ascii="仿宋_GB2312" w:hAnsi="仿宋_GB2312" w:eastAsia="仿宋_GB2312" w:cs="仿宋_GB2312"/>
          <w:color w:val="002060"/>
          <w:sz w:val="32"/>
          <w:szCs w:val="32"/>
          <w:u w:val="single"/>
          <w:lang w:val="en-US" w:eastAsia="zh-CN"/>
        </w:rPr>
        <w:t>道县政协</w:t>
      </w:r>
      <w:r>
        <w:fldChar w:fldCharType="begin"/>
      </w:r>
      <w:r>
        <w:instrText xml:space="preserve"> HYPERLINK "http://10.105.183.30:8081/home/downloadAttachment?attachGUID=dc5becbd5067491e9ea70be81a8c41ff" </w:instrText>
      </w:r>
      <w:r>
        <w:fldChar w:fldCharType="separate"/>
      </w:r>
      <w:r>
        <w:rPr>
          <w:rStyle w:val="192"/>
          <w:rFonts w:hint="eastAsia" w:ascii="仿宋_GB2312" w:hAnsi="宋体" w:eastAsia="仿宋_GB2312" w:cs="仿宋_GB2312"/>
          <w:color w:val="0000FF"/>
          <w:sz w:val="32"/>
          <w:szCs w:val="32"/>
          <w:u w:val="single"/>
        </w:rPr>
        <w:t>2022年部门预算公开表.xls</w:t>
      </w:r>
      <w:r>
        <w:fldChar w:fldCharType="end"/>
      </w:r>
    </w:p>
    <w:p w14:paraId="30478638">
      <w:pPr>
        <w:keepNext w:val="0"/>
        <w:keepLines w:val="0"/>
        <w:widowControl/>
        <w:suppressLineNumbers w:val="0"/>
        <w:spacing w:before="0" w:beforeAutospacing="0" w:after="2" w:afterAutospacing="0"/>
        <w:ind w:left="0" w:right="0" w:firstLine="640"/>
        <w:rPr>
          <w:rFonts w:hint="eastAsia" w:ascii="仿宋_GB2312" w:hAnsi="宋体" w:eastAsia="仿宋_GB2312" w:cs="仿宋_GB2312"/>
          <w:sz w:val="21"/>
          <w:szCs w:val="21"/>
        </w:rPr>
      </w:pPr>
      <w:r>
        <w:rPr>
          <w:rFonts w:hint="eastAsia" w:ascii="仿宋_GB2312" w:hAnsi="宋体" w:eastAsia="仿宋_GB2312" w:cs="仿宋_GB2312"/>
          <w:sz w:val="21"/>
          <w:szCs w:val="21"/>
        </w:rPr>
        <w:t xml:space="preserve"> </w:t>
      </w:r>
    </w:p>
    <w:sectPr>
      <w:pgSz w:w="11906" w:h="16839" w:orient="landscape"/>
      <w:pgMar w:top="1134" w:right="850" w:bottom="1134" w:left="1701" w:header="851" w:footer="992" w:gutter="0"/>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B0604020202020204"/>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仿宋_GB2312">
    <w:altName w:val="仿宋"/>
    <w:panose1 w:val="02010609060101010101"/>
    <w:charset w:val="00"/>
    <w:family w:val="auto"/>
    <w:pitch w:val="default"/>
    <w:sig w:usb0="00000000" w:usb1="00000000" w:usb2="00000000" w:usb3="00000000" w:csb0="00000000" w:csb1="00000000"/>
  </w:font>
  <w:font w:name="楷体_GB2312">
    <w:altName w:val="楷体"/>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4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AF64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iPriority="99"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94"/>
    <w:unhideWhenUsed/>
    <w:uiPriority w:val="99"/>
    <w:pPr>
      <w:spacing w:before="0" w:beforeAutospacing="0" w:after="0" w:afterAutospacing="0"/>
      <w:ind w:left="0" w:right="0"/>
      <w:jc w:val="left"/>
    </w:pPr>
    <w:rPr>
      <w:rFonts w:hint="eastAsia" w:ascii="宋体" w:hAnsi="宋体" w:eastAsia="宋体" w:cs="宋体"/>
      <w:sz w:val="24"/>
      <w:szCs w:val="24"/>
      <w:lang w:val="en-US" w:eastAsia="zh-CN" w:bidi="ar"/>
    </w:rPr>
  </w:style>
  <w:style w:type="paragraph" w:styleId="2">
    <w:name w:val="heading 1"/>
    <w:basedOn w:val="1"/>
    <w:next w:val="1"/>
    <w:link w:val="34"/>
    <w:qFormat/>
    <w:uiPriority w:val="9"/>
    <w:pPr>
      <w:keepNext/>
      <w:keepLines/>
      <w:spacing w:before="480" w:after="200"/>
      <w:outlineLvl w:val="0"/>
    </w:pPr>
    <w:rPr>
      <w:rFonts w:ascii="等线" w:hAnsi="等线" w:eastAsia="等线" w:cs="等线"/>
      <w:sz w:val="40"/>
      <w:szCs w:val="40"/>
    </w:rPr>
  </w:style>
  <w:style w:type="paragraph" w:styleId="3">
    <w:name w:val="heading 2"/>
    <w:basedOn w:val="1"/>
    <w:next w:val="1"/>
    <w:link w:val="35"/>
    <w:unhideWhenUsed/>
    <w:qFormat/>
    <w:uiPriority w:val="9"/>
    <w:pPr>
      <w:keepNext/>
      <w:keepLines/>
      <w:spacing w:before="360" w:after="200"/>
      <w:outlineLvl w:val="1"/>
    </w:pPr>
    <w:rPr>
      <w:rFonts w:ascii="等线" w:hAnsi="等线" w:eastAsia="等线" w:cs="等线"/>
      <w:sz w:val="34"/>
    </w:rPr>
  </w:style>
  <w:style w:type="paragraph" w:styleId="4">
    <w:name w:val="heading 3"/>
    <w:basedOn w:val="1"/>
    <w:next w:val="1"/>
    <w:link w:val="36"/>
    <w:unhideWhenUsed/>
    <w:qFormat/>
    <w:uiPriority w:val="9"/>
    <w:pPr>
      <w:keepNext/>
      <w:keepLines/>
      <w:spacing w:before="320" w:after="200"/>
      <w:outlineLvl w:val="2"/>
    </w:pPr>
    <w:rPr>
      <w:rFonts w:ascii="等线" w:hAnsi="等线" w:eastAsia="等线" w:cs="等线"/>
      <w:sz w:val="30"/>
      <w:szCs w:val="30"/>
    </w:rPr>
  </w:style>
  <w:style w:type="paragraph" w:styleId="5">
    <w:name w:val="heading 4"/>
    <w:basedOn w:val="1"/>
    <w:next w:val="1"/>
    <w:link w:val="37"/>
    <w:unhideWhenUsed/>
    <w:qFormat/>
    <w:uiPriority w:val="9"/>
    <w:pPr>
      <w:keepNext/>
      <w:keepLines/>
      <w:spacing w:before="320" w:after="200"/>
      <w:outlineLvl w:val="3"/>
    </w:pPr>
    <w:rPr>
      <w:rFonts w:ascii="等线" w:hAnsi="等线" w:eastAsia="等线" w:cs="等线"/>
      <w:b/>
      <w:bCs/>
      <w:sz w:val="26"/>
      <w:szCs w:val="26"/>
    </w:rPr>
  </w:style>
  <w:style w:type="paragraph" w:styleId="6">
    <w:name w:val="heading 5"/>
    <w:basedOn w:val="1"/>
    <w:next w:val="1"/>
    <w:link w:val="38"/>
    <w:unhideWhenUsed/>
    <w:qFormat/>
    <w:uiPriority w:val="9"/>
    <w:pPr>
      <w:keepNext/>
      <w:keepLines/>
      <w:spacing w:before="320" w:after="200"/>
      <w:outlineLvl w:val="4"/>
    </w:pPr>
    <w:rPr>
      <w:rFonts w:ascii="等线" w:hAnsi="等线" w:eastAsia="等线" w:cs="等线"/>
      <w:b/>
      <w:bCs/>
      <w:sz w:val="24"/>
      <w:szCs w:val="24"/>
    </w:rPr>
  </w:style>
  <w:style w:type="paragraph" w:styleId="7">
    <w:name w:val="heading 6"/>
    <w:basedOn w:val="1"/>
    <w:next w:val="1"/>
    <w:link w:val="39"/>
    <w:unhideWhenUsed/>
    <w:qFormat/>
    <w:uiPriority w:val="9"/>
    <w:pPr>
      <w:keepNext/>
      <w:keepLines/>
      <w:spacing w:before="320" w:after="200"/>
      <w:outlineLvl w:val="5"/>
    </w:pPr>
    <w:rPr>
      <w:rFonts w:ascii="等线" w:hAnsi="等线" w:eastAsia="等线" w:cs="等线"/>
      <w:b/>
      <w:bCs/>
      <w:sz w:val="22"/>
      <w:szCs w:val="22"/>
    </w:rPr>
  </w:style>
  <w:style w:type="paragraph" w:styleId="8">
    <w:name w:val="heading 7"/>
    <w:basedOn w:val="1"/>
    <w:next w:val="1"/>
    <w:link w:val="40"/>
    <w:unhideWhenUsed/>
    <w:qFormat/>
    <w:uiPriority w:val="9"/>
    <w:pPr>
      <w:keepNext/>
      <w:keepLines/>
      <w:spacing w:before="320" w:after="200"/>
      <w:outlineLvl w:val="6"/>
    </w:pPr>
    <w:rPr>
      <w:rFonts w:ascii="等线" w:hAnsi="等线" w:eastAsia="等线" w:cs="等线"/>
      <w:b/>
      <w:bCs/>
      <w:i/>
      <w:iCs/>
      <w:sz w:val="22"/>
      <w:szCs w:val="22"/>
    </w:rPr>
  </w:style>
  <w:style w:type="paragraph" w:styleId="9">
    <w:name w:val="heading 8"/>
    <w:basedOn w:val="1"/>
    <w:next w:val="1"/>
    <w:link w:val="41"/>
    <w:unhideWhenUsed/>
    <w:qFormat/>
    <w:uiPriority w:val="9"/>
    <w:pPr>
      <w:keepNext/>
      <w:keepLines/>
      <w:spacing w:before="320" w:after="200"/>
      <w:outlineLvl w:val="7"/>
    </w:pPr>
    <w:rPr>
      <w:rFonts w:ascii="等线" w:hAnsi="等线" w:eastAsia="等线" w:cs="等线"/>
      <w:i/>
      <w:iCs/>
      <w:sz w:val="22"/>
      <w:szCs w:val="22"/>
    </w:rPr>
  </w:style>
  <w:style w:type="paragraph" w:styleId="10">
    <w:name w:val="heading 9"/>
    <w:basedOn w:val="1"/>
    <w:next w:val="1"/>
    <w:link w:val="42"/>
    <w:unhideWhenUsed/>
    <w:qFormat/>
    <w:uiPriority w:val="9"/>
    <w:pPr>
      <w:keepNext/>
      <w:keepLines/>
      <w:spacing w:before="320" w:after="200"/>
      <w:outlineLvl w:val="8"/>
    </w:pPr>
    <w:rPr>
      <w:rFonts w:ascii="等线" w:hAnsi="等线" w:eastAsia="等线" w:cs="等线"/>
      <w:i/>
      <w:iCs/>
      <w:sz w:val="21"/>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paragraph" w:styleId="11">
    <w:name w:val="toc 7"/>
    <w:basedOn w:val="1"/>
    <w:next w:val="1"/>
    <w:unhideWhenUsed/>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uiPriority w:val="39"/>
    <w:pPr>
      <w:spacing w:after="57"/>
      <w:ind w:left="1134" w:right="0" w:firstLine="0"/>
    </w:pPr>
  </w:style>
  <w:style w:type="paragraph" w:styleId="14">
    <w:name w:val="toc 3"/>
    <w:basedOn w:val="1"/>
    <w:next w:val="1"/>
    <w:unhideWhenUsed/>
    <w:uiPriority w:val="39"/>
    <w:pPr>
      <w:spacing w:after="57"/>
      <w:ind w:left="567" w:right="0" w:firstLine="0"/>
    </w:pPr>
  </w:style>
  <w:style w:type="paragraph" w:styleId="15">
    <w:name w:val="toc 8"/>
    <w:basedOn w:val="1"/>
    <w:next w:val="1"/>
    <w:unhideWhenUsed/>
    <w:uiPriority w:val="39"/>
    <w:pPr>
      <w:spacing w:after="57"/>
      <w:ind w:left="1984" w:right="0" w:firstLine="0"/>
    </w:pPr>
  </w:style>
  <w:style w:type="paragraph" w:styleId="16">
    <w:name w:val="endnote text"/>
    <w:basedOn w:val="1"/>
    <w:link w:val="180"/>
    <w:semiHidden/>
    <w:unhideWhenUsed/>
    <w:uiPriority w:val="99"/>
    <w:pPr>
      <w:spacing w:after="0" w:line="240" w:lineRule="auto"/>
    </w:pPr>
    <w:rPr>
      <w:sz w:val="20"/>
    </w:rPr>
  </w:style>
  <w:style w:type="paragraph" w:styleId="17">
    <w:name w:val="footer"/>
    <w:basedOn w:val="1"/>
    <w:link w:val="53"/>
    <w:unhideWhenUsed/>
    <w:uiPriority w:val="99"/>
    <w:pPr>
      <w:tabs>
        <w:tab w:val="center" w:pos="7143"/>
        <w:tab w:val="right" w:pos="14287"/>
      </w:tabs>
      <w:spacing w:after="0" w:line="240" w:lineRule="auto"/>
    </w:pPr>
  </w:style>
  <w:style w:type="paragraph" w:styleId="18">
    <w:name w:val="header"/>
    <w:basedOn w:val="1"/>
    <w:link w:val="51"/>
    <w:unhideWhenUsed/>
    <w:uiPriority w:val="99"/>
    <w:pPr>
      <w:tabs>
        <w:tab w:val="center" w:pos="7143"/>
        <w:tab w:val="right" w:pos="14287"/>
      </w:tabs>
      <w:spacing w:after="0" w:line="240" w:lineRule="auto"/>
    </w:pPr>
  </w:style>
  <w:style w:type="paragraph" w:styleId="19">
    <w:name w:val="toc 1"/>
    <w:basedOn w:val="1"/>
    <w:next w:val="1"/>
    <w:unhideWhenUsed/>
    <w:uiPriority w:val="39"/>
    <w:pPr>
      <w:spacing w:after="57"/>
      <w:ind w:left="0" w:right="0" w:firstLine="0"/>
    </w:pPr>
  </w:style>
  <w:style w:type="paragraph" w:styleId="20">
    <w:name w:val="toc 4"/>
    <w:basedOn w:val="1"/>
    <w:next w:val="1"/>
    <w:unhideWhenUsed/>
    <w:uiPriority w:val="39"/>
    <w:pPr>
      <w:spacing w:after="57"/>
      <w:ind w:left="850" w:right="0" w:firstLine="0"/>
    </w:pPr>
  </w:style>
  <w:style w:type="paragraph" w:styleId="21">
    <w:name w:val="Subtitle"/>
    <w:basedOn w:val="1"/>
    <w:next w:val="1"/>
    <w:link w:val="46"/>
    <w:qFormat/>
    <w:uiPriority w:val="11"/>
    <w:pPr>
      <w:spacing w:before="200" w:after="200"/>
    </w:pPr>
    <w:rPr>
      <w:sz w:val="24"/>
      <w:szCs w:val="24"/>
    </w:rPr>
  </w:style>
  <w:style w:type="paragraph" w:styleId="22">
    <w:name w:val="footnote text"/>
    <w:basedOn w:val="1"/>
    <w:link w:val="179"/>
    <w:semiHidden/>
    <w:unhideWhenUsed/>
    <w:uiPriority w:val="99"/>
    <w:pPr>
      <w:spacing w:after="40" w:line="240" w:lineRule="auto"/>
    </w:pPr>
    <w:rPr>
      <w:sz w:val="18"/>
    </w:rPr>
  </w:style>
  <w:style w:type="paragraph" w:styleId="23">
    <w:name w:val="toc 6"/>
    <w:basedOn w:val="1"/>
    <w:next w:val="1"/>
    <w:unhideWhenUsed/>
    <w:uiPriority w:val="39"/>
    <w:pPr>
      <w:spacing w:after="57"/>
      <w:ind w:left="1417" w:right="0" w:firstLine="0"/>
    </w:pPr>
  </w:style>
  <w:style w:type="paragraph" w:styleId="24">
    <w:name w:val="table of figures"/>
    <w:basedOn w:val="1"/>
    <w:next w:val="1"/>
    <w:unhideWhenUsed/>
    <w:uiPriority w:val="99"/>
    <w:pPr>
      <w:spacing w:after="0" w:afterAutospacing="0"/>
    </w:pPr>
  </w:style>
  <w:style w:type="paragraph" w:styleId="25">
    <w:name w:val="toc 2"/>
    <w:basedOn w:val="1"/>
    <w:next w:val="1"/>
    <w:unhideWhenUsed/>
    <w:uiPriority w:val="39"/>
    <w:pPr>
      <w:spacing w:after="57"/>
      <w:ind w:left="283" w:right="0" w:firstLine="0"/>
    </w:pPr>
  </w:style>
  <w:style w:type="paragraph" w:styleId="26">
    <w:name w:val="toc 9"/>
    <w:basedOn w:val="1"/>
    <w:next w:val="1"/>
    <w:unhideWhenUsed/>
    <w:uiPriority w:val="39"/>
    <w:pPr>
      <w:spacing w:after="57"/>
      <w:ind w:left="2268" w:right="0" w:firstLine="0"/>
    </w:pPr>
  </w:style>
  <w:style w:type="paragraph" w:styleId="27">
    <w:name w:val="Title"/>
    <w:basedOn w:val="1"/>
    <w:next w:val="1"/>
    <w:link w:val="45"/>
    <w:qFormat/>
    <w:uiPriority w:val="10"/>
    <w:pPr>
      <w:spacing w:before="300" w:after="200"/>
      <w:contextualSpacing/>
    </w:pPr>
    <w:rPr>
      <w:sz w:val="48"/>
      <w:szCs w:val="48"/>
    </w:rPr>
  </w:style>
  <w:style w:type="table" w:styleId="29">
    <w:name w:val="Table Grid"/>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character" w:styleId="31">
    <w:name w:val="endnote reference"/>
    <w:semiHidden/>
    <w:unhideWhenUsed/>
    <w:uiPriority w:val="99"/>
    <w:rPr>
      <w:vertAlign w:val="superscript"/>
    </w:rPr>
  </w:style>
  <w:style w:type="character" w:styleId="32">
    <w:name w:val="Hyperlink"/>
    <w:unhideWhenUsed/>
    <w:uiPriority w:val="99"/>
    <w:rPr>
      <w:color w:val="0000FF" w:themeColor="hyperlink"/>
      <w:u w:val="single"/>
      <w14:textFill>
        <w14:solidFill>
          <w14:schemeClr w14:val="hlink"/>
        </w14:solidFill>
      </w14:textFill>
    </w:rPr>
  </w:style>
  <w:style w:type="character" w:styleId="33">
    <w:name w:val="footnote reference"/>
    <w:unhideWhenUsed/>
    <w:uiPriority w:val="99"/>
    <w:rPr>
      <w:vertAlign w:val="superscript"/>
    </w:rPr>
  </w:style>
  <w:style w:type="character" w:customStyle="1" w:styleId="34">
    <w:name w:val="Heading 1 Char"/>
    <w:link w:val="2"/>
    <w:qFormat/>
    <w:uiPriority w:val="9"/>
    <w:rPr>
      <w:rFonts w:ascii="等线" w:hAnsi="等线" w:eastAsia="等线" w:cs="等线"/>
      <w:sz w:val="40"/>
      <w:szCs w:val="40"/>
    </w:rPr>
  </w:style>
  <w:style w:type="character" w:customStyle="1" w:styleId="35">
    <w:name w:val="Heading 2 Char"/>
    <w:link w:val="3"/>
    <w:qFormat/>
    <w:uiPriority w:val="9"/>
    <w:rPr>
      <w:rFonts w:ascii="等线" w:hAnsi="等线" w:eastAsia="等线" w:cs="等线"/>
      <w:sz w:val="34"/>
    </w:rPr>
  </w:style>
  <w:style w:type="character" w:customStyle="1" w:styleId="36">
    <w:name w:val="Heading 3 Char"/>
    <w:link w:val="4"/>
    <w:qFormat/>
    <w:uiPriority w:val="9"/>
    <w:rPr>
      <w:rFonts w:ascii="等线" w:hAnsi="等线" w:eastAsia="等线" w:cs="等线"/>
      <w:sz w:val="30"/>
      <w:szCs w:val="30"/>
    </w:rPr>
  </w:style>
  <w:style w:type="character" w:customStyle="1" w:styleId="37">
    <w:name w:val="Heading 4 Char"/>
    <w:link w:val="5"/>
    <w:qFormat/>
    <w:uiPriority w:val="9"/>
    <w:rPr>
      <w:rFonts w:ascii="等线" w:hAnsi="等线" w:eastAsia="等线" w:cs="等线"/>
      <w:b/>
      <w:bCs/>
      <w:sz w:val="26"/>
      <w:szCs w:val="26"/>
    </w:rPr>
  </w:style>
  <w:style w:type="character" w:customStyle="1" w:styleId="38">
    <w:name w:val="Heading 5 Char"/>
    <w:link w:val="6"/>
    <w:qFormat/>
    <w:uiPriority w:val="9"/>
    <w:rPr>
      <w:rFonts w:ascii="等线" w:hAnsi="等线" w:eastAsia="等线" w:cs="等线"/>
      <w:b/>
      <w:bCs/>
      <w:sz w:val="24"/>
      <w:szCs w:val="24"/>
    </w:rPr>
  </w:style>
  <w:style w:type="character" w:customStyle="1" w:styleId="39">
    <w:name w:val="Heading 6 Char"/>
    <w:link w:val="7"/>
    <w:qFormat/>
    <w:uiPriority w:val="9"/>
    <w:rPr>
      <w:rFonts w:ascii="等线" w:hAnsi="等线" w:eastAsia="等线" w:cs="等线"/>
      <w:b/>
      <w:bCs/>
      <w:sz w:val="22"/>
      <w:szCs w:val="22"/>
    </w:rPr>
  </w:style>
  <w:style w:type="character" w:customStyle="1" w:styleId="40">
    <w:name w:val="Heading 7 Char"/>
    <w:link w:val="8"/>
    <w:qFormat/>
    <w:uiPriority w:val="9"/>
    <w:rPr>
      <w:rFonts w:ascii="等线" w:hAnsi="等线" w:eastAsia="等线" w:cs="等线"/>
      <w:b/>
      <w:bCs/>
      <w:i/>
      <w:iCs/>
      <w:sz w:val="22"/>
      <w:szCs w:val="22"/>
    </w:rPr>
  </w:style>
  <w:style w:type="character" w:customStyle="1" w:styleId="41">
    <w:name w:val="Heading 8 Char"/>
    <w:link w:val="9"/>
    <w:qFormat/>
    <w:uiPriority w:val="9"/>
    <w:rPr>
      <w:rFonts w:ascii="等线" w:hAnsi="等线" w:eastAsia="等线" w:cs="等线"/>
      <w:i/>
      <w:iCs/>
      <w:sz w:val="22"/>
      <w:szCs w:val="22"/>
    </w:rPr>
  </w:style>
  <w:style w:type="character" w:customStyle="1" w:styleId="42">
    <w:name w:val="Heading 9 Char"/>
    <w:link w:val="10"/>
    <w:qFormat/>
    <w:uiPriority w:val="9"/>
    <w:rPr>
      <w:rFonts w:ascii="等线" w:hAnsi="等线" w:eastAsia="等线" w:cs="等线"/>
      <w:i/>
      <w:iCs/>
      <w:sz w:val="21"/>
      <w:szCs w:val="21"/>
    </w:rPr>
  </w:style>
  <w:style w:type="paragraph" w:styleId="43">
    <w:name w:val="List Paragraph"/>
    <w:basedOn w:val="1"/>
    <w:qFormat/>
    <w:uiPriority w:val="34"/>
    <w:pPr>
      <w:ind w:left="720"/>
      <w:contextualSpacing/>
    </w:pPr>
  </w:style>
  <w:style w:type="paragraph" w:styleId="44">
    <w:name w:val="No Spacing"/>
    <w:qFormat/>
    <w:uiPriority w:val="1"/>
    <w:pPr>
      <w:spacing w:before="0" w:after="0" w:line="240" w:lineRule="auto"/>
    </w:pPr>
    <w:rPr>
      <w:rFonts w:hint="default" w:ascii="Times New Roman" w:hAnsi="Times New Roman" w:eastAsia="宋体" w:cs="Times New Roman"/>
    </w:rPr>
  </w:style>
  <w:style w:type="character" w:customStyle="1" w:styleId="45">
    <w:name w:val="Title Char"/>
    <w:link w:val="27"/>
    <w:uiPriority w:val="10"/>
    <w:rPr>
      <w:sz w:val="48"/>
      <w:szCs w:val="48"/>
    </w:rPr>
  </w:style>
  <w:style w:type="character" w:customStyle="1" w:styleId="46">
    <w:name w:val="Subtitle Char"/>
    <w:link w:val="21"/>
    <w:uiPriority w:val="11"/>
    <w:rPr>
      <w:sz w:val="24"/>
      <w:szCs w:val="24"/>
    </w:rPr>
  </w:style>
  <w:style w:type="paragraph" w:styleId="47">
    <w:name w:val="Quote"/>
    <w:basedOn w:val="1"/>
    <w:next w:val="1"/>
    <w:link w:val="48"/>
    <w:qFormat/>
    <w:uiPriority w:val="29"/>
    <w:pPr>
      <w:ind w:left="720" w:right="720"/>
    </w:pPr>
    <w:rPr>
      <w:i/>
    </w:rPr>
  </w:style>
  <w:style w:type="character" w:customStyle="1" w:styleId="48">
    <w:name w:val="Quote Char"/>
    <w:link w:val="47"/>
    <w:uiPriority w:val="29"/>
    <w:rPr>
      <w:i/>
    </w:rPr>
  </w:style>
  <w:style w:type="paragraph" w:styleId="49">
    <w:name w:val="Intense Quote"/>
    <w:basedOn w:val="1"/>
    <w:next w:val="1"/>
    <w:link w:val="5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0">
    <w:name w:val="Intense Quote Char"/>
    <w:link w:val="49"/>
    <w:uiPriority w:val="30"/>
    <w:rPr>
      <w:i/>
    </w:rPr>
  </w:style>
  <w:style w:type="character" w:customStyle="1" w:styleId="51">
    <w:name w:val="Header Char"/>
    <w:link w:val="18"/>
    <w:uiPriority w:val="99"/>
  </w:style>
  <w:style w:type="character" w:customStyle="1" w:styleId="52">
    <w:name w:val="Footer Char"/>
    <w:link w:val="17"/>
    <w:uiPriority w:val="99"/>
  </w:style>
  <w:style w:type="character" w:customStyle="1" w:styleId="53">
    <w:name w:val="Caption Char"/>
    <w:link w:val="17"/>
    <w:uiPriority w:val="99"/>
  </w:style>
  <w:style w:type="table" w:customStyle="1" w:styleId="54">
    <w:name w:val="Table Grid Ligh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5">
    <w:name w:val="Plain Table 1"/>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shd w:val="clear" w:color="F1F1F1" w:themeColor="text1" w:themeTint="0D" w:fill="F1F1F1" w:themeFill="text1" w:themeFillTint="0D"/>
      </w:tcPr>
    </w:tblStylePr>
    <w:tblStylePr w:type="band2Vert">
      <w:tblPr/>
    </w:tblStylePr>
    <w:tblStylePr w:type="band1Horz">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6">
    <w:name w:val="Plain Table 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blPr/>
      <w:tcPr>
        <w:tcBorders>
          <w:top w:val="single" w:color="000000" w:themeColor="text1" w:sz="4" w:space="0"/>
          <w:bottom w:val="single" w:color="000000" w:themeColor="text1" w:sz="4" w:space="0"/>
        </w:tcBorders>
      </w:tc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7">
    <w:name w:val="Plain Table 3"/>
    <w:uiPriority w:val="99"/>
    <w:pPr>
      <w:spacing w:after="0" w:line="240" w:lineRule="auto"/>
    </w:pPr>
    <w:tblPr/>
    <w:tblStylePr w:type="firstRow">
      <w:rPr>
        <w:b/>
        <w:caps/>
        <w:color w:val="404040"/>
      </w:rPr>
      <w:tblPr/>
      <w:tcPr>
        <w:tcBorders>
          <w:top w:val="nil"/>
          <w:left w:val="nil"/>
          <w:bottom w:val="single" w:color="404040" w:sz="4" w:space="0"/>
          <w:right w:val="nil"/>
        </w:tcBorders>
      </w:tcPr>
    </w:tblStylePr>
    <w:tblStylePr w:type="lastRow">
      <w:rPr>
        <w:b/>
        <w:caps/>
        <w:color w:val="404040"/>
      </w:rPr>
      <w:tblPr/>
    </w:tblStylePr>
    <w:tblStylePr w:type="firstCol">
      <w:rPr>
        <w:b/>
        <w:caps/>
        <w:color w:val="404040"/>
      </w:rPr>
      <w:tblPr/>
      <w:tcPr>
        <w:tcBorders>
          <w:top w:val="nil"/>
          <w:left w:val="nil"/>
          <w:bottom w:val="nil"/>
          <w:right w:val="single" w:color="404040" w:sz="4" w:space="0"/>
        </w:tcBorders>
      </w:tcPr>
    </w:tblStylePr>
    <w:tblStylePr w:type="lastCol">
      <w:rPr>
        <w:b/>
        <w:caps/>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8">
    <w:name w:val="Plain Table 4"/>
    <w:uiPriority w:val="99"/>
    <w:pPr>
      <w:spacing w:after="0" w:line="240" w:lineRule="auto"/>
    </w:pPr>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9">
    <w:name w:val="Plain Table 5"/>
    <w:qFormat/>
    <w:uiPriority w:val="99"/>
    <w:pPr>
      <w:spacing w:after="0" w:line="240" w:lineRule="auto"/>
    </w:pPr>
    <w:tblPr/>
    <w:tblStylePr w:type="firstRow">
      <w:rPr>
        <w:i/>
        <w:color w:val="404040"/>
      </w:rPr>
      <w:tblPr/>
      <w:tcPr>
        <w:tcBorders>
          <w:left w:val="nil"/>
          <w:bottom w:val="single" w:color="404040" w:sz="4" w:space="0"/>
          <w:right w:val="nil"/>
        </w:tcBorders>
        <w:shd w:val="clear" w:color="FFFFFF" w:fill="auto"/>
      </w:tcPr>
    </w:tblStylePr>
    <w:tblStylePr w:type="lastRow">
      <w:rPr>
        <w:i/>
        <w:color w:val="404040"/>
      </w:rPr>
      <w:tblPr/>
      <w:tcPr>
        <w:tcBorders>
          <w:top w:val="single" w:color="404040" w:sz="4" w:space="0"/>
          <w:left w:val="nil"/>
          <w:right w:val="nil"/>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0">
    <w:name w:val="Grid Table 1 Light"/>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blPr/>
      <w:tcPr>
        <w:tcBorders>
          <w:bottom w:val="single" w:color="696969" w:themeColor="tex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1">
    <w:name w:val="Grid Table 1 Light - Accent 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blPr/>
      <w:tcPr>
        <w:tcBorders>
          <w:bottom w:val="single" w:color="98B5D8" w:themeColor="accen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2">
    <w:name w:val="Grid Table 1 Light - Accent 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blPr/>
      <w:tcPr>
        <w:tcBorders>
          <w:bottom w:val="single" w:color="DA9896" w:themeColor="accent2"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3">
    <w:name w:val="Grid Table 1 Light - Accent 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blPr/>
      <w:tcPr>
        <w:tcBorders>
          <w:bottom w:val="single" w:color="C4D79E" w:themeColor="accent3"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4">
    <w:name w:val="Grid Table 1 Light - Accent 4"/>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blPr/>
      <w:tcPr>
        <w:tcBorders>
          <w:bottom w:val="single" w:color="B4A4C8" w:themeColor="accent4"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5">
    <w:name w:val="Grid Table 1 Light - Accent 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blPr/>
      <w:tcPr>
        <w:tcBorders>
          <w:bottom w:val="single" w:color="95CEDD" w:themeColor="accent5"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6">
    <w:name w:val="Grid Table 1 Light - Accent 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blPr/>
      <w:tcPr>
        <w:tcBorders>
          <w:bottom w:val="single" w:color="FAC192" w:themeColor="accent6"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7">
    <w:name w:val="Grid Table 2"/>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single" w:color="696969" w:themeColor="text1" w:themeTint="95" w:sz="12" w:space="0"/>
          <w:right w:val="nil"/>
        </w:tcBorders>
        <w:shd w:val="clear" w:color="FFFFFF" w:fill="auto"/>
      </w:tcPr>
    </w:tblStylePr>
    <w:tblStylePr w:type="lastRow">
      <w:rPr>
        <w:b/>
        <w:color w:val="404040"/>
      </w:rPr>
      <w:tblPr/>
      <w:tcPr>
        <w:tcBorders>
          <w:top w:val="single" w:color="696969" w:themeColor="text1" w:themeTint="9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8">
    <w:name w:val="Grid Table 2 - Accent 1"/>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blPr/>
      <w:tcPr>
        <w:tcBorders>
          <w:top w:val="nil"/>
          <w:left w:val="nil"/>
          <w:bottom w:val="single" w:color="5D8BC2" w:themeColor="accent1" w:themeTint="EA" w:sz="12" w:space="0"/>
          <w:right w:val="nil"/>
        </w:tcBorders>
        <w:shd w:val="clear" w:color="FFFFFF" w:fill="auto"/>
      </w:tcPr>
    </w:tblStylePr>
    <w:tblStylePr w:type="lastRow">
      <w:rPr>
        <w:b/>
        <w:color w:val="404040"/>
      </w:rPr>
      <w:tblPr/>
      <w:tcPr>
        <w:tcBorders>
          <w:top w:val="single" w:color="5D8BC2" w:themeColor="accent1" w:themeTint="E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BE5F1" w:themeColor="accent1" w:themeTint="34" w:fill="DBE5F1" w:themeFill="accent1" w:themeFillTint="34"/>
      </w:tcPr>
    </w:tblStylePr>
    <w:tblStylePr w:type="band2Vert">
      <w:tblPr/>
    </w:tblStylePr>
    <w:tblStylePr w:type="band1Horz">
      <w:rPr>
        <w:rFonts w:ascii="Arial" w:hAnsi="Arial"/>
        <w:color w:val="404040"/>
        <w:sz w:val="22"/>
      </w:rPr>
      <w:tblPr/>
      <w:tcPr>
        <w:shd w:val="clear" w:color="DBE5F1" w:themeColor="accent1" w:themeTint="34" w:fill="DBE5F1"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9">
    <w:name w:val="Grid Table 2 - Accent 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blPr/>
      <w:tcPr>
        <w:tcBorders>
          <w:top w:val="nil"/>
          <w:left w:val="nil"/>
          <w:bottom w:val="single" w:color="D99795" w:themeColor="accent2" w:themeTint="97" w:sz="12" w:space="0"/>
          <w:right w:val="nil"/>
        </w:tcBorders>
        <w:shd w:val="clear" w:color="FFFFFF" w:fill="auto"/>
      </w:tcPr>
    </w:tblStylePr>
    <w:tblStylePr w:type="lastRow">
      <w:rPr>
        <w:b/>
        <w:color w:val="404040"/>
      </w:rPr>
      <w:tblPr/>
      <w:tcPr>
        <w:tcBorders>
          <w:top w:val="single" w:color="D99795" w:themeColor="accent2" w:themeTint="97"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0">
    <w:name w:val="Grid Table 2 - Accent 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blPr/>
      <w:tcPr>
        <w:tcBorders>
          <w:top w:val="nil"/>
          <w:left w:val="nil"/>
          <w:bottom w:val="single" w:color="9BBB59" w:themeColor="accent3" w:themeTint="FE" w:sz="12" w:space="0"/>
          <w:right w:val="nil"/>
        </w:tcBorders>
        <w:shd w:val="clear" w:color="FFFFFF" w:fill="auto"/>
      </w:tcPr>
    </w:tblStylePr>
    <w:tblStylePr w:type="lastRow">
      <w:rPr>
        <w:b/>
        <w:color w:val="404040"/>
      </w:rPr>
      <w:tblPr/>
      <w:tcPr>
        <w:tcBorders>
          <w:top w:val="single" w:color="9BBB59" w:themeColor="accent3" w:themeTint="FE"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1">
    <w:name w:val="Grid Table 2 - Accent 4"/>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il"/>
          <w:left w:val="nil"/>
          <w:bottom w:val="single" w:color="B2A1C6" w:themeColor="accent4" w:themeTint="9A" w:sz="12" w:space="0"/>
          <w:right w:val="nil"/>
        </w:tcBorders>
        <w:shd w:val="clear" w:color="FFFFFF" w:fill="auto"/>
      </w:tcPr>
    </w:tblStylePr>
    <w:tblStylePr w:type="lastRow">
      <w:rPr>
        <w:b/>
        <w:color w:val="404040"/>
      </w:rPr>
      <w:tblPr/>
      <w:tcPr>
        <w:tcBorders>
          <w:top w:val="single" w:color="B2A1C6" w:themeColor="accent4" w:themeTint="9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2">
    <w:name w:val="Grid Table 2 - Accent 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il"/>
          <w:left w:val="nil"/>
          <w:bottom w:val="single" w:color="4BACC6" w:themeColor="accent5" w:sz="12" w:space="0"/>
          <w:right w:val="nil"/>
        </w:tcBorders>
        <w:shd w:val="clear" w:color="FFFFFF" w:fill="auto"/>
      </w:tcPr>
    </w:tblStylePr>
    <w:tblStylePr w:type="lastRow">
      <w:rPr>
        <w:b/>
        <w:color w:val="404040"/>
      </w:rPr>
      <w:tblPr/>
      <w:tcPr>
        <w:tcBorders>
          <w:top w:val="single" w:color="4BACC6" w:themeColor="accent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3">
    <w:name w:val="Grid Table 2 - Accent 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il"/>
          <w:left w:val="nil"/>
          <w:bottom w:val="single" w:color="F79646" w:themeColor="accent6" w:sz="12" w:space="0"/>
          <w:right w:val="nil"/>
        </w:tcBorders>
        <w:shd w:val="clear" w:color="FFFFFF" w:fill="auto"/>
      </w:tcPr>
    </w:tblStylePr>
    <w:tblStylePr w:type="lastRow">
      <w:rPr>
        <w:b/>
        <w:color w:val="404040"/>
      </w:rPr>
      <w:tblPr/>
      <w:tcPr>
        <w:tcBorders>
          <w:top w:val="single" w:color="F79646" w:themeColor="accent6"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4">
    <w:name w:val="Grid Table 3"/>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5">
    <w:name w:val="Grid Table 3 - Accent 1"/>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BE5F1" w:themeColor="accent1" w:themeTint="34" w:fill="DBE5F1" w:themeFill="accent1" w:themeFillTint="34"/>
      </w:tcPr>
    </w:tblStylePr>
    <w:tblStylePr w:type="band2Vert">
      <w:tblPr/>
    </w:tblStylePr>
    <w:tblStylePr w:type="band1Horz">
      <w:rPr>
        <w:rFonts w:ascii="Arial" w:hAnsi="Arial"/>
        <w:color w:val="404040"/>
        <w:sz w:val="22"/>
      </w:rPr>
      <w:tblPr/>
      <w:tcPr>
        <w:shd w:val="clear" w:color="DBE5F1" w:themeColor="accent1" w:themeTint="34" w:fill="DBE5F1"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6">
    <w:name w:val="Grid Table 3 - Accent 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7">
    <w:name w:val="Grid Table 3 - Accent 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8">
    <w:name w:val="Grid Table 3 - Accent 4"/>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9">
    <w:name w:val="Grid Table 3 - Accent 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0">
    <w:name w:val="Grid Table 3 - Accent 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1">
    <w:name w:val="Grid Table 4"/>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2">
    <w:name w:val="Grid Table 4 - Accent 1"/>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bl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blPr/>
      <w:tcPr>
        <w:tcBorders>
          <w:top w:val="single" w:color="5D8BC2" w:themeColor="accent1" w:themeTint="E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CE6F2" w:themeColor="accent1" w:themeTint="32" w:fill="DCE6F2" w:themeFill="accent1" w:themeFillTint="32"/>
      </w:tcPr>
    </w:tblStylePr>
    <w:tblStylePr w:type="band2Vert">
      <w:tblPr/>
    </w:tblStylePr>
    <w:tblStylePr w:type="band1Horz">
      <w:rPr>
        <w:rFonts w:ascii="Arial" w:hAnsi="Arial"/>
        <w:color w:val="404040"/>
        <w:sz w:val="22"/>
      </w:rPr>
      <w:tblPr/>
      <w:tcPr>
        <w:shd w:val="clear" w:color="DCE6F2" w:themeColor="accent1" w:themeTint="32" w:fill="DCE6F2" w:themeFill="accent1"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3">
    <w:name w:val="Grid Table 4 - Accent 2"/>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bl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blPr/>
      <w:tcPr>
        <w:tcBorders>
          <w:top w:val="single" w:color="D99795" w:themeColor="accent2" w:themeTint="97"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4">
    <w:name w:val="Grid Table 4 - Accent 3"/>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bl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blPr/>
      <w:tcPr>
        <w:tcBorders>
          <w:top w:val="single" w:color="9BBB59" w:themeColor="accent3" w:themeTint="FE"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5">
    <w:name w:val="Grid Table 4 - Accent 4"/>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bl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blPr/>
      <w:tcPr>
        <w:tcBorders>
          <w:top w:val="single" w:color="B2A1C6" w:themeColor="accent4" w:themeTint="9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6">
    <w:name w:val="Grid Table 4 - Accent 5"/>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blPr/>
      <w:tcPr>
        <w:tcBorders>
          <w:top w:val="single" w:color="4BACC6" w:themeColor="accent5"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7">
    <w:name w:val="Grid Table 4 - Accent 6"/>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blPr/>
      <w:tcPr>
        <w:tcBorders>
          <w:top w:val="single" w:color="F79646" w:themeColor="accent6"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8">
    <w:name w:val="Grid Table 5 Dark"/>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98989" w:themeColor="text1" w:themeTint="75" w:fill="898989" w:themeFill="text1" w:themeFillTint="75"/>
      </w:tcPr>
    </w:tblStylePr>
    <w:tblStylePr w:type="band2Vert">
      <w:tblPr/>
    </w:tblStylePr>
    <w:tblStylePr w:type="band1Horz">
      <w:tblPr/>
      <w:tcPr>
        <w:shd w:val="clear" w:color="898989" w:themeColor="text1" w:themeTint="75" w:fill="898989" w:themeFill="tex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9">
    <w:name w:val="Grid Table 5 Dark- Accent 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5E0" w:themeColor="accent1" w:themeTint="75" w:fill="AEC5E0" w:themeFill="accent1" w:themeFillTint="75"/>
      </w:tcPr>
    </w:tblStylePr>
    <w:tblStylePr w:type="band2Vert">
      <w:tblPr/>
    </w:tblStylePr>
    <w:tblStylePr w:type="band1Horz">
      <w:tblPr/>
      <w:tcPr>
        <w:shd w:val="clear" w:color="AEC5E0" w:themeColor="accent1" w:themeTint="75" w:fill="AEC5E0" w:themeFill="accen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0">
    <w:name w:val="Grid Table 5 Dark - Accent 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2Vert">
      <w:tblPr/>
    </w:tblStylePr>
    <w:tblStylePr w:type="band1Horz">
      <w:tblPr/>
      <w:tcPr>
        <w:shd w:val="clear" w:color="E2AEAD" w:themeColor="accent2" w:themeTint="75" w:fill="E2AEAD" w:themeFill="accent2"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1">
    <w:name w:val="Grid Table 5 Dark - Accent 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1DFB2" w:themeColor="accent3" w:themeTint="75" w:fill="D1DFB2" w:themeFill="accent3" w:themeFillTint="75"/>
      </w:tcPr>
    </w:tblStylePr>
    <w:tblStylePr w:type="band2Vert">
      <w:tblPr/>
    </w:tblStylePr>
    <w:tblStylePr w:type="band1Horz">
      <w:tblPr/>
      <w:tcPr>
        <w:shd w:val="clear" w:color="D1DFB2" w:themeColor="accent3" w:themeTint="75" w:fill="D1DFB2" w:themeFill="accent3"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2">
    <w:name w:val="Grid Table 5 Dark- Accent 4"/>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2Vert">
      <w:tblPr/>
    </w:tblStylePr>
    <w:tblStylePr w:type="band1Horz">
      <w:tblPr/>
      <w:tcPr>
        <w:shd w:val="clear" w:color="C4B7D4" w:themeColor="accent4" w:themeTint="75" w:fill="C4B7D4" w:themeFill="accent4"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3">
    <w:name w:val="Grid Table 5 Dark - Accent 5"/>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2Vert">
      <w:tblPr/>
    </w:tblStylePr>
    <w:tblStylePr w:type="band1Horz">
      <w:tblPr/>
      <w:tcPr>
        <w:shd w:val="clear" w:color="ACD8E4" w:themeColor="accent5" w:themeTint="75" w:fill="ACD8E4" w:themeFill="accent5"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4">
    <w:name w:val="Grid Table 5 Dark - Accent 6"/>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2Vert">
      <w:tblPr/>
    </w:tblStylePr>
    <w:tblStylePr w:type="band1Horz">
      <w:tblPr/>
      <w:tcPr>
        <w:shd w:val="clear" w:color="FBCEAA" w:themeColor="accent6" w:themeTint="75" w:fill="FBCEAA" w:themeFill="accent6"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5">
    <w:name w:val="Grid Table 6 Colorful"/>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bl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Pr/>
    </w:tblStylePr>
    <w:tblStylePr w:type="firstCol">
      <w:rPr>
        <w:b/>
        <w:color w:val="808080" w:themeColor="text1" w:themeTint="80"/>
        <w14:textFill>
          <w14:solidFill>
            <w14:schemeClr w14:val="tx1">
              <w14:lumMod w14:val="50000"/>
              <w14:lumOff w14:val="50000"/>
            </w14:schemeClr>
          </w14:solidFill>
        </w14:textFill>
      </w:rPr>
      <w:tblPr/>
    </w:tblStylePr>
    <w:tblStylePr w:type="lastCol">
      <w:rPr>
        <w:b/>
        <w:color w:val="808080" w:themeColor="text1" w:themeTint="80"/>
        <w14:textFill>
          <w14:solidFill>
            <w14:schemeClr w14:val="tx1">
              <w14:lumMod w14:val="50000"/>
              <w14:lumOff w14:val="50000"/>
            </w14:schemeClr>
          </w14:solidFill>
        </w14:textFill>
      </w:rPr>
      <w:tblPr/>
    </w:tblStylePr>
    <w:tblStylePr w:type="band1Vert">
      <w:tblPr/>
      <w:tcPr>
        <w:shd w:val="clear" w:color="CACACA" w:themeColor="text1" w:themeTint="34" w:fill="CACACA" w:themeFill="text1" w:themeFillTint="34"/>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6">
    <w:name w:val="Grid Table 6 Colorful - Accent 1"/>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bl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Pr/>
    </w:tblStylePr>
    <w:tblStylePr w:type="firstCol">
      <w:rPr>
        <w:b/>
        <w:color w:val="A7C0DE" w:themeColor="accent1" w:themeTint="80"/>
        <w14:textFill>
          <w14:solidFill>
            <w14:schemeClr w14:val="accent1">
              <w14:lumMod w14:val="50000"/>
              <w14:lumOff w14:val="50000"/>
            </w14:schemeClr>
          </w14:solidFill>
        </w14:textFill>
      </w:rPr>
      <w:tblPr/>
    </w:tblStylePr>
    <w:tblStylePr w:type="lastCol">
      <w:rPr>
        <w:b/>
        <w:color w:val="A7C0DE" w:themeColor="accent1" w:themeTint="80"/>
        <w14:textFill>
          <w14:solidFill>
            <w14:schemeClr w14:val="accent1">
              <w14:lumMod w14:val="50000"/>
              <w14:lumOff w14:val="50000"/>
            </w14:schemeClr>
          </w14:solidFill>
        </w14:textFill>
      </w:rPr>
      <w:tblPr/>
    </w:tblStylePr>
    <w:tblStylePr w:type="band1Vert">
      <w:tblPr/>
      <w:tcPr>
        <w:shd w:val="clear" w:color="DBE5F1" w:themeColor="accent1" w:themeTint="34" w:fill="DBE5F1" w:themeFill="accent1" w:themeFillTint="34"/>
      </w:tcPr>
    </w:tblStylePr>
    <w:tblStylePr w:type="band2Vert">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7">
    <w:name w:val="Grid Table 6 Colorful - Accent 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bl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Pr/>
    </w:tblStylePr>
    <w:tblStylePr w:type="firstCol">
      <w:rPr>
        <w:b/>
        <w:color w:val="DA9896" w:themeColor="accent2" w:themeTint="96"/>
        <w14:textFill>
          <w14:solidFill>
            <w14:schemeClr w14:val="accent2">
              <w14:lumMod w14:val="59000"/>
              <w14:lumOff w14:val="41000"/>
            </w14:schemeClr>
          </w14:solidFill>
        </w14:textFill>
      </w:rPr>
      <w:tblPr/>
    </w:tblStylePr>
    <w:tblStylePr w:type="lastCol">
      <w:rPr>
        <w:b/>
        <w:color w:val="DA9896" w:themeColor="accent2" w:themeTint="96"/>
        <w14:textFill>
          <w14:solidFill>
            <w14:schemeClr w14:val="accent2">
              <w14:lumMod w14:val="59000"/>
              <w14:lumOff w14:val="41000"/>
            </w14:schemeClr>
          </w14:solidFill>
        </w14:textFill>
      </w:rPr>
      <w:tblPr/>
    </w:tblStylePr>
    <w:tblStylePr w:type="band1Vert">
      <w:tblPr/>
      <w:tcPr>
        <w:shd w:val="clear" w:color="F2DCDC" w:themeColor="accent2" w:themeTint="32" w:fill="F2DCDC" w:themeFill="accent2" w:themeFillTint="32"/>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8">
    <w:name w:val="Grid Table 6 Colorful - Accent 3"/>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bl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Pr/>
    </w:tblStylePr>
    <w:tblStylePr w:type="firstCol">
      <w:rPr>
        <w:b/>
        <w:color w:val="9BBB59" w:themeColor="accent3" w:themeTint="FF"/>
        <w14:textFill>
          <w14:solidFill>
            <w14:schemeClr w14:val="accent3">
              <w14:lumMod w14:val="100000"/>
              <w14:lumOff w14:val="0"/>
            </w14:schemeClr>
          </w14:solidFill>
        </w14:textFill>
      </w:rPr>
      <w:tblPr/>
    </w:tblStylePr>
    <w:tblStylePr w:type="lastCol">
      <w:rPr>
        <w:b/>
        <w:color w:val="9BBB59" w:themeColor="accent3" w:themeTint="FF"/>
        <w14:textFill>
          <w14:solidFill>
            <w14:schemeClr w14:val="accent3">
              <w14:lumMod w14:val="100000"/>
              <w14:lumOff w14:val="0"/>
            </w14:schemeClr>
          </w14:solidFill>
        </w14:textFill>
      </w:rPr>
      <w:tblPr/>
    </w:tblStylePr>
    <w:tblStylePr w:type="band1Vert">
      <w:tblPr/>
      <w:tcPr>
        <w:shd w:val="clear" w:color="EAF1DD" w:themeColor="accent3" w:themeTint="34" w:fill="EAF1DD" w:themeFill="accent3" w:themeFillTint="34"/>
      </w:tcPr>
    </w:tblStylePr>
    <w:tblStylePr w:type="band2Vert">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9">
    <w:name w:val="Grid Table 6 Colorful - Accent 4"/>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bl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Pr/>
    </w:tblStylePr>
    <w:tblStylePr w:type="firstCol">
      <w:rPr>
        <w:b/>
        <w:color w:val="B3A2C7" w:themeColor="accent4" w:themeTint="99"/>
        <w14:textFill>
          <w14:solidFill>
            <w14:schemeClr w14:val="accent4">
              <w14:lumMod w14:val="60000"/>
              <w14:lumOff w14:val="40000"/>
            </w14:schemeClr>
          </w14:solidFill>
        </w14:textFill>
      </w:rPr>
      <w:tblPr/>
    </w:tblStylePr>
    <w:tblStylePr w:type="lastCol">
      <w:rPr>
        <w:b/>
        <w:color w:val="B3A2C7" w:themeColor="accent4" w:themeTint="99"/>
        <w14:textFill>
          <w14:solidFill>
            <w14:schemeClr w14:val="accent4">
              <w14:lumMod w14:val="60000"/>
              <w14:lumOff w14:val="40000"/>
            </w14:schemeClr>
          </w14:solidFill>
        </w14:textFill>
      </w:rPr>
      <w:tblPr/>
    </w:tblStylePr>
    <w:tblStylePr w:type="band1Vert">
      <w:tblPr/>
      <w:tcPr>
        <w:shd w:val="clear" w:color="E5DFEC" w:themeColor="accent4" w:themeTint="34" w:fill="E5DFEC" w:themeFill="accent4" w:themeFillTint="34"/>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0">
    <w:name w:val="Grid Table 6 Colorful - Accent 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blPr/>
      <w:tcPr>
        <w:tcBorders>
          <w:bottom w:val="single" w:color="4BACC6" w:themeColor="accent5" w:sz="12" w:space="0"/>
        </w:tcBorders>
      </w:tcPr>
    </w:tblStylePr>
    <w:tblStylePr w:type="lastRow">
      <w:rPr>
        <w:b/>
        <w:color w:val="266778" w:themeColor="accent5" w:themeShade="94"/>
      </w:rPr>
      <w:tblPr/>
    </w:tblStylePr>
    <w:tblStylePr w:type="firstCol">
      <w:rPr>
        <w:b/>
        <w:color w:val="266778" w:themeColor="accent5" w:themeShade="94"/>
      </w:rPr>
      <w:tblPr/>
    </w:tblStylePr>
    <w:tblStylePr w:type="lastCol">
      <w:rPr>
        <w:b/>
        <w:color w:val="266778" w:themeColor="accent5" w:themeShade="94"/>
      </w:rPr>
      <w:tblPr/>
    </w:tblStylePr>
    <w:tblStylePr w:type="band1Vert">
      <w:tblPr/>
      <w:tcPr>
        <w:shd w:val="clear" w:color="DAEEF3" w:themeColor="accent5" w:themeTint="34" w:fill="DAEEF3" w:themeFill="accent5" w:themeFillTint="34"/>
      </w:tcPr>
    </w:tblStylePr>
    <w:tblStylePr w:type="band2Vert">
      <w:tblPr/>
    </w:tblStylePr>
    <w:tblStylePr w:type="band1Horz">
      <w:rPr>
        <w:rFonts w:ascii="Arial" w:hAnsi="Arial"/>
        <w:color w:val="266778" w:themeColor="accent5" w:themeShade="94"/>
        <w:sz w:val="22"/>
      </w:rPr>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1">
    <w:name w:val="Grid Table 6 Colorful - Accent 6"/>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blPr/>
      <w:tcPr>
        <w:tcBorders>
          <w:bottom w:val="single" w:color="F79646" w:themeColor="accent6" w:sz="12" w:space="0"/>
        </w:tcBorders>
      </w:tcPr>
    </w:tblStylePr>
    <w:tblStylePr w:type="lastRow">
      <w:rPr>
        <w:b/>
        <w:color w:val="266778" w:themeColor="accent5" w:themeShade="94"/>
      </w:rPr>
      <w:tblPr/>
    </w:tblStylePr>
    <w:tblStylePr w:type="firstCol">
      <w:rPr>
        <w:b/>
        <w:color w:val="266778" w:themeColor="accent5" w:themeShade="94"/>
      </w:rPr>
      <w:tblPr/>
    </w:tblStylePr>
    <w:tblStylePr w:type="lastCol">
      <w:rPr>
        <w:b/>
        <w:color w:val="266778" w:themeColor="accent5" w:themeShade="94"/>
      </w:rPr>
      <w:tblPr/>
    </w:tblStylePr>
    <w:tblStylePr w:type="band1Vert">
      <w:tblPr/>
      <w:tcPr>
        <w:shd w:val="clear" w:color="FDE9D9" w:themeColor="accent6" w:themeTint="34" w:fill="FDE9D9" w:themeFill="accent6" w:themeFillTint="34"/>
      </w:tcPr>
    </w:tblStylePr>
    <w:tblStylePr w:type="band2Vert">
      <w:tblPr/>
    </w:tblStylePr>
    <w:tblStylePr w:type="band1Horz">
      <w:rPr>
        <w:rFonts w:ascii="Arial" w:hAnsi="Arial"/>
        <w:color w:val="266778" w:themeColor="accent5" w:themeShade="94"/>
        <w:sz w:val="22"/>
      </w:rPr>
      <w:tblPr/>
      <w:tcPr>
        <w:shd w:val="clear" w:color="FDE9D9" w:themeColor="accent6" w:themeTint="34" w:fill="FDE9D9" w:themeFill="accent6"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2">
    <w:name w:val="Grid Table 7 Colorful"/>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F1F1F1" w:themeColor="text1" w:themeTint="0D" w:fill="F1F1F1" w:themeFill="text1" w:themeFillTint="0D"/>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3">
    <w:name w:val="Grid Table 7 Colorful - Accent 1"/>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bl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bl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bl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blPr/>
      <w:tcPr>
        <w:tcBorders>
          <w:top w:val="nil"/>
          <w:left w:val="single" w:color="A6BFDD" w:themeColor="accent1" w:themeTint="80" w:sz="4" w:space="0"/>
          <w:bottom w:val="nil"/>
          <w:right w:val="nil"/>
        </w:tcBorders>
        <w:shd w:val="clear" w:color="FFFFFF" w:fill="auto"/>
      </w:tcPr>
    </w:tblStylePr>
    <w:tblStylePr w:type="band1Vert">
      <w:tblPr/>
      <w:tcPr>
        <w:shd w:val="clear" w:color="DBE5F1" w:themeColor="accent1" w:themeTint="34" w:fill="DBE5F1" w:themeFill="accent1" w:themeFillTint="34"/>
      </w:tcPr>
    </w:tblStylePr>
    <w:tblStylePr w:type="band2Vert">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4">
    <w:name w:val="Grid Table 7 Colorful - Accent 2"/>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single" w:color="D99795" w:themeColor="accent2" w:themeTint="97" w:sz="4" w:space="0"/>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5">
    <w:name w:val="Grid Table 7 Colorful - Accent 3"/>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bl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bl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bl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blPr/>
      <w:tcPr>
        <w:tcBorders>
          <w:top w:val="nil"/>
          <w:left w:val="single" w:color="9BBB59" w:themeColor="accent3" w:themeTint="FE" w:sz="4" w:space="0"/>
          <w:bottom w:val="nil"/>
          <w:right w:val="nil"/>
        </w:tcBorders>
        <w:shd w:val="clear" w:color="FFFFFF" w:fill="auto"/>
      </w:tcPr>
    </w:tblStylePr>
    <w:tblStylePr w:type="band1Vert">
      <w:tblPr/>
      <w:tcPr>
        <w:shd w:val="clear" w:color="EAF1DD" w:themeColor="accent3" w:themeTint="34" w:fill="EAF1DD" w:themeFill="accent3" w:themeFillTint="34"/>
      </w:tcPr>
    </w:tblStylePr>
    <w:tblStylePr w:type="band2Vert">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6">
    <w:name w:val="Grid Table 7 Colorful - Accent 4"/>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single" w:color="B2A1C6" w:themeColor="accent4" w:themeTint="9A" w:sz="4" w:space="0"/>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7">
    <w:name w:val="Grid Table 7 Colorful - Accent 5"/>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bl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bl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bl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blPr/>
      <w:tcPr>
        <w:tcBorders>
          <w:top w:val="nil"/>
          <w:left w:val="single" w:color="99D0DE" w:themeColor="accent5" w:themeTint="90" w:sz="4" w:space="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2Vert">
      <w:tblPr/>
    </w:tblStylePr>
    <w:tblStylePr w:type="band1Horz">
      <w:rPr>
        <w:rFonts w:ascii="Arial" w:hAnsi="Arial"/>
        <w:color w:val="266778" w:themeColor="accent5" w:themeShade="94"/>
        <w:sz w:val="22"/>
      </w:rPr>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8">
    <w:name w:val="Grid Table 7 Colorful - Accent 6"/>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bl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bl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bl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blPr/>
      <w:tcPr>
        <w:tcBorders>
          <w:top w:val="nil"/>
          <w:left w:val="single" w:color="FAC396" w:themeColor="accent6" w:themeTint="90" w:sz="4" w:space="0"/>
          <w:bottom w:val="nil"/>
          <w:right w:val="nil"/>
        </w:tcBorders>
        <w:shd w:val="clear" w:color="FFFFFF" w:fill="auto"/>
      </w:tcPr>
    </w:tblStylePr>
    <w:tblStylePr w:type="band1Vert">
      <w:tblPr/>
      <w:tcPr>
        <w:shd w:val="clear" w:color="FDE9D9" w:themeColor="accent6" w:themeTint="34" w:fill="FDE9D9" w:themeFill="accent6" w:themeFillTint="34"/>
      </w:tcPr>
    </w:tblStylePr>
    <w:tblStylePr w:type="band2Vert">
      <w:tblPr/>
    </w:tblStylePr>
    <w:tblStylePr w:type="band1Horz">
      <w:rPr>
        <w:rFonts w:ascii="Arial" w:hAnsi="Arial"/>
        <w:color w:val="B05408" w:themeColor="accent6" w:themeShade="94"/>
        <w:sz w:val="22"/>
      </w:rPr>
      <w:tblPr/>
      <w:tcPr>
        <w:shd w:val="clear" w:color="FDE9D9" w:themeColor="accent6" w:themeTint="34" w:fill="FDE9D9" w:themeFill="accent6" w:themeFillTint="34"/>
      </w:tcPr>
    </w:tblStylePr>
    <w:tblStylePr w:type="band2Horz">
      <w:rPr>
        <w:rFonts w:ascii="Arial" w:hAnsi="Arial"/>
        <w:color w:val="B05408" w:themeColor="accent6" w:themeShade="94"/>
        <w:sz w:val="22"/>
      </w:rPr>
      <w:tblPr/>
    </w:tblStylePr>
    <w:tblStylePr w:type="neCell">
      <w:tblPr/>
    </w:tblStylePr>
    <w:tblStylePr w:type="nwCell">
      <w:tblPr/>
    </w:tblStylePr>
    <w:tblStylePr w:type="seCell">
      <w:tblPr/>
    </w:tblStylePr>
    <w:tblStylePr w:type="swCell">
      <w:tblPr/>
    </w:tblStylePr>
  </w:style>
  <w:style w:type="table" w:customStyle="1" w:styleId="109">
    <w:name w:val="List Table 1 Light"/>
    <w:uiPriority w:val="99"/>
    <w:pPr>
      <w:spacing w:after="0" w:line="240" w:lineRule="auto"/>
    </w:pPr>
    <w:tblPr/>
    <w:tblStylePr w:type="firstRow">
      <w:rPr>
        <w:b/>
        <w:color w:val="404040"/>
      </w:rPr>
      <w:tblPr/>
      <w:tcPr>
        <w:tcBorders>
          <w:top w:val="nil"/>
          <w:left w:val="nil"/>
          <w:bottom w:val="single" w:color="000000" w:themeColor="text1" w:sz="4" w:space="0"/>
          <w:right w:val="nil"/>
        </w:tcBorders>
      </w:tcPr>
    </w:tblStylePr>
    <w:tblStylePr w:type="lastRow">
      <w:rPr>
        <w:b/>
        <w:color w:val="404040"/>
      </w:rPr>
      <w:tblPr/>
      <w:tcPr>
        <w:tcBorders>
          <w:top w:val="single" w:color="000000" w:themeColor="tex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BEBEBE" w:themeColor="text1" w:themeTint="40" w:fill="BEBEBE" w:themeFill="text1" w:themeFillTint="40"/>
      </w:tcPr>
    </w:tblStylePr>
    <w:tblStylePr w:type="band2Vert">
      <w:tblPr/>
    </w:tblStylePr>
    <w:tblStylePr w:type="band1Horz">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0">
    <w:name w:val="List Table 1 Light - Accent 1"/>
    <w:uiPriority w:val="99"/>
    <w:pPr>
      <w:spacing w:after="0" w:line="240" w:lineRule="auto"/>
    </w:pPr>
    <w:tblPr/>
    <w:tblStylePr w:type="firstRow">
      <w:rPr>
        <w:b/>
        <w:color w:val="404040"/>
      </w:rPr>
      <w:tblPr/>
      <w:tcPr>
        <w:tcBorders>
          <w:top w:val="nil"/>
          <w:left w:val="nil"/>
          <w:bottom w:val="single" w:color="4F81BD" w:themeColor="accent1" w:sz="4" w:space="0"/>
          <w:right w:val="nil"/>
        </w:tcBorders>
      </w:tcPr>
    </w:tblStylePr>
    <w:tblStylePr w:type="lastRow">
      <w:rPr>
        <w:b/>
        <w:color w:val="404040"/>
      </w:rPr>
      <w:tblPr/>
      <w:tcPr>
        <w:tcBorders>
          <w:top w:val="single" w:color="4F81BD" w:themeColor="accen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2DFEE" w:themeColor="accent1" w:themeTint="40" w:fill="D2DFEE" w:themeFill="accent1" w:themeFillTint="40"/>
      </w:tcPr>
    </w:tblStylePr>
    <w:tblStylePr w:type="band2Vert">
      <w:tblPr/>
    </w:tblStylePr>
    <w:tblStylePr w:type="band1Horz">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1">
    <w:name w:val="List Table 1 Light - Accent 2"/>
    <w:uiPriority w:val="99"/>
    <w:pPr>
      <w:spacing w:after="0" w:line="240" w:lineRule="auto"/>
    </w:pPr>
    <w:tblPr/>
    <w:tblStylePr w:type="firstRow">
      <w:rPr>
        <w:b/>
        <w:color w:val="404040"/>
      </w:rPr>
      <w:tblPr/>
      <w:tcPr>
        <w:tcBorders>
          <w:top w:val="nil"/>
          <w:left w:val="nil"/>
          <w:bottom w:val="single" w:color="C0504D" w:themeColor="accent2" w:sz="4" w:space="0"/>
          <w:right w:val="nil"/>
        </w:tcBorders>
      </w:tcPr>
    </w:tblStylePr>
    <w:tblStylePr w:type="lastRow">
      <w:rPr>
        <w:b/>
        <w:color w:val="404040"/>
      </w:rPr>
      <w:tblPr/>
      <w:tcPr>
        <w:tcBorders>
          <w:top w:val="single" w:color="C0504D" w:themeColor="accent2"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FD3D2" w:themeColor="accent2" w:themeTint="40" w:fill="EFD3D2" w:themeFill="accent2" w:themeFillTint="40"/>
      </w:tcPr>
    </w:tblStylePr>
    <w:tblStylePr w:type="band2Vert">
      <w:tblPr/>
    </w:tblStylePr>
    <w:tblStylePr w:type="band1Horz">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2">
    <w:name w:val="List Table 1 Light - Accent 3"/>
    <w:uiPriority w:val="99"/>
    <w:pPr>
      <w:spacing w:after="0" w:line="240" w:lineRule="auto"/>
    </w:pPr>
    <w:tblPr/>
    <w:tblStylePr w:type="firstRow">
      <w:rPr>
        <w:b/>
        <w:color w:val="404040"/>
      </w:rPr>
      <w:tblPr/>
      <w:tcPr>
        <w:tcBorders>
          <w:top w:val="nil"/>
          <w:left w:val="nil"/>
          <w:bottom w:val="single" w:color="9BBB59" w:themeColor="accent3" w:sz="4" w:space="0"/>
          <w:right w:val="nil"/>
        </w:tcBorders>
      </w:tcPr>
    </w:tblStylePr>
    <w:tblStylePr w:type="lastRow">
      <w:rPr>
        <w:b/>
        <w:color w:val="404040"/>
      </w:rPr>
      <w:tblPr/>
      <w:tcPr>
        <w:tcBorders>
          <w:top w:val="single" w:color="9BBB59" w:themeColor="accent3"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5EDD5" w:themeColor="accent3" w:themeTint="40" w:fill="E5EDD5" w:themeFill="accent3" w:themeFillTint="40"/>
      </w:tcPr>
    </w:tblStylePr>
    <w:tblStylePr w:type="band2Vert">
      <w:tblPr/>
    </w:tblStylePr>
    <w:tblStylePr w:type="band1Horz">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3">
    <w:name w:val="List Table 1 Light - Accent 4"/>
    <w:uiPriority w:val="99"/>
    <w:pPr>
      <w:spacing w:after="0" w:line="240" w:lineRule="auto"/>
    </w:pPr>
    <w:tblPr/>
    <w:tblStylePr w:type="firstRow">
      <w:rPr>
        <w:b/>
        <w:color w:val="404040"/>
      </w:rPr>
      <w:tblPr/>
      <w:tcPr>
        <w:tcBorders>
          <w:top w:val="nil"/>
          <w:left w:val="nil"/>
          <w:bottom w:val="single" w:color="8064A2" w:themeColor="accent4" w:sz="4" w:space="0"/>
          <w:right w:val="nil"/>
        </w:tcBorders>
      </w:tcPr>
    </w:tblStylePr>
    <w:tblStylePr w:type="lastRow">
      <w:rPr>
        <w:b/>
        <w:color w:val="404040"/>
      </w:rPr>
      <w:tblPr/>
      <w:tcPr>
        <w:tcBorders>
          <w:top w:val="single" w:color="8064A2" w:themeColor="accent4"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FD8E7" w:themeColor="accent4" w:themeTint="40" w:fill="DFD8E7" w:themeFill="accent4" w:themeFillTint="40"/>
      </w:tcPr>
    </w:tblStylePr>
    <w:tblStylePr w:type="band2Vert">
      <w:tblPr/>
    </w:tblStylePr>
    <w:tblStylePr w:type="band1Horz">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4">
    <w:name w:val="List Table 1 Light - Accent 5"/>
    <w:uiPriority w:val="99"/>
    <w:pPr>
      <w:spacing w:after="0" w:line="240" w:lineRule="auto"/>
    </w:pPr>
    <w:tblPr/>
    <w:tblStylePr w:type="firstRow">
      <w:rPr>
        <w:b/>
        <w:color w:val="404040"/>
      </w:rPr>
      <w:tblPr/>
      <w:tcPr>
        <w:tcBorders>
          <w:top w:val="nil"/>
          <w:left w:val="nil"/>
          <w:bottom w:val="single" w:color="4BACC6" w:themeColor="accent5" w:sz="4" w:space="0"/>
          <w:right w:val="nil"/>
        </w:tcBorders>
      </w:tcPr>
    </w:tblStylePr>
    <w:tblStylePr w:type="lastRow">
      <w:rPr>
        <w:b/>
        <w:color w:val="404040"/>
      </w:rPr>
      <w:tblPr/>
      <w:tcPr>
        <w:tcBorders>
          <w:top w:val="single" w:color="4BACC6" w:themeColor="accent5"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1EAF0" w:themeColor="accent5" w:themeTint="40" w:fill="D1EAF0" w:themeFill="accent5" w:themeFillTint="40"/>
      </w:tcPr>
    </w:tblStylePr>
    <w:tblStylePr w:type="band2Vert">
      <w:tblPr/>
    </w:tblStylePr>
    <w:tblStylePr w:type="band1Horz">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5">
    <w:name w:val="List Table 1 Light - Accent 6"/>
    <w:uiPriority w:val="99"/>
    <w:pPr>
      <w:spacing w:after="0" w:line="240" w:lineRule="auto"/>
    </w:pPr>
    <w:tblPr/>
    <w:tblStylePr w:type="firstRow">
      <w:rPr>
        <w:b/>
        <w:color w:val="404040"/>
      </w:rPr>
      <w:tblPr/>
      <w:tcPr>
        <w:tcBorders>
          <w:top w:val="nil"/>
          <w:left w:val="nil"/>
          <w:bottom w:val="single" w:color="F79646" w:themeColor="accent6" w:sz="4" w:space="0"/>
          <w:right w:val="nil"/>
        </w:tcBorders>
      </w:tcPr>
    </w:tblStylePr>
    <w:tblStylePr w:type="lastRow">
      <w:rPr>
        <w:b/>
        <w:color w:val="404040"/>
      </w:rPr>
      <w:tblPr/>
      <w:tcPr>
        <w:tcBorders>
          <w:top w:val="single" w:color="F79646" w:themeColor="accent6"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FCE4D0" w:themeColor="accent6" w:themeTint="40" w:fill="FCE4D0" w:themeFill="accent6" w:themeFillTint="40"/>
      </w:tcPr>
    </w:tblStylePr>
    <w:tblStylePr w:type="band2Vert">
      <w:tblPr/>
    </w:tblStylePr>
    <w:tblStylePr w:type="band1Horz">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6">
    <w:name w:val="List Table 2"/>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7">
    <w:name w:val="List Table 2 - Accent 1"/>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bl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bl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2DFEE" w:themeColor="accent1" w:themeTint="40" w:fill="D2DFEE" w:themeFill="accent1" w:themeFillTint="40"/>
      </w:tcPr>
    </w:tblStylePr>
    <w:tblStylePr w:type="band2Vert">
      <w:tblPr/>
    </w:tblStylePr>
    <w:tblStylePr w:type="band1Horz">
      <w:rPr>
        <w:rFonts w:ascii="Arial" w:hAnsi="Arial"/>
        <w:color w:val="404040"/>
        <w:sz w:val="22"/>
      </w:rPr>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8">
    <w:name w:val="List Table 2 - Accent 2"/>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bl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bl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FD3D2" w:themeColor="accent2" w:themeTint="40" w:fill="EFD3D2" w:themeFill="accent2" w:themeFillTint="40"/>
      </w:tcPr>
    </w:tblStylePr>
    <w:tblStylePr w:type="band2Vert">
      <w:tblPr/>
    </w:tblStylePr>
    <w:tblStylePr w:type="band1Horz">
      <w:rPr>
        <w:rFonts w:ascii="Arial" w:hAnsi="Arial"/>
        <w:color w:val="404040"/>
        <w:sz w:val="22"/>
      </w:rPr>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9">
    <w:name w:val="List Table 2 - Accent 3"/>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bl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bl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5EDD5" w:themeColor="accent3" w:themeTint="40" w:fill="E5EDD5" w:themeFill="accent3" w:themeFillTint="40"/>
      </w:tcPr>
    </w:tblStylePr>
    <w:tblStylePr w:type="band2Vert">
      <w:tblPr/>
    </w:tblStylePr>
    <w:tblStylePr w:type="band1Horz">
      <w:rPr>
        <w:rFonts w:ascii="Arial" w:hAnsi="Arial"/>
        <w:color w:val="404040"/>
        <w:sz w:val="22"/>
      </w:rPr>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0">
    <w:name w:val="List Table 2 - Accent 4"/>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bl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bl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FD8E7" w:themeColor="accent4" w:themeTint="40" w:fill="DFD8E7" w:themeFill="accent4" w:themeFillTint="40"/>
      </w:tcPr>
    </w:tblStylePr>
    <w:tblStylePr w:type="band2Vert">
      <w:tblPr/>
    </w:tblStylePr>
    <w:tblStylePr w:type="band1Horz">
      <w:rPr>
        <w:rFonts w:ascii="Arial" w:hAnsi="Arial"/>
        <w:color w:val="404040"/>
        <w:sz w:val="22"/>
      </w:rPr>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1">
    <w:name w:val="List Table 2 - Accent 5"/>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bl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bl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1EAF0" w:themeColor="accent5" w:themeTint="40" w:fill="D1EAF0" w:themeFill="accent5" w:themeFillTint="40"/>
      </w:tcPr>
    </w:tblStylePr>
    <w:tblStylePr w:type="band2Vert">
      <w:tblPr/>
    </w:tblStylePr>
    <w:tblStylePr w:type="band1Horz">
      <w:rPr>
        <w:rFonts w:ascii="Arial" w:hAnsi="Arial"/>
        <w:color w:val="404040"/>
        <w:sz w:val="22"/>
      </w:rPr>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2">
    <w:name w:val="List Table 2 - Accent 6"/>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bl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bl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FCE4D0" w:themeColor="accent6" w:themeTint="40" w:fill="FCE4D0" w:themeFill="accent6" w:themeFillTint="40"/>
      </w:tcPr>
    </w:tblStylePr>
    <w:tblStylePr w:type="band2Vert">
      <w:tblPr/>
    </w:tblStylePr>
    <w:tblStylePr w:type="band1Horz">
      <w:rPr>
        <w:rFonts w:ascii="Arial" w:hAnsi="Arial"/>
        <w:color w:val="404040"/>
        <w:sz w:val="22"/>
      </w:rPr>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3">
    <w:name w:val="List Table 3"/>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000000" w:themeColor="text1" w:sz="4" w:space="0"/>
          <w:right w:val="single" w:color="000000" w:themeColor="text1" w:sz="4" w:space="0"/>
        </w:tcBorders>
      </w:tcPr>
    </w:tblStylePr>
    <w:tblStylePr w:type="band2Vert">
      <w:tblPr/>
    </w:tblStylePr>
    <w:tblStylePr w:type="band1Horz">
      <w:rPr>
        <w:rFonts w:ascii="Arial" w:hAnsi="Arial"/>
        <w:color w:val="404040"/>
        <w:sz w:val="22"/>
      </w:rPr>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4">
    <w:name w:val="List Table 3 - Accent 1"/>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4F81BD" w:themeColor="accent1" w:sz="4" w:space="0"/>
          <w:right w:val="single" w:color="4F81BD" w:themeColor="accent1" w:sz="4" w:space="0"/>
        </w:tcBorders>
      </w:tcPr>
    </w:tblStylePr>
    <w:tblStylePr w:type="band2Vert">
      <w:tblPr/>
    </w:tblStylePr>
    <w:tblStylePr w:type="band1Horz">
      <w:rPr>
        <w:rFonts w:ascii="Arial" w:hAnsi="Arial"/>
        <w:color w:val="404040"/>
        <w:sz w:val="22"/>
      </w:rPr>
      <w:tblPr/>
      <w:tcPr>
        <w:tcBorders>
          <w:top w:val="single" w:color="4F81BD" w:themeColor="accent1" w:sz="4" w:space="0"/>
          <w:bottom w:val="single" w:color="4F81BD" w:themeColor="accen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5">
    <w:name w:val="List Table 3 - Accent 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blPr/>
      <w:tcPr>
        <w:shd w:val="clear" w:color="D99795" w:themeColor="accent2" w:themeTint="97" w:fill="D99795"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D99795" w:themeColor="accent2" w:themeTint="97" w:sz="4" w:space="0"/>
          <w:right w:val="single" w:color="D99795" w:themeColor="accent2" w:themeTint="97" w:sz="4" w:space="0"/>
        </w:tcBorders>
      </w:tcPr>
    </w:tblStylePr>
    <w:tblStylePr w:type="band2Vert">
      <w:tblPr/>
    </w:tblStylePr>
    <w:tblStylePr w:type="band1Horz">
      <w:rPr>
        <w:rFonts w:ascii="Arial" w:hAnsi="Arial"/>
        <w:color w:val="404040"/>
        <w:sz w:val="22"/>
      </w:rPr>
      <w:tblPr/>
      <w:tcPr>
        <w:tcBorders>
          <w:top w:val="single" w:color="D99795" w:themeColor="accent2" w:themeTint="97" w:sz="4" w:space="0"/>
          <w:bottom w:val="single" w:color="D99795" w:themeColor="accent2" w:themeTint="9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6">
    <w:name w:val="List Table 3 - Accent 3"/>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blPr/>
      <w:tcPr>
        <w:shd w:val="clear" w:color="C3D69C" w:themeColor="accent3" w:themeTint="98" w:fill="C3D69C"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C3D69C" w:themeColor="accent3" w:themeTint="98" w:sz="4" w:space="0"/>
          <w:right w:val="single" w:color="C3D69C" w:themeColor="accent3" w:themeTint="98" w:sz="4" w:space="0"/>
        </w:tcBorders>
      </w:tcPr>
    </w:tblStylePr>
    <w:tblStylePr w:type="band2Vert">
      <w:tblPr/>
    </w:tblStylePr>
    <w:tblStylePr w:type="band1Horz">
      <w:rPr>
        <w:rFonts w:ascii="Arial" w:hAnsi="Arial"/>
        <w:color w:val="404040"/>
        <w:sz w:val="22"/>
      </w:rPr>
      <w:tblPr/>
      <w:tcPr>
        <w:tcBorders>
          <w:top w:val="single" w:color="C3D69C" w:themeColor="accent3" w:themeTint="98" w:sz="4" w:space="0"/>
          <w:bottom w:val="single" w:color="C3D69C" w:themeColor="accent3"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7">
    <w:name w:val="List Table 3 - Accent 4"/>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B2A1C6" w:themeColor="accent4" w:themeTint="9A" w:sz="4" w:space="0"/>
          <w:right w:val="single" w:color="B2A1C6" w:themeColor="accent4" w:themeTint="9A" w:sz="4" w:space="0"/>
        </w:tcBorders>
      </w:tcPr>
    </w:tblStylePr>
    <w:tblStylePr w:type="band2Vert">
      <w:tblPr/>
    </w:tblStylePr>
    <w:tblStylePr w:type="band1Horz">
      <w:rPr>
        <w:rFonts w:ascii="Arial" w:hAnsi="Arial"/>
        <w:color w:val="404040"/>
        <w:sz w:val="22"/>
      </w:rPr>
      <w:tblPr/>
      <w:tcPr>
        <w:tcBorders>
          <w:top w:val="single" w:color="B2A1C6" w:themeColor="accent4" w:themeTint="9A" w:sz="4" w:space="0"/>
          <w:bottom w:val="single" w:color="B2A1C6" w:themeColor="accent4"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8">
    <w:name w:val="List Table 3 - Accent 5"/>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92CCDC" w:themeColor="accent5" w:themeTint="9A" w:sz="4" w:space="0"/>
          <w:right w:val="single" w:color="92CCDC" w:themeColor="accent5" w:themeTint="9A" w:sz="4" w:space="0"/>
        </w:tcBorders>
      </w:tcPr>
    </w:tblStylePr>
    <w:tblStylePr w:type="band2Vert">
      <w:tblPr/>
    </w:tblStylePr>
    <w:tblStylePr w:type="band1Horz">
      <w:rPr>
        <w:rFonts w:ascii="Arial" w:hAnsi="Arial"/>
        <w:color w:val="404040"/>
        <w:sz w:val="22"/>
      </w:rPr>
      <w:tblPr/>
      <w:tcPr>
        <w:tcBorders>
          <w:top w:val="single" w:color="92CCDC" w:themeColor="accent5" w:themeTint="9A" w:sz="4" w:space="0"/>
          <w:bottom w:val="single" w:color="92CCDC" w:themeColor="accent5"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9">
    <w:name w:val="List Table 3 - Accent 6"/>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FAC090" w:themeColor="accent6" w:themeTint="98" w:sz="4" w:space="0"/>
          <w:right w:val="single" w:color="FAC090" w:themeColor="accent6" w:themeTint="98" w:sz="4" w:space="0"/>
        </w:tcBorders>
      </w:tcPr>
    </w:tblStylePr>
    <w:tblStylePr w:type="band2Vert">
      <w:tblPr/>
    </w:tblStylePr>
    <w:tblStylePr w:type="band1Horz">
      <w:rPr>
        <w:rFonts w:ascii="Arial" w:hAnsi="Arial"/>
        <w:color w:val="404040"/>
        <w:sz w:val="22"/>
      </w:rPr>
      <w:tblPr/>
      <w:tcPr>
        <w:tcBorders>
          <w:top w:val="single" w:color="FAC090" w:themeColor="accent6" w:themeTint="98" w:sz="4" w:space="0"/>
          <w:bottom w:val="single" w:color="FAC090" w:themeColor="accent6"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0">
    <w:name w:val="List Table 4"/>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1">
    <w:name w:val="List Table 4 - Accent 1"/>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2DFEE" w:themeColor="accent1" w:themeTint="40" w:fill="D2DFEE" w:themeFill="accent1" w:themeFillTint="40"/>
      </w:tcPr>
    </w:tblStylePr>
    <w:tblStylePr w:type="band2Vert">
      <w:tblPr/>
    </w:tblStylePr>
    <w:tblStylePr w:type="band1Horz">
      <w:rPr>
        <w:rFonts w:ascii="Arial" w:hAnsi="Arial"/>
        <w:color w:val="404040"/>
        <w:sz w:val="22"/>
      </w:rPr>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2">
    <w:name w:val="List Table 4 - Accent 2"/>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FD3D2" w:themeColor="accent2" w:themeTint="40" w:fill="EFD3D2" w:themeFill="accent2" w:themeFillTint="40"/>
      </w:tcPr>
    </w:tblStylePr>
    <w:tblStylePr w:type="band2Vert">
      <w:tblPr/>
    </w:tblStylePr>
    <w:tblStylePr w:type="band1Horz">
      <w:rPr>
        <w:rFonts w:ascii="Arial" w:hAnsi="Arial"/>
        <w:color w:val="404040"/>
        <w:sz w:val="22"/>
      </w:rPr>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3">
    <w:name w:val="List Table 4 - Accent 3"/>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EDD5" w:themeColor="accent3" w:themeTint="40" w:fill="E5EDD5" w:themeFill="accent3" w:themeFillTint="40"/>
      </w:tcPr>
    </w:tblStylePr>
    <w:tblStylePr w:type="band2Vert">
      <w:tblPr/>
    </w:tblStylePr>
    <w:tblStylePr w:type="band1Horz">
      <w:rPr>
        <w:rFonts w:ascii="Arial" w:hAnsi="Arial"/>
        <w:color w:val="404040"/>
        <w:sz w:val="22"/>
      </w:rPr>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4">
    <w:name w:val="List Table 4 - Accent 4"/>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FD8E7" w:themeColor="accent4" w:themeTint="40" w:fill="DFD8E7" w:themeFill="accent4" w:themeFillTint="40"/>
      </w:tcPr>
    </w:tblStylePr>
    <w:tblStylePr w:type="band2Vert">
      <w:tblPr/>
    </w:tblStylePr>
    <w:tblStylePr w:type="band1Horz">
      <w:rPr>
        <w:rFonts w:ascii="Arial" w:hAnsi="Arial"/>
        <w:color w:val="404040"/>
        <w:sz w:val="22"/>
      </w:rPr>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5">
    <w:name w:val="List Table 4 - Accent 5"/>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1EAF0" w:themeColor="accent5" w:themeTint="40" w:fill="D1EAF0" w:themeFill="accent5" w:themeFillTint="40"/>
      </w:tcPr>
    </w:tblStylePr>
    <w:tblStylePr w:type="band2Vert">
      <w:tblPr/>
    </w:tblStylePr>
    <w:tblStylePr w:type="band1Horz">
      <w:rPr>
        <w:rFonts w:ascii="Arial" w:hAnsi="Arial"/>
        <w:color w:val="404040"/>
        <w:sz w:val="22"/>
      </w:rPr>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6">
    <w:name w:val="List Table 4 - Accent 6"/>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CE4D0" w:themeColor="accent6" w:themeTint="40" w:fill="FCE4D0" w:themeFill="accent6" w:themeFillTint="40"/>
      </w:tcPr>
    </w:tblStylePr>
    <w:tblStylePr w:type="band2Vert">
      <w:tblPr/>
    </w:tblStylePr>
    <w:tblStylePr w:type="band1Horz">
      <w:rPr>
        <w:rFonts w:ascii="Arial" w:hAnsi="Arial"/>
        <w:color w:val="404040"/>
        <w:sz w:val="22"/>
      </w:rPr>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7">
    <w:name w:val="List Table 5 Dark"/>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bl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7E7E7E" w:themeColor="text1" w:themeTint="80" w:sz="32" w:space="0"/>
          <w:right w:val="single" w:color="FFFFFF" w:themeColor="light1" w:sz="4" w:space="0"/>
        </w:tcBorders>
      </w:tcPr>
    </w:tblStylePr>
    <w:tblStylePr w:type="lastCol">
      <w:tblPr/>
      <w:tcPr>
        <w:tcBorders>
          <w:left w:val="single" w:color="FFFFFF" w:themeColor="light1" w:sz="4" w:space="0"/>
          <w:right w:val="single" w:color="7E7E7E" w:themeColor="text1" w:themeTint="80" w:sz="32" w:space="0"/>
        </w:tcBorders>
      </w:tcPr>
    </w:tblStylePr>
    <w:tblStylePr w:type="band1Vert">
      <w:tblPr/>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Pr/>
    </w:tblStylePr>
    <w:tblStylePr w:type="nwCell">
      <w:tblPr/>
    </w:tblStylePr>
    <w:tblStylePr w:type="seCell">
      <w:tblPr/>
    </w:tblStylePr>
    <w:tblStylePr w:type="swCell">
      <w:tblPr/>
    </w:tblStylePr>
  </w:style>
  <w:style w:type="table" w:customStyle="1" w:styleId="138">
    <w:name w:val="List Table 5 Dark - Accent 1"/>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bl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themeColor="accent1"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themeColor="accent1" w:fill="4F81BD" w:themeFill="accent1"/>
      </w:tcPr>
    </w:tblStylePr>
    <w:tblStylePr w:type="band2Horz">
      <w:tblPr/>
      <w:tcPr>
        <w:tcBorders>
          <w:top w:val="single" w:color="FFFFFF" w:themeColor="light1" w:sz="4" w:space="0"/>
          <w:bottom w:val="single" w:color="FFFFFF" w:themeColor="light1" w:sz="4" w:space="0"/>
        </w:tcBorders>
        <w:shd w:val="clear" w:color="4F81BD" w:themeColor="accent1" w:fill="4F81BD" w:themeFill="accent1"/>
      </w:tcPr>
    </w:tblStylePr>
    <w:tblStylePr w:type="neCell">
      <w:tblPr/>
    </w:tblStylePr>
    <w:tblStylePr w:type="nwCell">
      <w:tblPr/>
    </w:tblStylePr>
    <w:tblStylePr w:type="seCell">
      <w:tblPr/>
    </w:tblStylePr>
    <w:tblStylePr w:type="swCell">
      <w:tblPr/>
    </w:tblStylePr>
  </w:style>
  <w:style w:type="table" w:customStyle="1" w:styleId="139">
    <w:name w:val="List Table 5 Dark - Accent 2"/>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bl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D99795" w:themeColor="accent2" w:themeTint="97" w:sz="32" w:space="0"/>
          <w:right w:val="single" w:color="FFFFFF" w:themeColor="light1" w:sz="4" w:space="0"/>
        </w:tcBorders>
      </w:tcPr>
    </w:tblStylePr>
    <w:tblStylePr w:type="lastCol">
      <w:tblPr/>
      <w:tcPr>
        <w:tcBorders>
          <w:left w:val="single" w:color="FFFFFF" w:themeColor="light1" w:sz="4" w:space="0"/>
          <w:right w:val="single" w:color="D99795" w:themeColor="accent2" w:themeTint="97" w:sz="32" w:space="0"/>
        </w:tcBorders>
      </w:tcPr>
    </w:tblStylePr>
    <w:tblStylePr w:type="band1Vert">
      <w:tblPr/>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Pr/>
    </w:tblStylePr>
    <w:tblStylePr w:type="nwCell">
      <w:tblPr/>
    </w:tblStylePr>
    <w:tblStylePr w:type="seCell">
      <w:tblPr/>
    </w:tblStylePr>
    <w:tblStylePr w:type="swCell">
      <w:tblPr/>
    </w:tblStylePr>
  </w:style>
  <w:style w:type="table" w:customStyle="1" w:styleId="140">
    <w:name w:val="List Table 5 Dark - Accent 3"/>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C3D69C" w:themeColor="accent3" w:themeTint="98" w:sz="32" w:space="0"/>
          <w:right w:val="single" w:color="FFFFFF" w:themeColor="light1" w:sz="4" w:space="0"/>
        </w:tcBorders>
      </w:tcPr>
    </w:tblStylePr>
    <w:tblStylePr w:type="lastCol">
      <w:tblPr/>
      <w:tcPr>
        <w:tcBorders>
          <w:left w:val="single" w:color="FFFFFF" w:themeColor="light1" w:sz="4" w:space="0"/>
          <w:right w:val="single" w:color="C3D69C" w:themeColor="accent3" w:themeTint="98" w:sz="32" w:space="0"/>
        </w:tcBorders>
      </w:tcPr>
    </w:tblStylePr>
    <w:tblStylePr w:type="band1Vert">
      <w:tblPr/>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Pr/>
    </w:tblStylePr>
    <w:tblStylePr w:type="nwCell">
      <w:tblPr/>
    </w:tblStylePr>
    <w:tblStylePr w:type="seCell">
      <w:tblPr/>
    </w:tblStylePr>
    <w:tblStylePr w:type="swCell">
      <w:tblPr/>
    </w:tblStylePr>
  </w:style>
  <w:style w:type="table" w:customStyle="1" w:styleId="141">
    <w:name w:val="List Table 5 Dark - Accent 4"/>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B2A1C6" w:themeColor="accent4" w:themeTint="9A" w:sz="32" w:space="0"/>
          <w:right w:val="single" w:color="FFFFFF" w:themeColor="light1" w:sz="4" w:space="0"/>
        </w:tcBorders>
      </w:tcPr>
    </w:tblStylePr>
    <w:tblStylePr w:type="lastCol">
      <w:tblPr/>
      <w:tcPr>
        <w:tcBorders>
          <w:left w:val="single" w:color="FFFFFF" w:themeColor="light1" w:sz="4" w:space="0"/>
          <w:right w:val="single" w:color="B2A1C6" w:themeColor="accent4" w:themeTint="9A" w:sz="32" w:space="0"/>
        </w:tcBorders>
      </w:tcPr>
    </w:tblStylePr>
    <w:tblStylePr w:type="band1Vert">
      <w:tblPr/>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Pr/>
    </w:tblStylePr>
    <w:tblStylePr w:type="nwCell">
      <w:tblPr/>
    </w:tblStylePr>
    <w:tblStylePr w:type="seCell">
      <w:tblPr/>
    </w:tblStylePr>
    <w:tblStylePr w:type="swCell">
      <w:tblPr/>
    </w:tblStylePr>
  </w:style>
  <w:style w:type="table" w:customStyle="1" w:styleId="142">
    <w:name w:val="List Table 5 Dark - Accent 5"/>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92CCDC" w:themeColor="accent5" w:themeTint="9A" w:sz="32" w:space="0"/>
          <w:right w:val="single" w:color="FFFFFF" w:themeColor="light1" w:sz="4" w:space="0"/>
        </w:tcBorders>
      </w:tcPr>
    </w:tblStylePr>
    <w:tblStylePr w:type="lastCol">
      <w:tblPr/>
      <w:tcPr>
        <w:tcBorders>
          <w:left w:val="single" w:color="FFFFFF" w:themeColor="light1" w:sz="4" w:space="0"/>
          <w:right w:val="single" w:color="92CCDC" w:themeColor="accent5" w:themeTint="9A" w:sz="32" w:space="0"/>
        </w:tcBorders>
      </w:tcPr>
    </w:tblStylePr>
    <w:tblStylePr w:type="band1Vert">
      <w:tblPr/>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Pr/>
    </w:tblStylePr>
    <w:tblStylePr w:type="nwCell">
      <w:tblPr/>
    </w:tblStylePr>
    <w:tblStylePr w:type="seCell">
      <w:tblPr/>
    </w:tblStylePr>
    <w:tblStylePr w:type="swCell">
      <w:tblPr/>
    </w:tblStylePr>
  </w:style>
  <w:style w:type="table" w:customStyle="1" w:styleId="143">
    <w:name w:val="List Table 5 Dark - Accent 6"/>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FAC090" w:themeColor="accent6" w:themeTint="98" w:sz="32" w:space="0"/>
          <w:right w:val="single" w:color="FFFFFF" w:themeColor="light1" w:sz="4" w:space="0"/>
        </w:tcBorders>
      </w:tcPr>
    </w:tblStylePr>
    <w:tblStylePr w:type="lastCol">
      <w:tblPr/>
      <w:tcPr>
        <w:tcBorders>
          <w:left w:val="single" w:color="FFFFFF" w:themeColor="light1" w:sz="4" w:space="0"/>
          <w:right w:val="single" w:color="FAC090" w:themeColor="accent6" w:themeTint="98" w:sz="32" w:space="0"/>
        </w:tcBorders>
      </w:tcPr>
    </w:tblStylePr>
    <w:tblStylePr w:type="band1Vert">
      <w:tblPr/>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Pr/>
    </w:tblStylePr>
    <w:tblStylePr w:type="nwCell">
      <w:tblPr/>
    </w:tblStylePr>
    <w:tblStylePr w:type="seCell">
      <w:tblPr/>
    </w:tblStylePr>
    <w:tblStylePr w:type="swCell">
      <w:tblPr/>
    </w:tblStylePr>
  </w:style>
  <w:style w:type="table" w:customStyle="1" w:styleId="144">
    <w:name w:val="List Table 6 Colorful"/>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blPr/>
      <w:tcPr>
        <w:tcBorders>
          <w:bottom w:val="single" w:color="7E7E7E" w:themeColor="text1" w:themeTint="80" w:sz="4" w:space="0"/>
        </w:tcBorders>
      </w:tcPr>
    </w:tblStylePr>
    <w:tblStylePr w:type="lastRow">
      <w:rPr>
        <w:b/>
        <w:color w:val="000000" w:themeColor="text1"/>
        <w14:textFill>
          <w14:solidFill>
            <w14:schemeClr w14:val="tx1"/>
          </w14:solidFill>
        </w14:textFill>
      </w:rPr>
      <w:tblPr/>
      <w:tcPr>
        <w:tcBorders>
          <w:top w:val="single" w:color="7E7E7E" w:themeColor="text1" w:themeTint="80" w:sz="4" w:space="0"/>
        </w:tcBorders>
      </w:tcPr>
    </w:tblStylePr>
    <w:tblStylePr w:type="firstCol">
      <w:rPr>
        <w:b/>
        <w:color w:val="000000" w:themeColor="text1"/>
        <w14:textFill>
          <w14:solidFill>
            <w14:schemeClr w14:val="tx1"/>
          </w14:solidFill>
        </w14:textFill>
      </w:rPr>
      <w:tblPr/>
    </w:tblStylePr>
    <w:tblStylePr w:type="lastCol">
      <w:rPr>
        <w:b/>
        <w:color w:val="000000" w:themeColor="text1"/>
        <w14:textFill>
          <w14:solidFill>
            <w14:schemeClr w14:val="tx1"/>
          </w14:solidFill>
        </w14:textFill>
      </w:rPr>
      <w:tbl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000000" w:themeColor="text1"/>
        <w:sz w:val="22"/>
        <w14:textFill>
          <w14:solidFill>
            <w14:schemeClr w14:val="tx1"/>
          </w14:solidFill>
        </w14:textFill>
      </w:rPr>
      <w:tbl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Pr/>
    </w:tblStylePr>
    <w:tblStylePr w:type="neCell">
      <w:tblPr/>
    </w:tblStylePr>
    <w:tblStylePr w:type="nwCell">
      <w:tblPr/>
    </w:tblStylePr>
    <w:tblStylePr w:type="seCell">
      <w:tblPr/>
    </w:tblStylePr>
    <w:tblStylePr w:type="swCell">
      <w:tblPr/>
    </w:tblStylePr>
  </w:style>
  <w:style w:type="table" w:customStyle="1" w:styleId="145">
    <w:name w:val="List Table 6 Colorful - Accent 1"/>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blPr/>
      <w:tcPr>
        <w:tcBorders>
          <w:bottom w:val="single" w:color="4F81BD" w:themeColor="accent1" w:sz="4" w:space="0"/>
        </w:tcBorders>
      </w:tcPr>
    </w:tblStylePr>
    <w:tblStylePr w:type="lastRow">
      <w:rPr>
        <w:b/>
        <w:color w:val="2A4B71" w:themeColor="accent1" w:themeShade="94"/>
      </w:rPr>
      <w:tblPr/>
      <w:tcPr>
        <w:tcBorders>
          <w:top w:val="single" w:color="4F81BD" w:themeColor="accent1" w:sz="4" w:space="0"/>
        </w:tcBorders>
      </w:tcPr>
    </w:tblStylePr>
    <w:tblStylePr w:type="firstCol">
      <w:rPr>
        <w:b/>
        <w:color w:val="2A4B71" w:themeColor="accent1" w:themeShade="94"/>
      </w:rPr>
      <w:tblPr/>
    </w:tblStylePr>
    <w:tblStylePr w:type="lastCol">
      <w:rPr>
        <w:b/>
        <w:color w:val="2A4B71" w:themeColor="accent1" w:themeShade="94"/>
      </w:rPr>
      <w:tblPr/>
    </w:tblStylePr>
    <w:tblStylePr w:type="band1Vert">
      <w:tblPr/>
      <w:tcPr>
        <w:shd w:val="clear" w:color="D2DFEE" w:themeColor="accent1" w:themeTint="40" w:fill="D2DFEE" w:themeFill="accent1" w:themeFillTint="40"/>
      </w:tcPr>
    </w:tblStylePr>
    <w:tblStylePr w:type="band2Vert">
      <w:tblPr/>
    </w:tblStylePr>
    <w:tblStylePr w:type="band1Horz">
      <w:rPr>
        <w:rFonts w:ascii="Arial" w:hAnsi="Arial"/>
        <w:color w:val="2A4B71" w:themeColor="accent1" w:themeShade="94"/>
        <w:sz w:val="22"/>
      </w:rPr>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46">
    <w:name w:val="List Table 6 Colorful - Accent 2"/>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bl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bl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Pr/>
    </w:tblStylePr>
    <w:tblStylePr w:type="lastCol">
      <w:rPr>
        <w:b/>
        <w:color w:val="DA9896" w:themeColor="accent2" w:themeTint="96"/>
        <w14:textFill>
          <w14:solidFill>
            <w14:schemeClr w14:val="accent2">
              <w14:lumMod w14:val="59000"/>
              <w14:lumOff w14:val="41000"/>
            </w14:schemeClr>
          </w14:solidFill>
        </w14:textFill>
      </w:rPr>
      <w:tblPr/>
    </w:tblStylePr>
    <w:tblStylePr w:type="band1Vert">
      <w:tblPr/>
      <w:tcPr>
        <w:shd w:val="clear" w:color="EFD3D2" w:themeColor="accent2" w:themeTint="40" w:fill="EFD3D2" w:themeFill="accent2" w:themeFillTint="40"/>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7">
    <w:name w:val="List Table 6 Colorful - Accent 3"/>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bl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bl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Pr/>
    </w:tblStylePr>
    <w:tblStylePr w:type="lastCol">
      <w:rPr>
        <w:b/>
        <w:color w:val="C3D69B" w:themeColor="accent3" w:themeTint="99"/>
        <w14:textFill>
          <w14:solidFill>
            <w14:schemeClr w14:val="accent3">
              <w14:lumMod w14:val="60000"/>
              <w14:lumOff w14:val="40000"/>
            </w14:schemeClr>
          </w14:solidFill>
        </w14:textFill>
      </w:rPr>
      <w:tblPr/>
    </w:tblStylePr>
    <w:tblStylePr w:type="band1Vert">
      <w:tblPr/>
      <w:tcPr>
        <w:shd w:val="clear" w:color="E5EDD5" w:themeColor="accent3" w:themeTint="40" w:fill="E5EDD5" w:themeFill="accent3" w:themeFillTint="40"/>
      </w:tcPr>
    </w:tblStylePr>
    <w:tblStylePr w:type="band2Vert">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8">
    <w:name w:val="List Table 6 Colorful - Accent 4"/>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bl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bl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Pr/>
    </w:tblStylePr>
    <w:tblStylePr w:type="lastCol">
      <w:rPr>
        <w:b/>
        <w:color w:val="B3A2C7" w:themeColor="accent4" w:themeTint="99"/>
        <w14:textFill>
          <w14:solidFill>
            <w14:schemeClr w14:val="accent4">
              <w14:lumMod w14:val="60000"/>
              <w14:lumOff w14:val="40000"/>
            </w14:schemeClr>
          </w14:solidFill>
        </w14:textFill>
      </w:rPr>
      <w:tblPr/>
    </w:tblStylePr>
    <w:tblStylePr w:type="band1Vert">
      <w:tblPr/>
      <w:tcPr>
        <w:shd w:val="clear" w:color="DFD8E7" w:themeColor="accent4" w:themeTint="40" w:fill="DFD8E7" w:themeFill="accent4" w:themeFillTint="40"/>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9">
    <w:name w:val="List Table 6 Colorful - Accent 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bl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bl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Pr/>
    </w:tblStylePr>
    <w:tblStylePr w:type="lastCol">
      <w:rPr>
        <w:b/>
        <w:color w:val="93CDDD" w:themeColor="accent5" w:themeTint="99"/>
        <w14:textFill>
          <w14:solidFill>
            <w14:schemeClr w14:val="accent5">
              <w14:lumMod w14:val="60000"/>
              <w14:lumOff w14:val="40000"/>
            </w14:schemeClr>
          </w14:solidFill>
        </w14:textFill>
      </w:rPr>
      <w:tblPr/>
    </w:tblStylePr>
    <w:tblStylePr w:type="band1Vert">
      <w:tblPr/>
      <w:tcPr>
        <w:shd w:val="clear" w:color="D1EAF0" w:themeColor="accent5" w:themeTint="40" w:fill="D1EAF0" w:themeFill="accent5" w:themeFillTint="40"/>
      </w:tcPr>
    </w:tblStylePr>
    <w:tblStylePr w:type="band2Vert">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0">
    <w:name w:val="List Table 6 Colorful - Accent 6"/>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bl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bl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Pr/>
    </w:tblStylePr>
    <w:tblStylePr w:type="lastCol">
      <w:rPr>
        <w:b/>
        <w:color w:val="FAC090" w:themeColor="accent6" w:themeTint="99"/>
        <w14:textFill>
          <w14:solidFill>
            <w14:schemeClr w14:val="accent6">
              <w14:lumMod w14:val="60000"/>
              <w14:lumOff w14:val="40000"/>
            </w14:schemeClr>
          </w14:solidFill>
        </w14:textFill>
      </w:rPr>
      <w:tblPr/>
    </w:tblStylePr>
    <w:tblStylePr w:type="band1Vert">
      <w:tblPr/>
      <w:tcPr>
        <w:shd w:val="clear" w:color="FCE4D0" w:themeColor="accent6" w:themeTint="40" w:fill="FCE4D0" w:themeFill="accent6" w:themeFillTint="40"/>
      </w:tcPr>
    </w:tblStylePr>
    <w:tblStylePr w:type="band2Vert">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1">
    <w:name w:val="List Table 7 Colorful"/>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2">
    <w:name w:val="List Table 7 Colorful - Accent 1"/>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bl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bl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bl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blPr/>
      <w:tcPr>
        <w:tcBorders>
          <w:top w:val="nil"/>
          <w:left w:val="single" w:color="4F81BD" w:themeColor="accent1" w:sz="4" w:space="0"/>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2Vert">
      <w:tblPr/>
    </w:tblStylePr>
    <w:tblStylePr w:type="band1Horz">
      <w:rPr>
        <w:rFonts w:ascii="Arial" w:hAnsi="Arial"/>
        <w:color w:val="2A4B71" w:themeColor="accent1" w:themeShade="94"/>
        <w:sz w:val="22"/>
      </w:rPr>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53">
    <w:name w:val="List Table 7 Colorful - Accent 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single" w:color="D99795" w:themeColor="accent2" w:themeTint="97" w:sz="4" w:space="0"/>
          <w:bottom w:val="nil"/>
          <w:right w:val="nil"/>
        </w:tcBorders>
        <w:shd w:val="clear" w:color="FFFFFF" w:fill="auto"/>
      </w:tcPr>
    </w:tblStylePr>
    <w:tblStylePr w:type="band1Vert">
      <w:tblPr/>
      <w:tcPr>
        <w:shd w:val="clear" w:color="EFD3D2" w:themeColor="accent2" w:themeTint="40" w:fill="EFD3D2" w:themeFill="accent2" w:themeFillTint="40"/>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4">
    <w:name w:val="List Table 7 Colorful - Accent 3"/>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bl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single" w:color="C3D69C" w:themeColor="accent3" w:themeTint="98" w:sz="4" w:space="0"/>
          <w:bottom w:val="nil"/>
          <w:right w:val="nil"/>
        </w:tcBorders>
        <w:shd w:val="clear" w:color="FFFFFF" w:fill="auto"/>
      </w:tcPr>
    </w:tblStylePr>
    <w:tblStylePr w:type="band1Vert">
      <w:tblPr/>
      <w:tcPr>
        <w:shd w:val="clear" w:color="E5EDD5" w:themeColor="accent3" w:themeTint="40" w:fill="E5EDD5" w:themeFill="accent3" w:themeFillTint="40"/>
      </w:tcPr>
    </w:tblStylePr>
    <w:tblStylePr w:type="band2Vert">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5">
    <w:name w:val="List Table 7 Colorful - Accent 4"/>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single" w:color="B2A1C6" w:themeColor="accent4" w:themeTint="9A" w:sz="4" w:space="0"/>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6">
    <w:name w:val="List Table 7 Colorful - Accent 5"/>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bl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single" w:color="92CCDC" w:themeColor="accent5" w:themeTint="9A" w:sz="4" w:space="0"/>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2Vert">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7">
    <w:name w:val="List Table 7 Colorful - Accent 6"/>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bl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single" w:color="FAC090" w:themeColor="accent6" w:themeTint="98" w:sz="4" w:space="0"/>
          <w:bottom w:val="nil"/>
          <w:right w:val="nil"/>
        </w:tcBorders>
        <w:shd w:val="clear" w:color="FFFFFF" w:fill="auto"/>
      </w:tcPr>
    </w:tblStylePr>
    <w:tblStylePr w:type="band1Vert">
      <w:tblPr/>
      <w:tcPr>
        <w:shd w:val="clear" w:color="FCE4D0" w:themeColor="accent6" w:themeTint="40" w:fill="FCE4D0" w:themeFill="accent6" w:themeFillTint="40"/>
      </w:tcPr>
    </w:tblStylePr>
    <w:tblStylePr w:type="band2Vert">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8">
    <w:name w:val="Lined - Accent"/>
    <w:uiPriority w:val="99"/>
    <w:pPr>
      <w:spacing w:after="0" w:line="240" w:lineRule="auto"/>
    </w:pPr>
    <w:rPr>
      <w:color w:val="404040"/>
    </w:rPr>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59">
    <w:name w:val="Lined - Accent 1"/>
    <w:uiPriority w:val="99"/>
    <w:pPr>
      <w:spacing w:after="0" w:line="240" w:lineRule="auto"/>
    </w:pPr>
    <w:rPr>
      <w:color w:val="404040"/>
    </w:rPr>
    <w:tblPr/>
    <w:tblStylePr w:type="firstRow">
      <w:rPr>
        <w:rFonts w:ascii="Arial" w:hAnsi="Arial"/>
        <w:color w:val="F2F2F2"/>
        <w:sz w:val="22"/>
      </w:rPr>
      <w:tblPr/>
      <w:tcPr>
        <w:shd w:val="clear" w:color="5D8BC2" w:themeColor="accent1" w:themeTint="EA" w:fill="5D8BC2" w:themeFill="accent1" w:themeFillTint="EA"/>
      </w:tcPr>
    </w:tblStylePr>
    <w:tblStylePr w:type="lastRow">
      <w:rPr>
        <w:rFonts w:ascii="Arial" w:hAnsi="Arial"/>
        <w:color w:val="F2F2F2"/>
        <w:sz w:val="22"/>
      </w:rPr>
      <w:tblPr/>
      <w:tcPr>
        <w:shd w:val="clear" w:color="5D8BC2" w:themeColor="accent1" w:themeTint="EA" w:fill="5D8BC2" w:themeFill="accent1" w:themeFillTint="EA"/>
      </w:tcPr>
    </w:tblStylePr>
    <w:tblStylePr w:type="firstCol">
      <w:rPr>
        <w:rFonts w:ascii="Arial" w:hAnsi="Arial"/>
        <w:color w:val="F2F2F2"/>
        <w:sz w:val="22"/>
      </w:rPr>
      <w:tblPr/>
      <w:tcPr>
        <w:shd w:val="clear" w:color="5D8BC2" w:themeColor="accent1" w:themeTint="EA" w:fill="5D8BC2" w:themeFill="accent1" w:themeFillTint="EA"/>
      </w:tcPr>
    </w:tblStylePr>
    <w:tblStylePr w:type="lastCol">
      <w:rPr>
        <w:rFonts w:ascii="Arial" w:hAnsi="Arial"/>
        <w:color w:val="F2F2F2"/>
        <w:sz w:val="22"/>
      </w:rPr>
      <w:tblPr/>
      <w:tcPr>
        <w:shd w:val="clear" w:color="5D8BC2" w:themeColor="accent1" w:themeTint="EA" w:fill="5D8BC2"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7D7EA" w:themeColor="accent1" w:themeTint="50" w:fill="C7D7EA" w:themeFill="accent1" w:themeFillTint="50"/>
      </w:tcPr>
    </w:tblStylePr>
    <w:tblStylePr w:type="neCell">
      <w:tblPr/>
    </w:tblStylePr>
    <w:tblStylePr w:type="nwCell">
      <w:tblPr/>
    </w:tblStylePr>
    <w:tblStylePr w:type="seCell">
      <w:tblPr/>
    </w:tblStylePr>
    <w:tblStylePr w:type="swCell">
      <w:tblPr/>
    </w:tblStylePr>
  </w:style>
  <w:style w:type="table" w:customStyle="1" w:styleId="160">
    <w:name w:val="Lined - Accent 2"/>
    <w:uiPriority w:val="99"/>
    <w:pPr>
      <w:spacing w:after="0" w:line="240" w:lineRule="auto"/>
    </w:pPr>
    <w:rPr>
      <w:color w:val="404040"/>
    </w:rPr>
    <w:tblPr/>
    <w:tblStylePr w:type="firstRow">
      <w:rPr>
        <w:rFonts w:ascii="Arial" w:hAnsi="Arial"/>
        <w:color w:val="F2F2F2"/>
        <w:sz w:val="22"/>
      </w:rPr>
      <w:tblPr/>
      <w:tcPr>
        <w:shd w:val="clear" w:color="D99795" w:themeColor="accent2" w:themeTint="97" w:fill="D99795" w:themeFill="accent2" w:themeFillTint="97"/>
      </w:tcPr>
    </w:tblStylePr>
    <w:tblStylePr w:type="lastRow">
      <w:rPr>
        <w:rFonts w:ascii="Arial" w:hAnsi="Arial"/>
        <w:color w:val="F2F2F2"/>
        <w:sz w:val="22"/>
      </w:rPr>
      <w:tblPr/>
      <w:tcPr>
        <w:shd w:val="clear" w:color="D99795" w:themeColor="accent2" w:themeTint="97" w:fill="D99795" w:themeFill="accent2" w:themeFillTint="97"/>
      </w:tcPr>
    </w:tblStylePr>
    <w:tblStylePr w:type="firstCol">
      <w:rPr>
        <w:rFonts w:ascii="Arial" w:hAnsi="Arial"/>
        <w:color w:val="F2F2F2"/>
        <w:sz w:val="22"/>
      </w:rPr>
      <w:tblPr/>
      <w:tcPr>
        <w:shd w:val="clear" w:color="D99795" w:themeColor="accent2" w:themeTint="97" w:fill="D99795" w:themeFill="accent2" w:themeFillTint="97"/>
      </w:tcPr>
    </w:tblStylePr>
    <w:tblStylePr w:type="lastCol">
      <w:rPr>
        <w:rFonts w:ascii="Arial" w:hAnsi="Arial"/>
        <w:color w:val="F2F2F2"/>
        <w:sz w:val="22"/>
      </w:rPr>
      <w:tblPr/>
      <w:tcPr>
        <w:shd w:val="clear" w:color="D99795" w:themeColor="accent2" w:themeTint="97" w:fill="D9979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2DCDC" w:themeColor="accent2" w:themeTint="32" w:fill="F2DCDC" w:themeFill="accent2" w:themeFillTint="32"/>
      </w:tcPr>
    </w:tblStylePr>
    <w:tblStylePr w:type="neCell">
      <w:tblPr/>
    </w:tblStylePr>
    <w:tblStylePr w:type="nwCell">
      <w:tblPr/>
    </w:tblStylePr>
    <w:tblStylePr w:type="seCell">
      <w:tblPr/>
    </w:tblStylePr>
    <w:tblStylePr w:type="swCell">
      <w:tblPr/>
    </w:tblStylePr>
  </w:style>
  <w:style w:type="table" w:customStyle="1" w:styleId="161">
    <w:name w:val="Lined - Accent 3"/>
    <w:uiPriority w:val="99"/>
    <w:pPr>
      <w:spacing w:after="0" w:line="240" w:lineRule="auto"/>
    </w:pPr>
    <w:rPr>
      <w:color w:val="404040"/>
    </w:rPr>
    <w:tblPr/>
    <w:tblStylePr w:type="firstRow">
      <w:rPr>
        <w:rFonts w:ascii="Arial" w:hAnsi="Arial"/>
        <w:color w:val="F2F2F2"/>
        <w:sz w:val="22"/>
      </w:rPr>
      <w:tblPr/>
      <w:tcPr>
        <w:shd w:val="clear" w:color="9BBB59" w:themeColor="accent3" w:themeTint="FE" w:fill="9BBB59" w:themeFill="accent3" w:themeFillTint="FE"/>
      </w:tcPr>
    </w:tblStylePr>
    <w:tblStylePr w:type="lastRow">
      <w:rPr>
        <w:rFonts w:ascii="Arial" w:hAnsi="Arial"/>
        <w:color w:val="F2F2F2"/>
        <w:sz w:val="22"/>
      </w:rPr>
      <w:tblPr/>
      <w:tcPr>
        <w:shd w:val="clear" w:color="9BBB59" w:themeColor="accent3" w:themeTint="FE" w:fill="9BBB59" w:themeFill="accent3" w:themeFillTint="FE"/>
      </w:tcPr>
    </w:tblStylePr>
    <w:tblStylePr w:type="firstCol">
      <w:rPr>
        <w:rFonts w:ascii="Arial" w:hAnsi="Arial"/>
        <w:color w:val="F2F2F2"/>
        <w:sz w:val="22"/>
      </w:rPr>
      <w:tblPr/>
      <w:tcPr>
        <w:shd w:val="clear" w:color="9BBB59" w:themeColor="accent3" w:themeTint="FE" w:fill="9BBB59" w:themeFill="accent3" w:themeFillTint="FE"/>
      </w:tcPr>
    </w:tblStylePr>
    <w:tblStylePr w:type="lastCol">
      <w:rPr>
        <w:rFonts w:ascii="Arial" w:hAnsi="Arial"/>
        <w:color w:val="F2F2F2"/>
        <w:sz w:val="22"/>
      </w:rPr>
      <w:tblPr/>
      <w:tcPr>
        <w:shd w:val="clear" w:color="9BBB59" w:themeColor="accent3" w:themeTint="FE" w:fill="9BBB59"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AF1DD" w:themeColor="accent3" w:themeTint="34" w:fill="EAF1DD"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AF1DD" w:themeColor="accent3" w:themeTint="34" w:fill="EAF1DD" w:themeFill="accent3" w:themeFillTint="34"/>
      </w:tcPr>
    </w:tblStylePr>
    <w:tblStylePr w:type="neCell">
      <w:tblPr/>
    </w:tblStylePr>
    <w:tblStylePr w:type="nwCell">
      <w:tblPr/>
    </w:tblStylePr>
    <w:tblStylePr w:type="seCell">
      <w:tblPr/>
    </w:tblStylePr>
    <w:tblStylePr w:type="swCell">
      <w:tblPr/>
    </w:tblStylePr>
  </w:style>
  <w:style w:type="table" w:customStyle="1" w:styleId="162">
    <w:name w:val="Lined - Accent 4"/>
    <w:uiPriority w:val="99"/>
    <w:pPr>
      <w:spacing w:after="0" w:line="240" w:lineRule="auto"/>
    </w:pPr>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5DFEC" w:themeColor="accent4" w:themeTint="34" w:fill="E5DFEC" w:themeFill="accent4" w:themeFillTint="34"/>
      </w:tcPr>
    </w:tblStylePr>
    <w:tblStylePr w:type="neCell">
      <w:tblPr/>
    </w:tblStylePr>
    <w:tblStylePr w:type="nwCell">
      <w:tblPr/>
    </w:tblStylePr>
    <w:tblStylePr w:type="seCell">
      <w:tblPr/>
    </w:tblStylePr>
    <w:tblStylePr w:type="swCell">
      <w:tblPr/>
    </w:tblStylePr>
  </w:style>
  <w:style w:type="table" w:customStyle="1" w:styleId="163">
    <w:name w:val="Lined - Accent 5"/>
    <w:uiPriority w:val="99"/>
    <w:pPr>
      <w:spacing w:after="0" w:line="240" w:lineRule="auto"/>
    </w:pPr>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AEEF3" w:themeColor="accent5" w:themeTint="34" w:fill="DAEEF3" w:themeFill="accent5" w:themeFillTint="34"/>
      </w:tcPr>
    </w:tblStylePr>
    <w:tblStylePr w:type="neCell">
      <w:tblPr/>
    </w:tblStylePr>
    <w:tblStylePr w:type="nwCell">
      <w:tblPr/>
    </w:tblStylePr>
    <w:tblStylePr w:type="seCell">
      <w:tblPr/>
    </w:tblStylePr>
    <w:tblStylePr w:type="swCell">
      <w:tblPr/>
    </w:tblStylePr>
  </w:style>
  <w:style w:type="table" w:customStyle="1" w:styleId="164">
    <w:name w:val="Lined - Accent 6"/>
    <w:uiPriority w:val="99"/>
    <w:pPr>
      <w:spacing w:after="0" w:line="240" w:lineRule="auto"/>
    </w:pPr>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DE9D9" w:themeColor="accent6" w:themeTint="34" w:fill="FDE9D9"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DE9D9" w:themeColor="accent6" w:themeTint="34" w:fill="FDE9D9" w:themeFill="accent6" w:themeFillTint="34"/>
      </w:tcPr>
    </w:tblStylePr>
    <w:tblStylePr w:type="neCell">
      <w:tblPr/>
    </w:tblStylePr>
    <w:tblStylePr w:type="nwCell">
      <w:tblPr/>
    </w:tblStylePr>
    <w:tblStylePr w:type="seCell">
      <w:tblPr/>
    </w:tblStylePr>
    <w:tblStylePr w:type="swCell">
      <w:tblPr/>
    </w:tblStylePr>
  </w:style>
  <w:style w:type="table" w:customStyle="1" w:styleId="165">
    <w:name w:val="Bordered &amp; Lined - Accen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66">
    <w:name w:val="Bordered &amp; Lined - Accent 1"/>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blPr/>
      <w:tcPr>
        <w:shd w:val="clear" w:color="5D8BC2" w:themeColor="accent1" w:themeTint="EA" w:fill="5D8BC2" w:themeFill="accent1" w:themeFillTint="EA"/>
      </w:tcPr>
    </w:tblStylePr>
    <w:tblStylePr w:type="lastRow">
      <w:rPr>
        <w:rFonts w:ascii="Arial" w:hAnsi="Arial"/>
        <w:color w:val="F2F2F2"/>
        <w:sz w:val="22"/>
      </w:rPr>
      <w:tblPr/>
      <w:tcPr>
        <w:shd w:val="clear" w:color="5D8BC2" w:themeColor="accent1" w:themeTint="EA" w:fill="5D8BC2" w:themeFill="accent1" w:themeFillTint="EA"/>
      </w:tcPr>
    </w:tblStylePr>
    <w:tblStylePr w:type="firstCol">
      <w:rPr>
        <w:rFonts w:ascii="Arial" w:hAnsi="Arial"/>
        <w:color w:val="F2F2F2"/>
        <w:sz w:val="22"/>
      </w:rPr>
      <w:tblPr/>
      <w:tcPr>
        <w:shd w:val="clear" w:color="5D8BC2" w:themeColor="accent1" w:themeTint="EA" w:fill="5D8BC2" w:themeFill="accent1" w:themeFillTint="EA"/>
      </w:tcPr>
    </w:tblStylePr>
    <w:tblStylePr w:type="lastCol">
      <w:rPr>
        <w:rFonts w:ascii="Arial" w:hAnsi="Arial"/>
        <w:color w:val="F2F2F2"/>
        <w:sz w:val="22"/>
      </w:rPr>
      <w:tblPr/>
      <w:tcPr>
        <w:shd w:val="clear" w:color="5D8BC2" w:themeColor="accent1" w:themeTint="EA" w:fill="5D8BC2"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7D7EA" w:themeColor="accent1" w:themeTint="50" w:fill="C7D7EA" w:themeFill="accent1" w:themeFillTint="50"/>
      </w:tcPr>
    </w:tblStylePr>
    <w:tblStylePr w:type="neCell">
      <w:tblPr/>
    </w:tblStylePr>
    <w:tblStylePr w:type="nwCell">
      <w:tblPr/>
    </w:tblStylePr>
    <w:tblStylePr w:type="seCell">
      <w:tblPr/>
    </w:tblStylePr>
    <w:tblStylePr w:type="swCell">
      <w:tblPr/>
    </w:tblStylePr>
  </w:style>
  <w:style w:type="table" w:customStyle="1" w:styleId="167">
    <w:name w:val="Bordered &amp; Lined - Accent 2"/>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blPr/>
      <w:tcPr>
        <w:shd w:val="clear" w:color="D99795" w:themeColor="accent2" w:themeTint="97" w:fill="D99795" w:themeFill="accent2" w:themeFillTint="97"/>
      </w:tcPr>
    </w:tblStylePr>
    <w:tblStylePr w:type="lastRow">
      <w:rPr>
        <w:rFonts w:ascii="Arial" w:hAnsi="Arial"/>
        <w:color w:val="F2F2F2"/>
        <w:sz w:val="22"/>
      </w:rPr>
      <w:tblPr/>
      <w:tcPr>
        <w:shd w:val="clear" w:color="D99795" w:themeColor="accent2" w:themeTint="97" w:fill="D99795" w:themeFill="accent2" w:themeFillTint="97"/>
      </w:tcPr>
    </w:tblStylePr>
    <w:tblStylePr w:type="firstCol">
      <w:rPr>
        <w:rFonts w:ascii="Arial" w:hAnsi="Arial"/>
        <w:color w:val="F2F2F2"/>
        <w:sz w:val="22"/>
      </w:rPr>
      <w:tblPr/>
      <w:tcPr>
        <w:shd w:val="clear" w:color="D99795" w:themeColor="accent2" w:themeTint="97" w:fill="D99795" w:themeFill="accent2" w:themeFillTint="97"/>
      </w:tcPr>
    </w:tblStylePr>
    <w:tblStylePr w:type="lastCol">
      <w:rPr>
        <w:rFonts w:ascii="Arial" w:hAnsi="Arial"/>
        <w:color w:val="F2F2F2"/>
        <w:sz w:val="22"/>
      </w:rPr>
      <w:tblPr/>
      <w:tcPr>
        <w:shd w:val="clear" w:color="D99795" w:themeColor="accent2" w:themeTint="97" w:fill="D9979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2DCDC" w:themeColor="accent2" w:themeTint="32" w:fill="F2DCDC" w:themeFill="accent2" w:themeFillTint="32"/>
      </w:tcPr>
    </w:tblStylePr>
    <w:tblStylePr w:type="neCell">
      <w:tblPr/>
    </w:tblStylePr>
    <w:tblStylePr w:type="nwCell">
      <w:tblPr/>
    </w:tblStylePr>
    <w:tblStylePr w:type="seCell">
      <w:tblPr/>
    </w:tblStylePr>
    <w:tblStylePr w:type="swCell">
      <w:tblPr/>
    </w:tblStylePr>
  </w:style>
  <w:style w:type="table" w:customStyle="1" w:styleId="168">
    <w:name w:val="Bordered &amp; Lined - Accent 3"/>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blPr/>
      <w:tcPr>
        <w:shd w:val="clear" w:color="9BBB59" w:themeColor="accent3" w:themeTint="FE" w:fill="9BBB59" w:themeFill="accent3" w:themeFillTint="FE"/>
      </w:tcPr>
    </w:tblStylePr>
    <w:tblStylePr w:type="lastRow">
      <w:rPr>
        <w:rFonts w:ascii="Arial" w:hAnsi="Arial"/>
        <w:color w:val="F2F2F2"/>
        <w:sz w:val="22"/>
      </w:rPr>
      <w:tblPr/>
      <w:tcPr>
        <w:shd w:val="clear" w:color="9BBB59" w:themeColor="accent3" w:themeTint="FE" w:fill="9BBB59" w:themeFill="accent3" w:themeFillTint="FE"/>
      </w:tcPr>
    </w:tblStylePr>
    <w:tblStylePr w:type="firstCol">
      <w:rPr>
        <w:rFonts w:ascii="Arial" w:hAnsi="Arial"/>
        <w:color w:val="F2F2F2"/>
        <w:sz w:val="22"/>
      </w:rPr>
      <w:tblPr/>
      <w:tcPr>
        <w:shd w:val="clear" w:color="9BBB59" w:themeColor="accent3" w:themeTint="FE" w:fill="9BBB59" w:themeFill="accent3" w:themeFillTint="FE"/>
      </w:tcPr>
    </w:tblStylePr>
    <w:tblStylePr w:type="lastCol">
      <w:rPr>
        <w:rFonts w:ascii="Arial" w:hAnsi="Arial"/>
        <w:color w:val="F2F2F2"/>
        <w:sz w:val="22"/>
      </w:rPr>
      <w:tblPr/>
      <w:tcPr>
        <w:shd w:val="clear" w:color="9BBB59" w:themeColor="accent3" w:themeTint="FE" w:fill="9BBB59"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AF1DD" w:themeColor="accent3" w:themeTint="34" w:fill="EAF1DD"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AF1DD" w:themeColor="accent3" w:themeTint="34" w:fill="EAF1DD" w:themeFill="accent3" w:themeFillTint="34"/>
      </w:tcPr>
    </w:tblStylePr>
    <w:tblStylePr w:type="neCell">
      <w:tblPr/>
    </w:tblStylePr>
    <w:tblStylePr w:type="nwCell">
      <w:tblPr/>
    </w:tblStylePr>
    <w:tblStylePr w:type="seCell">
      <w:tblPr/>
    </w:tblStylePr>
    <w:tblStylePr w:type="swCell">
      <w:tblPr/>
    </w:tblStylePr>
  </w:style>
  <w:style w:type="table" w:customStyle="1" w:styleId="169">
    <w:name w:val="Bordered &amp; Lined - Accent 4"/>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5DFEC" w:themeColor="accent4" w:themeTint="34" w:fill="E5DFEC" w:themeFill="accent4" w:themeFillTint="34"/>
      </w:tcPr>
    </w:tblStylePr>
    <w:tblStylePr w:type="neCell">
      <w:tblPr/>
    </w:tblStylePr>
    <w:tblStylePr w:type="nwCell">
      <w:tblPr/>
    </w:tblStylePr>
    <w:tblStylePr w:type="seCell">
      <w:tblPr/>
    </w:tblStylePr>
    <w:tblStylePr w:type="swCell">
      <w:tblPr/>
    </w:tblStylePr>
  </w:style>
  <w:style w:type="table" w:customStyle="1" w:styleId="170">
    <w:name w:val="Bordered &amp; Lined - Accent 5"/>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AEEF3" w:themeColor="accent5" w:themeTint="34" w:fill="DAEEF3" w:themeFill="accent5" w:themeFillTint="34"/>
      </w:tcPr>
    </w:tblStylePr>
    <w:tblStylePr w:type="neCell">
      <w:tblPr/>
    </w:tblStylePr>
    <w:tblStylePr w:type="nwCell">
      <w:tblPr/>
    </w:tblStylePr>
    <w:tblStylePr w:type="seCell">
      <w:tblPr/>
    </w:tblStylePr>
    <w:tblStylePr w:type="swCell">
      <w:tblPr/>
    </w:tblStylePr>
  </w:style>
  <w:style w:type="table" w:customStyle="1" w:styleId="171">
    <w:name w:val="Bordered &amp; Lined - Accent 6"/>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DE9D9" w:themeColor="accent6" w:themeTint="34" w:fill="FDE9D9"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DE9D9" w:themeColor="accent6" w:themeTint="34" w:fill="FDE9D9" w:themeFill="accent6" w:themeFillTint="34"/>
      </w:tcPr>
    </w:tblStylePr>
    <w:tblStylePr w:type="neCell">
      <w:tblPr/>
    </w:tblStylePr>
    <w:tblStylePr w:type="nwCell">
      <w:tblPr/>
    </w:tblStylePr>
    <w:tblStylePr w:type="seCell">
      <w:tblPr/>
    </w:tblStylePr>
    <w:tblStylePr w:type="swCell">
      <w:tblPr/>
    </w:tblStylePr>
  </w:style>
  <w:style w:type="table" w:customStyle="1" w:styleId="172">
    <w:name w:val="Bordered"/>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blPr/>
      <w:tcPr>
        <w:tcBorders>
          <w:bottom w:val="single" w:color="7E7E7E" w:themeColor="text1" w:themeTint="80" w:sz="12" w:space="0"/>
        </w:tcBorders>
      </w:tcPr>
    </w:tblStylePr>
    <w:tblStylePr w:type="lastRow">
      <w:rPr>
        <w:rFonts w:ascii="Arial" w:hAnsi="Arial"/>
        <w:color w:val="404040"/>
        <w:sz w:val="22"/>
      </w:rPr>
      <w:tblPr/>
      <w:tcPr>
        <w:tcBorders>
          <w:top w:val="single" w:color="7E7E7E" w:themeColor="text1" w:themeTint="80"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7E7E7E" w:themeColor="text1" w:themeTint="80"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3">
    <w:name w:val="Bordered - Accent 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blPr/>
      <w:tcPr>
        <w:tcBorders>
          <w:bottom w:val="single" w:color="4F81BD" w:themeColor="accent1" w:sz="12" w:space="0"/>
        </w:tcBorders>
      </w:tcPr>
    </w:tblStylePr>
    <w:tblStylePr w:type="lastRow">
      <w:rPr>
        <w:rFonts w:ascii="Arial" w:hAnsi="Arial"/>
        <w:color w:val="404040"/>
        <w:sz w:val="22"/>
      </w:rPr>
      <w:tblPr/>
      <w:tcPr>
        <w:tcBorders>
          <w:top w:val="single" w:color="4F81BD" w:themeColor="accent1"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4F81BD" w:themeColor="accent1"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4">
    <w:name w:val="Bordered - Accent 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blPr/>
      <w:tcPr>
        <w:tcBorders>
          <w:bottom w:val="single" w:color="D99795" w:themeColor="accent2" w:themeTint="97" w:sz="12" w:space="0"/>
        </w:tcBorders>
      </w:tcPr>
    </w:tblStylePr>
    <w:tblStylePr w:type="lastRow">
      <w:rPr>
        <w:rFonts w:ascii="Arial" w:hAnsi="Arial"/>
        <w:color w:val="404040"/>
        <w:sz w:val="22"/>
      </w:rPr>
      <w:tblPr/>
      <w:tcPr>
        <w:tcBorders>
          <w:top w:val="single" w:color="D99795" w:themeColor="accent2" w:themeTint="97"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D99795" w:themeColor="accent2" w:themeTint="97"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5">
    <w:name w:val="Bordered - Accent 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blPr/>
      <w:tcPr>
        <w:tcBorders>
          <w:bottom w:val="single" w:color="C3D69C" w:themeColor="accent3" w:themeTint="98" w:sz="12" w:space="0"/>
        </w:tcBorders>
      </w:tcPr>
    </w:tblStylePr>
    <w:tblStylePr w:type="lastRow">
      <w:rPr>
        <w:rFonts w:ascii="Arial" w:hAnsi="Arial"/>
        <w:color w:val="404040"/>
        <w:sz w:val="22"/>
      </w:rPr>
      <w:tblPr/>
      <w:tcPr>
        <w:tcBorders>
          <w:top w:val="single" w:color="C3D69C" w:themeColor="accent3"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C3D69C" w:themeColor="accent3"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6">
    <w:name w:val="Bordered - Accent 4"/>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blPr/>
      <w:tcPr>
        <w:tcBorders>
          <w:bottom w:val="single" w:color="B2A1C6" w:themeColor="accent4" w:themeTint="9A" w:sz="12" w:space="0"/>
        </w:tcBorders>
      </w:tcPr>
    </w:tblStylePr>
    <w:tblStylePr w:type="lastRow">
      <w:rPr>
        <w:rFonts w:ascii="Arial" w:hAnsi="Arial"/>
        <w:color w:val="404040"/>
        <w:sz w:val="22"/>
      </w:rPr>
      <w:tblPr/>
      <w:tcPr>
        <w:tcBorders>
          <w:top w:val="single" w:color="B2A1C6" w:themeColor="accent4"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B2A1C6" w:themeColor="accent4"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7">
    <w:name w:val="Bordered - Accent 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blPr/>
      <w:tcPr>
        <w:tcBorders>
          <w:bottom w:val="single" w:color="92CCDC" w:themeColor="accent5" w:themeTint="9A" w:sz="12" w:space="0"/>
        </w:tcBorders>
      </w:tcPr>
    </w:tblStylePr>
    <w:tblStylePr w:type="lastRow">
      <w:rPr>
        <w:rFonts w:ascii="Arial" w:hAnsi="Arial"/>
        <w:color w:val="404040"/>
        <w:sz w:val="22"/>
      </w:rPr>
      <w:tblPr/>
      <w:tcPr>
        <w:tcBorders>
          <w:top w:val="single" w:color="92CCDC" w:themeColor="accent5"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92CCDC" w:themeColor="accent5"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8">
    <w:name w:val="Bordered - Accent 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blPr/>
      <w:tcPr>
        <w:tcBorders>
          <w:bottom w:val="single" w:color="FAC090" w:themeColor="accent6" w:themeTint="98" w:sz="12" w:space="0"/>
        </w:tcBorders>
      </w:tcPr>
    </w:tblStylePr>
    <w:tblStylePr w:type="lastRow">
      <w:rPr>
        <w:rFonts w:ascii="Arial" w:hAnsi="Arial"/>
        <w:color w:val="404040"/>
        <w:sz w:val="22"/>
      </w:rPr>
      <w:tblPr/>
      <w:tcPr>
        <w:tcBorders>
          <w:top w:val="single" w:color="FAC090" w:themeColor="accent6"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FAC090" w:themeColor="accent6"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character" w:customStyle="1" w:styleId="179">
    <w:name w:val="Footnote Text Char"/>
    <w:link w:val="22"/>
    <w:uiPriority w:val="99"/>
    <w:rPr>
      <w:sz w:val="18"/>
    </w:rPr>
  </w:style>
  <w:style w:type="character" w:customStyle="1" w:styleId="180">
    <w:name w:val="Endnote Text Char"/>
    <w:link w:val="16"/>
    <w:uiPriority w:val="99"/>
    <w:rPr>
      <w:sz w:val="20"/>
    </w:rPr>
  </w:style>
  <w:style w:type="paragraph" w:customStyle="1" w:styleId="181">
    <w:name w:val="TOC Heading"/>
    <w:unhideWhenUsed/>
    <w:uiPriority w:val="39"/>
    <w:rPr>
      <w:rFonts w:hint="default" w:ascii="Times New Roman" w:hAnsi="Times New Roman" w:eastAsia="宋体" w:cs="Times New Roman"/>
    </w:rPr>
  </w:style>
  <w:style w:type="paragraph" w:customStyle="1" w:styleId="182">
    <w:name w:val="标题 11"/>
    <w:basedOn w:val="1"/>
    <w:next w:val="1"/>
    <w:qFormat/>
    <w:uiPriority w:val="0"/>
    <w:pPr>
      <w:spacing w:before="100" w:beforeAutospacing="1" w:after="100" w:afterAutospacing="1"/>
      <w:jc w:val="left"/>
      <w:outlineLvl w:val="0"/>
    </w:pPr>
    <w:rPr>
      <w:rFonts w:hint="eastAsia" w:ascii="宋体" w:hAnsi="宋体" w:eastAsia="宋体" w:cs="宋体"/>
      <w:b/>
      <w:bCs/>
      <w:sz w:val="48"/>
      <w:szCs w:val="48"/>
      <w:lang w:val="en-US" w:eastAsia="zh-CN" w:bidi="ar"/>
    </w:rPr>
  </w:style>
  <w:style w:type="paragraph" w:customStyle="1" w:styleId="183">
    <w:name w:val="标题 21"/>
    <w:basedOn w:val="1"/>
    <w:next w:val="1"/>
    <w:qFormat/>
    <w:uiPriority w:val="0"/>
    <w:pPr>
      <w:spacing w:before="100" w:beforeAutospacing="1" w:after="100" w:afterAutospacing="1"/>
      <w:jc w:val="left"/>
      <w:outlineLvl w:val="1"/>
    </w:pPr>
    <w:rPr>
      <w:rFonts w:hint="eastAsia" w:ascii="宋体" w:hAnsi="宋体" w:eastAsia="宋体" w:cs="宋体"/>
      <w:b/>
      <w:bCs/>
      <w:sz w:val="36"/>
      <w:szCs w:val="36"/>
      <w:lang w:val="en-US" w:eastAsia="zh-CN" w:bidi="ar"/>
    </w:rPr>
  </w:style>
  <w:style w:type="paragraph" w:customStyle="1" w:styleId="184">
    <w:name w:val="标题 31"/>
    <w:basedOn w:val="1"/>
    <w:next w:val="1"/>
    <w:qFormat/>
    <w:uiPriority w:val="0"/>
    <w:pPr>
      <w:spacing w:before="100" w:beforeAutospacing="1" w:after="100" w:afterAutospacing="1"/>
      <w:jc w:val="left"/>
      <w:outlineLvl w:val="2"/>
    </w:pPr>
    <w:rPr>
      <w:rFonts w:hint="eastAsia" w:ascii="宋体" w:hAnsi="宋体" w:eastAsia="宋体" w:cs="宋体"/>
      <w:b/>
      <w:bCs/>
      <w:sz w:val="27"/>
      <w:szCs w:val="27"/>
      <w:lang w:val="en-US" w:eastAsia="zh-CN" w:bidi="ar"/>
    </w:rPr>
  </w:style>
  <w:style w:type="paragraph" w:customStyle="1" w:styleId="185">
    <w:name w:val="标题 41"/>
    <w:basedOn w:val="1"/>
    <w:next w:val="1"/>
    <w:qFormat/>
    <w:uiPriority w:val="0"/>
    <w:pPr>
      <w:spacing w:before="100" w:beforeAutospacing="1" w:after="100" w:afterAutospacing="1"/>
      <w:jc w:val="left"/>
      <w:outlineLvl w:val="3"/>
    </w:pPr>
    <w:rPr>
      <w:rFonts w:hint="eastAsia" w:ascii="宋体" w:hAnsi="宋体" w:eastAsia="宋体" w:cs="宋体"/>
      <w:b/>
      <w:bCs/>
      <w:sz w:val="24"/>
      <w:szCs w:val="24"/>
      <w:lang w:val="en-US" w:eastAsia="zh-CN" w:bidi="ar"/>
    </w:rPr>
  </w:style>
  <w:style w:type="paragraph" w:customStyle="1" w:styleId="186">
    <w:name w:val="标题 51"/>
    <w:basedOn w:val="1"/>
    <w:next w:val="1"/>
    <w:qFormat/>
    <w:uiPriority w:val="0"/>
    <w:pPr>
      <w:spacing w:before="100" w:beforeAutospacing="1" w:after="100" w:afterAutospacing="1"/>
      <w:jc w:val="left"/>
      <w:outlineLvl w:val="4"/>
    </w:pPr>
    <w:rPr>
      <w:rFonts w:hint="eastAsia" w:ascii="宋体" w:hAnsi="宋体" w:eastAsia="宋体" w:cs="宋体"/>
      <w:b/>
      <w:bCs/>
      <w:sz w:val="20"/>
      <w:szCs w:val="20"/>
      <w:lang w:val="en-US" w:eastAsia="zh-CN" w:bidi="ar"/>
    </w:rPr>
  </w:style>
  <w:style w:type="paragraph" w:customStyle="1" w:styleId="187">
    <w:name w:val="标题 61"/>
    <w:basedOn w:val="1"/>
    <w:next w:val="1"/>
    <w:qFormat/>
    <w:uiPriority w:val="0"/>
    <w:pPr>
      <w:spacing w:before="100" w:beforeAutospacing="1" w:after="100" w:afterAutospacing="1"/>
      <w:jc w:val="left"/>
      <w:outlineLvl w:val="5"/>
    </w:pPr>
    <w:rPr>
      <w:rFonts w:hint="eastAsia" w:ascii="宋体" w:hAnsi="宋体" w:eastAsia="宋体" w:cs="宋体"/>
      <w:b/>
      <w:bCs/>
      <w:sz w:val="15"/>
      <w:szCs w:val="15"/>
      <w:lang w:val="en-US" w:eastAsia="zh-CN" w:bidi="ar"/>
    </w:rPr>
  </w:style>
  <w:style w:type="character" w:customStyle="1" w:styleId="188">
    <w:name w:val="默认段落字体1"/>
    <w:link w:val="1"/>
    <w:unhideWhenUsed/>
    <w:uiPriority w:val="99"/>
  </w:style>
  <w:style w:type="table" w:customStyle="1" w:styleId="189">
    <w:name w:val="普通表格1"/>
    <w:unhideWhenUsed/>
    <w:uiPriority w:val="99"/>
    <w:pPr>
      <w:keepNext w:val="0"/>
      <w:keepLines w:val="0"/>
      <w:widowControl/>
      <w:suppressLineNumbers w:val="0"/>
      <w:spacing w:before="0" w:beforeAutospacing="0" w:after="0" w:afterAutospacing="0"/>
      <w:ind w:left="0" w:right="0"/>
    </w:pPr>
    <w:rPr>
      <w:rFonts w:ascii="Times New Roman" w:hAnsi="Times New Roman" w:cs="Times New Roman"/>
      <w:sz w:val="20"/>
      <w:szCs w:val="20"/>
    </w:rP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paragraph" w:customStyle="1" w:styleId="190">
    <w:name w:val="HTML 预设格式1"/>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bidi="ar"/>
    </w:rPr>
  </w:style>
  <w:style w:type="paragraph" w:customStyle="1" w:styleId="191">
    <w:name w:val="普通(网站)1"/>
    <w:basedOn w:val="1"/>
    <w:uiPriority w:val="0"/>
    <w:pPr>
      <w:spacing w:before="100" w:beforeAutospacing="1" w:after="100" w:afterAutospacing="1"/>
      <w:ind w:left="0" w:right="0"/>
      <w:jc w:val="left"/>
    </w:pPr>
    <w:rPr>
      <w:rFonts w:hint="eastAsia" w:ascii="宋体" w:hAnsi="宋体" w:eastAsia="宋体" w:cs="宋体"/>
      <w:sz w:val="24"/>
      <w:szCs w:val="24"/>
      <w:lang w:val="en-US" w:eastAsia="zh-CN" w:bidi="ar"/>
    </w:rPr>
  </w:style>
  <w:style w:type="character" w:customStyle="1" w:styleId="192">
    <w:name w:val="超链接1"/>
    <w:basedOn w:val="188"/>
    <w:link w:val="1"/>
    <w:qFormat/>
    <w:uiPriority w:val="0"/>
    <w:rPr>
      <w:color w:val="0000FF"/>
      <w:u w:val="single"/>
    </w:rPr>
  </w:style>
  <w:style w:type="character" w:customStyle="1" w:styleId="193">
    <w:name w:val="10"/>
    <w:basedOn w:val="188"/>
    <w:link w:val="1"/>
    <w:qFormat/>
    <w:uiPriority w:val="0"/>
    <w:rPr>
      <w:rFonts w:ascii="Times New Roman" w:hAnsi="Times New Roman" w:cs="Times New Roman"/>
    </w:rPr>
  </w:style>
  <w:style w:type="character" w:customStyle="1" w:styleId="194">
    <w:name w:val="15"/>
    <w:basedOn w:val="188"/>
    <w:link w:val="1"/>
    <w:qFormat/>
    <w:uiPriority w:val="0"/>
    <w:rPr>
      <w:rFonts w:ascii="Times New Roman" w:hAnsi="Times New Roman" w:cs="Times New Roman"/>
      <w:color w:val="0000FF"/>
      <w:u w:val="single"/>
    </w:rPr>
  </w:style>
  <w:style w:type="paragraph" w:customStyle="1" w:styleId="195">
    <w:name w:val="普通(网站) Char"/>
    <w:basedOn w:val="1"/>
    <w:qFormat/>
    <w:uiPriority w:val="0"/>
    <w:pPr>
      <w:spacing w:before="100" w:beforeAutospacing="1" w:after="100" w:afterAutospacing="1"/>
      <w:ind w:left="0" w:right="0"/>
      <w:jc w:val="left"/>
    </w:pPr>
    <w:rPr>
      <w:rFonts w:hint="eastAsia" w:ascii="宋体" w:hAnsi="宋体" w:eastAsia="宋体" w:cs="宋体"/>
      <w:sz w:val="24"/>
      <w:szCs w:val="24"/>
      <w:lang w:val="en-US" w:eastAsia="zh-CN" w:bidi="ar"/>
    </w:rPr>
  </w:style>
  <w:style w:type="paragraph" w:customStyle="1" w:styleId="196">
    <w:name w:val="HTML 预设格式 Char"/>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eastAsia" w:ascii="宋体" w:hAnsi="宋体" w:eastAsia="宋体" w:cs="宋体"/>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3048</Words>
  <Characters>3334</Characters>
  <TotalTime>0</TotalTime>
  <ScaleCrop>false</ScaleCrop>
  <LinksUpToDate>false</LinksUpToDate>
  <CharactersWithSpaces>3420</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2022-04-25T03:05:00Z</dcterms:created>
  <dc:creator>Adminis</dc:creator>
  <cp:lastModifiedBy>乐萍@</cp:lastModifiedBy>
  <dcterms:modified xsi:type="dcterms:W3CDTF">2025-11-25T01:32:05Z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eyJoZGlkIjoiMmM4N2IwNjRlMmU3NGQ0MjAyNTk2OWVlN2U3NWEwZTYiLCJ1c2VySWQiOiIyNjAwMzY5ODYifQ==</vt:lpwstr>
  </property>
  <property fmtid="{D5CDD505-2E9C-101B-9397-08002B2CF9AE}" pid="3" name="KSOProductBuildVer">
    <vt:lpwstr>2052-12.1.0.23542</vt:lpwstr>
  </property>
  <property fmtid="{D5CDD505-2E9C-101B-9397-08002B2CF9AE}" pid="4" name="ICV">
    <vt:lpwstr>6117434F25944E44B31CCABD16E43147_12</vt:lpwstr>
  </property>
</Properties>
</file>