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81C67">
      <w:pPr>
        <w:jc w:val="center"/>
        <w:rPr>
          <w:rFonts w:ascii="仿宋_GB2312" w:hAnsi="宋体" w:eastAsia="仿宋_GB2312" w:cs="仿宋_GB2312"/>
          <w:color w:val="000000"/>
          <w:kern w:val="0"/>
          <w:sz w:val="44"/>
          <w:szCs w:val="44"/>
        </w:rPr>
      </w:pPr>
      <w:r>
        <w:rPr>
          <w:rFonts w:hint="eastAsia" w:ascii="仿宋_GB2312" w:hAnsi="宋体" w:eastAsia="仿宋_GB2312" w:cs="仿宋_GB2312"/>
          <w:color w:val="000000"/>
          <w:kern w:val="0"/>
          <w:sz w:val="44"/>
          <w:szCs w:val="44"/>
        </w:rPr>
        <w:t>2022年道县水利和库区移民事务中心部门预算</w:t>
      </w:r>
    </w:p>
    <w:p w14:paraId="33D1E3CC">
      <w:pPr>
        <w:widowControl/>
        <w:spacing w:after="2"/>
        <w:jc w:val="center"/>
        <w:rPr>
          <w:rFonts w:ascii="仿宋_GB2312" w:hAnsi="宋体" w:eastAsia="仿宋_GB2312" w:cs="仿宋_GB2312"/>
          <w:kern w:val="0"/>
          <w:szCs w:val="21"/>
        </w:rPr>
      </w:pPr>
    </w:p>
    <w:p w14:paraId="58E9DE3D">
      <w:pPr>
        <w:widowControl/>
        <w:spacing w:after="2"/>
        <w:jc w:val="center"/>
        <w:rPr>
          <w:rFonts w:ascii="仿宋_GB2312" w:hAnsi="宋体" w:eastAsia="仿宋_GB2312" w:cs="仿宋_GB2312"/>
          <w:color w:val="0000FF"/>
          <w:kern w:val="0"/>
          <w:szCs w:val="21"/>
        </w:rPr>
      </w:pPr>
      <w:r>
        <w:rPr>
          <w:rFonts w:hint="eastAsia" w:ascii="仿宋_GB2312" w:hAnsi="宋体" w:eastAsia="仿宋_GB2312" w:cs="仿宋_GB2312"/>
          <w:color w:val="000000"/>
          <w:kern w:val="0"/>
          <w:sz w:val="32"/>
          <w:szCs w:val="32"/>
        </w:rPr>
        <w:t>目 录</w:t>
      </w:r>
    </w:p>
    <w:p w14:paraId="7F39138E">
      <w:pPr>
        <w:widowControl/>
        <w:spacing w:after="2"/>
        <w:ind w:firstLine="643"/>
        <w:rPr>
          <w:rFonts w:ascii="仿宋_GB2312" w:hAnsi="宋体" w:eastAsia="仿宋_GB2312" w:cs="仿宋_GB2312"/>
          <w:color w:val="0000FF"/>
          <w:kern w:val="0"/>
          <w:szCs w:val="21"/>
        </w:rPr>
      </w:pPr>
      <w:r>
        <w:rPr>
          <w:rFonts w:hint="eastAsia" w:ascii="仿宋_GB2312" w:hAnsi="宋体" w:eastAsia="仿宋_GB2312" w:cs="仿宋_GB2312"/>
          <w:b/>
          <w:bCs/>
          <w:color w:val="000000"/>
          <w:kern w:val="0"/>
          <w:sz w:val="32"/>
          <w:szCs w:val="32"/>
        </w:rPr>
        <w:t>第一部分 2022年部门预算说明</w:t>
      </w:r>
    </w:p>
    <w:p w14:paraId="70590D4E">
      <w:pPr>
        <w:pStyle w:val="8"/>
        <w:widowControl/>
        <w:spacing w:before="0" w:beforeAutospacing="0" w:after="2" w:afterAutospacing="0"/>
        <w:ind w:firstLine="700"/>
        <w:rPr>
          <w:rFonts w:hint="default" w:cs="宋体"/>
        </w:rPr>
      </w:pPr>
      <w:r>
        <w:rPr>
          <w:rFonts w:cs="宋体"/>
          <w:b/>
          <w:bCs/>
          <w:color w:val="000000"/>
          <w:sz w:val="32"/>
          <w:szCs w:val="32"/>
        </w:rPr>
        <w:t>一、部门基本概况</w:t>
      </w:r>
    </w:p>
    <w:p w14:paraId="6DBC63B7">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（一）职能职责</w:t>
      </w:r>
    </w:p>
    <w:p w14:paraId="408353CE">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（二）机构设置</w:t>
      </w:r>
    </w:p>
    <w:p w14:paraId="03D93163">
      <w:pPr>
        <w:widowControl/>
        <w:spacing w:after="2"/>
        <w:ind w:firstLine="643"/>
        <w:rPr>
          <w:rFonts w:ascii="仿宋_GB2312" w:hAnsi="宋体" w:eastAsia="仿宋_GB2312" w:cs="仿宋_GB2312"/>
          <w:kern w:val="0"/>
          <w:szCs w:val="21"/>
        </w:rPr>
      </w:pPr>
      <w:r>
        <w:rPr>
          <w:rFonts w:hint="eastAsia" w:ascii="仿宋_GB2312" w:hAnsi="宋体" w:eastAsia="仿宋_GB2312" w:cs="仿宋_GB2312"/>
          <w:b/>
          <w:bCs/>
          <w:color w:val="000000"/>
          <w:kern w:val="0"/>
          <w:sz w:val="32"/>
          <w:szCs w:val="32"/>
        </w:rPr>
        <w:t>二、部门预算单位构成</w:t>
      </w:r>
      <w:bookmarkStart w:id="0" w:name="_GoBack"/>
      <w:bookmarkEnd w:id="0"/>
    </w:p>
    <w:p w14:paraId="4D292DBF">
      <w:pPr>
        <w:widowControl/>
        <w:spacing w:after="2"/>
        <w:ind w:firstLine="643"/>
        <w:rPr>
          <w:rFonts w:ascii="仿宋_GB2312" w:hAnsi="宋体" w:eastAsia="仿宋_GB2312" w:cs="仿宋_GB2312"/>
          <w:kern w:val="0"/>
          <w:szCs w:val="21"/>
        </w:rPr>
      </w:pPr>
      <w:r>
        <w:rPr>
          <w:rFonts w:hint="eastAsia" w:ascii="仿宋_GB2312" w:hAnsi="宋体" w:eastAsia="仿宋_GB2312" w:cs="仿宋_GB2312"/>
          <w:b/>
          <w:bCs/>
          <w:color w:val="000000"/>
          <w:kern w:val="0"/>
          <w:sz w:val="32"/>
          <w:szCs w:val="32"/>
        </w:rPr>
        <w:t>三、部门收支总体情况</w:t>
      </w:r>
    </w:p>
    <w:p w14:paraId="29B690C9">
      <w:pPr>
        <w:widowControl/>
        <w:spacing w:after="2"/>
        <w:ind w:firstLine="643"/>
        <w:rPr>
          <w:rFonts w:ascii="仿宋_GB2312" w:hAnsi="宋体" w:eastAsia="仿宋_GB2312" w:cs="仿宋_GB2312"/>
          <w:kern w:val="0"/>
          <w:szCs w:val="21"/>
        </w:rPr>
      </w:pPr>
      <w:r>
        <w:rPr>
          <w:rFonts w:hint="eastAsia" w:ascii="仿宋_GB2312" w:hAnsi="宋体" w:eastAsia="仿宋_GB2312" w:cs="仿宋_GB2312"/>
          <w:b/>
          <w:bCs/>
          <w:color w:val="000000"/>
          <w:kern w:val="0"/>
          <w:sz w:val="32"/>
          <w:szCs w:val="32"/>
        </w:rPr>
        <w:t>四、一般公共预算拨款支出</w:t>
      </w:r>
    </w:p>
    <w:p w14:paraId="44B407D4">
      <w:pPr>
        <w:widowControl/>
        <w:spacing w:after="2"/>
        <w:ind w:firstLine="643"/>
        <w:rPr>
          <w:rFonts w:ascii="仿宋_GB2312" w:hAnsi="宋体" w:eastAsia="仿宋_GB2312" w:cs="仿宋_GB2312"/>
          <w:kern w:val="0"/>
          <w:szCs w:val="21"/>
        </w:rPr>
      </w:pPr>
      <w:r>
        <w:rPr>
          <w:rFonts w:hint="eastAsia" w:ascii="仿宋_GB2312" w:hAnsi="宋体" w:eastAsia="仿宋_GB2312" w:cs="仿宋_GB2312"/>
          <w:b/>
          <w:bCs/>
          <w:color w:val="000000"/>
          <w:kern w:val="0"/>
          <w:sz w:val="32"/>
          <w:szCs w:val="32"/>
        </w:rPr>
        <w:t>五、政府性基金预算支出</w:t>
      </w:r>
    </w:p>
    <w:p w14:paraId="36423155">
      <w:pPr>
        <w:widowControl/>
        <w:spacing w:after="2"/>
        <w:ind w:firstLine="643"/>
        <w:rPr>
          <w:rFonts w:ascii="仿宋_GB2312" w:hAnsi="宋体" w:eastAsia="仿宋_GB2312" w:cs="仿宋_GB2312"/>
          <w:kern w:val="0"/>
          <w:szCs w:val="21"/>
        </w:rPr>
      </w:pPr>
      <w:r>
        <w:rPr>
          <w:rFonts w:hint="eastAsia" w:ascii="仿宋_GB2312" w:hAnsi="宋体" w:eastAsia="仿宋_GB2312" w:cs="仿宋_GB2312"/>
          <w:b/>
          <w:bCs/>
          <w:color w:val="000000"/>
          <w:kern w:val="0"/>
          <w:sz w:val="32"/>
          <w:szCs w:val="32"/>
        </w:rPr>
        <w:t>六、其他重要事项的情况说明</w:t>
      </w:r>
    </w:p>
    <w:p w14:paraId="0B6C7AEF">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（一）机关运行经费</w:t>
      </w:r>
    </w:p>
    <w:p w14:paraId="41FC94FF">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（二）“三公”经费预算</w:t>
      </w:r>
    </w:p>
    <w:p w14:paraId="23A2E537">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（三）一般性支出情况</w:t>
      </w:r>
    </w:p>
    <w:p w14:paraId="2F7B3D47">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（四）政府采购情况</w:t>
      </w:r>
    </w:p>
    <w:p w14:paraId="75F43A9B">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（五）国有资产占用使用及新增资产配置情况</w:t>
      </w:r>
    </w:p>
    <w:p w14:paraId="42E23E1C">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（六）预算绩效目标说明</w:t>
      </w:r>
    </w:p>
    <w:p w14:paraId="7B50B856">
      <w:pPr>
        <w:widowControl/>
        <w:spacing w:after="2"/>
        <w:ind w:firstLine="643"/>
        <w:rPr>
          <w:rFonts w:ascii="仿宋_GB2312" w:hAnsi="宋体" w:eastAsia="仿宋_GB2312" w:cs="仿宋_GB2312"/>
          <w:kern w:val="0"/>
          <w:szCs w:val="21"/>
        </w:rPr>
      </w:pPr>
      <w:r>
        <w:rPr>
          <w:rFonts w:hint="eastAsia" w:ascii="仿宋_GB2312" w:hAnsi="宋体" w:eastAsia="仿宋_GB2312" w:cs="仿宋_GB2312"/>
          <w:b/>
          <w:bCs/>
          <w:color w:val="000000"/>
          <w:kern w:val="0"/>
          <w:sz w:val="32"/>
          <w:szCs w:val="32"/>
        </w:rPr>
        <w:t>七、名词解释</w:t>
      </w:r>
    </w:p>
    <w:p w14:paraId="1BB5D868">
      <w:pPr>
        <w:widowControl/>
        <w:spacing w:after="2"/>
        <w:ind w:firstLine="643"/>
        <w:rPr>
          <w:rFonts w:ascii="仿宋_GB2312" w:hAnsi="宋体" w:eastAsia="仿宋_GB2312" w:cs="仿宋_GB2312"/>
          <w:kern w:val="0"/>
          <w:szCs w:val="21"/>
        </w:rPr>
      </w:pPr>
      <w:r>
        <w:rPr>
          <w:rFonts w:hint="eastAsia" w:ascii="仿宋_GB2312" w:hAnsi="宋体" w:eastAsia="仿宋_GB2312" w:cs="仿宋_GB2312"/>
          <w:b/>
          <w:bCs/>
          <w:color w:val="000000"/>
          <w:kern w:val="0"/>
          <w:sz w:val="32"/>
          <w:szCs w:val="32"/>
        </w:rPr>
        <w:t>第二部分 2022年部门预算表</w:t>
      </w:r>
    </w:p>
    <w:p w14:paraId="2C1C9F7A">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1、收支总表</w:t>
      </w:r>
    </w:p>
    <w:p w14:paraId="10E3C85B">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2、收入总表</w:t>
      </w:r>
    </w:p>
    <w:p w14:paraId="4D5A6BB4">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3、支出总表</w:t>
      </w:r>
    </w:p>
    <w:p w14:paraId="6BB5E36C">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4、支出分类（政府预算）</w:t>
      </w:r>
    </w:p>
    <w:p w14:paraId="402FFEFA">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5、支出分类（部门预算）</w:t>
      </w:r>
    </w:p>
    <w:p w14:paraId="52237DFD">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6、财政拨款收支总表</w:t>
      </w:r>
    </w:p>
    <w:p w14:paraId="60D9230E">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7、一般公共预算支出表</w:t>
      </w:r>
    </w:p>
    <w:p w14:paraId="413B8EEE">
      <w:pPr>
        <w:widowControl/>
        <w:spacing w:after="2"/>
        <w:ind w:firstLine="64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 xml:space="preserve">8、工资福利（政府预算） </w:t>
      </w:r>
    </w:p>
    <w:p w14:paraId="7DDFA690">
      <w:pPr>
        <w:widowControl/>
        <w:spacing w:after="2"/>
        <w:ind w:firstLine="64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9、工资福利</w:t>
      </w:r>
    </w:p>
    <w:p w14:paraId="4226480D">
      <w:pPr>
        <w:widowControl/>
        <w:spacing w:after="2"/>
        <w:ind w:firstLine="64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10、个人家庭（政府预算）</w:t>
      </w:r>
    </w:p>
    <w:p w14:paraId="41F340C8">
      <w:pPr>
        <w:widowControl/>
        <w:spacing w:after="2"/>
        <w:ind w:firstLine="64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11、个人家庭</w:t>
      </w:r>
    </w:p>
    <w:p w14:paraId="4DA70493">
      <w:pPr>
        <w:widowControl/>
        <w:spacing w:after="2"/>
        <w:ind w:firstLine="64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12、商品服务（政府预算）</w:t>
      </w:r>
    </w:p>
    <w:p w14:paraId="73911A0A">
      <w:pPr>
        <w:widowControl/>
        <w:spacing w:after="2"/>
        <w:ind w:firstLine="64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13、商品服务</w:t>
      </w:r>
    </w:p>
    <w:p w14:paraId="469DD371">
      <w:pPr>
        <w:widowControl/>
        <w:spacing w:after="2"/>
        <w:ind w:firstLine="64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14、三公</w:t>
      </w:r>
    </w:p>
    <w:p w14:paraId="494CA57D">
      <w:pPr>
        <w:widowControl/>
        <w:spacing w:after="2"/>
        <w:ind w:firstLine="64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15、政府性基金</w:t>
      </w:r>
    </w:p>
    <w:p w14:paraId="266445F8">
      <w:pPr>
        <w:widowControl/>
        <w:spacing w:after="2"/>
        <w:ind w:firstLine="64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16、政府性基金（政府预算）</w:t>
      </w:r>
    </w:p>
    <w:p w14:paraId="7F1AEBE0">
      <w:pPr>
        <w:widowControl/>
        <w:spacing w:after="2"/>
        <w:ind w:firstLine="64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17、政府性基金（部门预算）</w:t>
      </w:r>
    </w:p>
    <w:p w14:paraId="547BCC32">
      <w:pPr>
        <w:widowControl/>
        <w:spacing w:after="2"/>
        <w:ind w:firstLine="64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18、国有资本经营预算</w:t>
      </w:r>
    </w:p>
    <w:p w14:paraId="6B287A87">
      <w:pPr>
        <w:widowControl/>
        <w:spacing w:after="2"/>
        <w:ind w:firstLine="64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19、财政专户管理资金</w:t>
      </w:r>
    </w:p>
    <w:p w14:paraId="5CA6FC74">
      <w:pPr>
        <w:widowControl/>
        <w:spacing w:after="2"/>
        <w:ind w:firstLine="64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20、专项清单</w:t>
      </w:r>
    </w:p>
    <w:p w14:paraId="6C63F6CC">
      <w:pPr>
        <w:widowControl/>
        <w:spacing w:after="2"/>
        <w:ind w:firstLine="643" w:firstLineChars="200"/>
        <w:rPr>
          <w:rFonts w:ascii="仿宋_GB2312" w:hAnsi="宋体" w:eastAsia="仿宋_GB2312" w:cs="仿宋_GB2312"/>
          <w:color w:val="0000FF"/>
          <w:kern w:val="0"/>
          <w:szCs w:val="21"/>
        </w:rPr>
      </w:pPr>
      <w:r>
        <w:rPr>
          <w:rFonts w:hint="eastAsia" w:ascii="仿宋_GB2312" w:hAnsi="宋体" w:eastAsia="仿宋_GB2312" w:cs="仿宋_GB2312"/>
          <w:b/>
          <w:bCs/>
          <w:color w:val="000000"/>
          <w:kern w:val="0"/>
          <w:sz w:val="32"/>
          <w:szCs w:val="32"/>
        </w:rPr>
        <w:t>第一部分 2022年部门预算说明</w:t>
      </w:r>
    </w:p>
    <w:p w14:paraId="54A4C661">
      <w:pPr>
        <w:pStyle w:val="8"/>
        <w:widowControl/>
        <w:spacing w:before="0" w:beforeAutospacing="0" w:after="2" w:afterAutospacing="0"/>
        <w:ind w:firstLine="700"/>
        <w:rPr>
          <w:rFonts w:hint="default" w:cs="宋体"/>
        </w:rPr>
      </w:pPr>
      <w:r>
        <w:rPr>
          <w:rFonts w:cs="宋体"/>
          <w:b/>
          <w:bCs/>
          <w:color w:val="000000"/>
          <w:sz w:val="32"/>
          <w:szCs w:val="32"/>
        </w:rPr>
        <w:t>一、部门基本概况</w:t>
      </w:r>
    </w:p>
    <w:p w14:paraId="2CE7B802">
      <w:pPr>
        <w:ind w:firstLine="640" w:firstLineChars="200"/>
        <w:rPr>
          <w:rFonts w:ascii="仿宋" w:hAnsi="仿宋" w:eastAsia="仿宋" w:cs="仿宋"/>
          <w:sz w:val="32"/>
          <w:szCs w:val="32"/>
        </w:rPr>
      </w:pPr>
      <w:r>
        <w:rPr>
          <w:rFonts w:hint="eastAsia" w:ascii="仿宋" w:hAnsi="仿宋" w:eastAsia="仿宋" w:cs="仿宋"/>
          <w:color w:val="000000"/>
          <w:kern w:val="0"/>
          <w:sz w:val="32"/>
          <w:szCs w:val="32"/>
        </w:rPr>
        <w:t>（一）职能职责 ：</w:t>
      </w:r>
      <w:r>
        <w:rPr>
          <w:rFonts w:hint="eastAsia" w:ascii="仿宋" w:hAnsi="仿宋" w:eastAsia="仿宋" w:cs="仿宋"/>
          <w:sz w:val="32"/>
          <w:szCs w:val="32"/>
        </w:rPr>
        <w:t>根据《中共永州市委办公室永州人民政府办公室关于印发〈道县机构改革方案的通知〉》（永办2019）6号）、《关于道县机构改革涉改科级事业单位调整的批复（永编办发﹝2019）6号）和《关于道县党政部门、人大政协机关、群团机关和涉改事业单位领导职数的批复》（永编办发（2019）21号，本单位其主要职责为：</w:t>
      </w:r>
    </w:p>
    <w:p w14:paraId="61B2E844">
      <w:pPr>
        <w:ind w:firstLine="640" w:firstLineChars="200"/>
        <w:rPr>
          <w:rFonts w:ascii="仿宋" w:hAnsi="仿宋" w:eastAsia="仿宋" w:cs="仿宋"/>
          <w:bCs/>
          <w:sz w:val="32"/>
          <w:szCs w:val="32"/>
        </w:rPr>
      </w:pPr>
      <w:r>
        <w:rPr>
          <w:rFonts w:hint="eastAsia" w:ascii="仿宋" w:hAnsi="仿宋" w:eastAsia="仿宋" w:cs="仿宋"/>
          <w:bCs/>
          <w:sz w:val="32"/>
          <w:szCs w:val="32"/>
        </w:rPr>
        <w:t>⑴拟定本县水库移民开发工作规划及年度工作计划。承担全县水库移民事务的业务指导工作；</w:t>
      </w:r>
    </w:p>
    <w:p w14:paraId="36B89CFB">
      <w:pPr>
        <w:ind w:firstLine="640" w:firstLineChars="200"/>
        <w:rPr>
          <w:rFonts w:ascii="仿宋" w:hAnsi="仿宋" w:eastAsia="仿宋" w:cs="仿宋"/>
          <w:bCs/>
          <w:sz w:val="32"/>
          <w:szCs w:val="32"/>
        </w:rPr>
      </w:pPr>
      <w:r>
        <w:rPr>
          <w:rFonts w:hint="eastAsia" w:ascii="仿宋" w:hAnsi="仿宋" w:eastAsia="仿宋" w:cs="仿宋"/>
          <w:bCs/>
          <w:sz w:val="32"/>
          <w:szCs w:val="32"/>
        </w:rPr>
        <w:t>⑵协助全县水库移民工作法规、规章、制度和政策的研究和起草工作；为全县水库移民依法行政工作提供技术支持和服务保障。</w:t>
      </w:r>
    </w:p>
    <w:p w14:paraId="052967F7">
      <w:pPr>
        <w:ind w:firstLine="640" w:firstLineChars="200"/>
        <w:rPr>
          <w:rFonts w:ascii="仿宋" w:hAnsi="仿宋" w:eastAsia="仿宋" w:cs="仿宋"/>
          <w:bCs/>
          <w:sz w:val="32"/>
          <w:szCs w:val="32"/>
        </w:rPr>
      </w:pPr>
      <w:r>
        <w:rPr>
          <w:rFonts w:hint="eastAsia" w:ascii="仿宋" w:hAnsi="仿宋" w:eastAsia="仿宋" w:cs="仿宋"/>
          <w:bCs/>
          <w:sz w:val="32"/>
          <w:szCs w:val="32"/>
        </w:rPr>
        <w:t>⑶为全县大中型水库工程建设征地实物调查细则、移民安置规划大纲、移民安置规划、移民后期扶持规划审查提供技术支持；协助全县大中型水库移民安置阶段验收和竣工验收的事务工作。</w:t>
      </w:r>
    </w:p>
    <w:p w14:paraId="7C71A323">
      <w:pPr>
        <w:ind w:firstLine="640" w:firstLineChars="200"/>
        <w:rPr>
          <w:rFonts w:ascii="仿宋" w:hAnsi="仿宋" w:eastAsia="仿宋" w:cs="仿宋"/>
          <w:bCs/>
          <w:sz w:val="32"/>
          <w:szCs w:val="32"/>
        </w:rPr>
      </w:pPr>
      <w:r>
        <w:rPr>
          <w:rFonts w:hint="eastAsia" w:ascii="仿宋" w:hAnsi="仿宋" w:eastAsia="仿宋" w:cs="仿宋"/>
          <w:bCs/>
          <w:sz w:val="32"/>
          <w:szCs w:val="32"/>
        </w:rPr>
        <w:t>⑷为全县大中型水库移民安置规划、移民后期扶持规划的审核或审批提供技术支持和服务保障；承担全县移民系统信息管理和综合统计工作。</w:t>
      </w:r>
    </w:p>
    <w:p w14:paraId="4EAFDE54">
      <w:pPr>
        <w:ind w:firstLine="640" w:firstLineChars="200"/>
        <w:rPr>
          <w:rFonts w:ascii="仿宋" w:hAnsi="仿宋" w:eastAsia="仿宋" w:cs="仿宋"/>
          <w:bCs/>
          <w:sz w:val="32"/>
          <w:szCs w:val="32"/>
        </w:rPr>
      </w:pPr>
      <w:r>
        <w:rPr>
          <w:rFonts w:hint="eastAsia" w:ascii="仿宋" w:hAnsi="仿宋" w:eastAsia="仿宋" w:cs="仿宋"/>
          <w:bCs/>
          <w:sz w:val="32"/>
          <w:szCs w:val="32"/>
        </w:rPr>
        <w:t>⑸承担全县大中型水库移民后期扶持规划实施和验收的事务性工作。</w:t>
      </w:r>
    </w:p>
    <w:p w14:paraId="0C762DC0">
      <w:pPr>
        <w:ind w:firstLine="640" w:firstLineChars="200"/>
        <w:rPr>
          <w:rFonts w:ascii="仿宋" w:hAnsi="仿宋" w:eastAsia="仿宋" w:cs="仿宋"/>
          <w:bCs/>
          <w:sz w:val="32"/>
          <w:szCs w:val="32"/>
        </w:rPr>
      </w:pPr>
      <w:r>
        <w:rPr>
          <w:rFonts w:hint="eastAsia" w:ascii="仿宋" w:hAnsi="仿宋" w:eastAsia="仿宋" w:cs="仿宋"/>
          <w:bCs/>
          <w:sz w:val="32"/>
          <w:szCs w:val="32"/>
        </w:rPr>
        <w:t>⑹承担全县水库移民资金管理事务和服务工作；承担全县水库移民资金内部审计、稽察、绩效评价的事务工作；承担全县水库移民后期扶持政策实施情况监测评估工作。</w:t>
      </w:r>
    </w:p>
    <w:p w14:paraId="03BDAF2E">
      <w:pPr>
        <w:ind w:firstLine="640" w:firstLineChars="200"/>
        <w:rPr>
          <w:rFonts w:ascii="仿宋" w:hAnsi="仿宋" w:eastAsia="仿宋" w:cs="仿宋"/>
          <w:bCs/>
          <w:sz w:val="32"/>
          <w:szCs w:val="32"/>
        </w:rPr>
      </w:pPr>
      <w:r>
        <w:rPr>
          <w:rFonts w:hint="eastAsia" w:ascii="仿宋" w:hAnsi="仿宋" w:eastAsia="仿宋" w:cs="仿宋"/>
          <w:bCs/>
          <w:sz w:val="32"/>
          <w:szCs w:val="32"/>
        </w:rPr>
        <w:t>⑺承担全县水库移民信访的事务工作；承担全县水库移民稳定工作指导、协调的事务工作。</w:t>
      </w:r>
    </w:p>
    <w:p w14:paraId="590B7947">
      <w:pPr>
        <w:ind w:firstLine="640" w:firstLineChars="200"/>
        <w:rPr>
          <w:rFonts w:ascii="仿宋" w:hAnsi="仿宋" w:eastAsia="仿宋" w:cs="仿宋"/>
          <w:bCs/>
          <w:sz w:val="32"/>
          <w:szCs w:val="32"/>
        </w:rPr>
      </w:pPr>
      <w:r>
        <w:rPr>
          <w:rFonts w:hint="eastAsia" w:ascii="仿宋" w:hAnsi="仿宋" w:eastAsia="仿宋" w:cs="仿宋"/>
          <w:bCs/>
          <w:sz w:val="32"/>
          <w:szCs w:val="32"/>
        </w:rPr>
        <w:t>⑻承担全县水库移民培训管理的事务工作，推广与移民区生产结构相关的实用科学技术，对库区移民生产开发、企业等项目进行技术咨询、提供信息和产、供、销服务。</w:t>
      </w:r>
    </w:p>
    <w:p w14:paraId="3C85F50E">
      <w:pPr>
        <w:ind w:firstLine="640" w:firstLineChars="200"/>
        <w:rPr>
          <w:rFonts w:ascii="仿宋" w:hAnsi="仿宋" w:eastAsia="仿宋" w:cs="仿宋"/>
          <w:bCs/>
          <w:sz w:val="32"/>
          <w:szCs w:val="32"/>
        </w:rPr>
      </w:pPr>
      <w:r>
        <w:rPr>
          <w:rFonts w:hint="eastAsia" w:ascii="仿宋" w:hAnsi="仿宋" w:eastAsia="仿宋" w:cs="仿宋"/>
          <w:bCs/>
          <w:sz w:val="32"/>
          <w:szCs w:val="32"/>
        </w:rPr>
        <w:t>⑼协助有关部门推动水库移民对口帮扶工作。</w:t>
      </w:r>
    </w:p>
    <w:p w14:paraId="2665B8DC">
      <w:pPr>
        <w:ind w:firstLine="640" w:firstLineChars="200"/>
        <w:rPr>
          <w:rFonts w:ascii="仿宋" w:hAnsi="仿宋" w:eastAsia="仿宋" w:cs="仿宋"/>
          <w:bCs/>
          <w:sz w:val="32"/>
          <w:szCs w:val="32"/>
        </w:rPr>
      </w:pPr>
      <w:r>
        <w:rPr>
          <w:rFonts w:hint="eastAsia" w:ascii="仿宋" w:hAnsi="仿宋" w:eastAsia="仿宋" w:cs="仿宋"/>
          <w:bCs/>
          <w:sz w:val="32"/>
          <w:szCs w:val="32"/>
        </w:rPr>
        <w:t>⑽承担上级部门和县水利局交办的其职责范围内的工作。</w:t>
      </w:r>
    </w:p>
    <w:p w14:paraId="73C37AFC">
      <w:pPr>
        <w:widowControl/>
        <w:spacing w:after="2"/>
        <w:ind w:firstLine="640"/>
        <w:rPr>
          <w:rFonts w:ascii="仿宋" w:hAnsi="仿宋" w:eastAsia="仿宋" w:cs="仿宋"/>
          <w:kern w:val="0"/>
          <w:sz w:val="32"/>
          <w:szCs w:val="32"/>
        </w:rPr>
      </w:pPr>
    </w:p>
    <w:p w14:paraId="274A7894">
      <w:pPr>
        <w:numPr>
          <w:ilvl w:val="0"/>
          <w:numId w:val="1"/>
        </w:numPr>
        <w:ind w:firstLine="640" w:firstLineChars="200"/>
        <w:rPr>
          <w:rFonts w:ascii="仿宋" w:hAnsi="仿宋" w:eastAsia="仿宋" w:cs="仿宋"/>
          <w:bCs/>
          <w:sz w:val="32"/>
          <w:szCs w:val="32"/>
        </w:rPr>
      </w:pPr>
      <w:r>
        <w:rPr>
          <w:rFonts w:hint="eastAsia" w:ascii="仿宋" w:hAnsi="仿宋" w:eastAsia="仿宋" w:cs="仿宋"/>
          <w:color w:val="000000"/>
          <w:kern w:val="0"/>
          <w:sz w:val="32"/>
          <w:szCs w:val="32"/>
        </w:rPr>
        <w:t>机构设置 ：道县水利和库区移民事务中心为县水利局所属正科级公益一类事业单位，</w:t>
      </w:r>
      <w:r>
        <w:rPr>
          <w:rFonts w:hint="eastAsia" w:ascii="仿宋" w:hAnsi="仿宋" w:eastAsia="仿宋" w:cs="仿宋"/>
          <w:bCs/>
          <w:sz w:val="32"/>
          <w:szCs w:val="32"/>
        </w:rPr>
        <w:t>所属事业单位：</w:t>
      </w:r>
      <w:r>
        <w:rPr>
          <w:rFonts w:hint="eastAsia" w:ascii="仿宋" w:hAnsi="仿宋" w:eastAsia="仿宋" w:cs="仿宋"/>
          <w:color w:val="000000"/>
          <w:kern w:val="0"/>
          <w:sz w:val="32"/>
          <w:szCs w:val="32"/>
        </w:rPr>
        <w:t>道县移民科技服务所，为道县水库和库区移民事务中心所属正股级公益一类事业单位，全额</w:t>
      </w:r>
      <w:r>
        <w:rPr>
          <w:rFonts w:hint="eastAsia" w:ascii="仿宋" w:hAnsi="仿宋" w:eastAsia="仿宋" w:cs="仿宋"/>
          <w:color w:val="000000"/>
          <w:kern w:val="0"/>
          <w:sz w:val="32"/>
          <w:szCs w:val="32"/>
          <w:lang w:eastAsia="zh-CN"/>
        </w:rPr>
        <w:t>拨款</w:t>
      </w:r>
      <w:r>
        <w:rPr>
          <w:rFonts w:hint="eastAsia" w:ascii="仿宋" w:hAnsi="仿宋" w:eastAsia="仿宋" w:cs="仿宋"/>
          <w:color w:val="000000"/>
          <w:kern w:val="0"/>
          <w:sz w:val="32"/>
          <w:szCs w:val="32"/>
        </w:rPr>
        <w:t>事业编制45人，实有编制人员59人，其中参公管理人员12人，事业管理人员7人，工勤人员40人，合计59人，机动车辆0台。</w:t>
      </w:r>
    </w:p>
    <w:p w14:paraId="794C67DA">
      <w:pPr>
        <w:widowControl/>
        <w:spacing w:line="600" w:lineRule="exact"/>
        <w:ind w:firstLine="643" w:firstLineChars="200"/>
        <w:jc w:val="left"/>
        <w:rPr>
          <w:rFonts w:ascii="仿宋_GB2312" w:hAnsi="宋体" w:eastAsia="仿宋_GB2312" w:cs="仿宋_GB2312"/>
          <w:color w:val="000000"/>
          <w:kern w:val="0"/>
          <w:szCs w:val="21"/>
        </w:rPr>
      </w:pPr>
      <w:r>
        <w:rPr>
          <w:rFonts w:hint="eastAsia" w:ascii="仿宋_GB2312" w:hAnsi="宋体" w:eastAsia="仿宋_GB2312" w:cs="仿宋_GB2312"/>
          <w:b/>
          <w:bCs/>
          <w:color w:val="000000"/>
          <w:kern w:val="0"/>
          <w:sz w:val="32"/>
          <w:szCs w:val="32"/>
        </w:rPr>
        <w:t>二、部门预算单位构成</w:t>
      </w:r>
    </w:p>
    <w:p w14:paraId="72F48311">
      <w:pPr>
        <w:widowControl/>
        <w:spacing w:line="600" w:lineRule="exact"/>
        <w:ind w:firstLine="627" w:firstLineChars="196"/>
        <w:jc w:val="left"/>
        <w:rPr>
          <w:rFonts w:ascii="仿宋" w:hAnsi="仿宋" w:eastAsia="仿宋" w:cs="仿宋"/>
          <w:sz w:val="32"/>
          <w:szCs w:val="32"/>
        </w:rPr>
      </w:pPr>
      <w:r>
        <w:rPr>
          <w:rFonts w:hint="eastAsia" w:ascii="仿宋" w:hAnsi="仿宋" w:eastAsia="仿宋" w:cs="仿宋"/>
          <w:sz w:val="32"/>
          <w:szCs w:val="32"/>
        </w:rPr>
        <w:t>纳入2022年部门预算编制范围的二级预算单位包括：</w:t>
      </w:r>
    </w:p>
    <w:p w14:paraId="6272B981">
      <w:pPr>
        <w:widowControl/>
        <w:spacing w:line="600" w:lineRule="exact"/>
        <w:ind w:firstLine="627" w:firstLineChars="196"/>
        <w:jc w:val="left"/>
        <w:rPr>
          <w:rFonts w:ascii="仿宋" w:hAnsi="仿宋" w:eastAsia="仿宋" w:cs="仿宋"/>
          <w:sz w:val="32"/>
          <w:szCs w:val="32"/>
        </w:rPr>
      </w:pPr>
      <w:r>
        <w:rPr>
          <w:rFonts w:hint="eastAsia" w:ascii="仿宋" w:hAnsi="仿宋" w:eastAsia="仿宋" w:cs="仿宋"/>
          <w:sz w:val="32"/>
          <w:szCs w:val="32"/>
        </w:rPr>
        <w:t>1、道县水利和库区移民事务中心部门本级。</w:t>
      </w:r>
    </w:p>
    <w:p w14:paraId="37006AA6">
      <w:pPr>
        <w:widowControl/>
        <w:spacing w:line="600" w:lineRule="exact"/>
        <w:ind w:firstLine="627" w:firstLineChars="196"/>
        <w:jc w:val="left"/>
        <w:rPr>
          <w:rFonts w:ascii="仿宋" w:hAnsi="仿宋" w:eastAsia="仿宋" w:cs="仿宋"/>
          <w:sz w:val="32"/>
          <w:szCs w:val="32"/>
        </w:rPr>
      </w:pPr>
      <w:r>
        <w:rPr>
          <w:rFonts w:hint="eastAsia" w:ascii="仿宋" w:hAnsi="仿宋" w:eastAsia="仿宋" w:cs="仿宋"/>
          <w:sz w:val="32"/>
          <w:szCs w:val="32"/>
        </w:rPr>
        <w:t>2、道县移民科技服务所。</w:t>
      </w:r>
    </w:p>
    <w:p w14:paraId="03EEA3EA">
      <w:pPr>
        <w:ind w:firstLine="643" w:firstLineChars="200"/>
        <w:rPr>
          <w:rFonts w:ascii="仿宋" w:hAnsi="仿宋" w:eastAsia="仿宋" w:cs="仿宋"/>
          <w:sz w:val="32"/>
          <w:szCs w:val="32"/>
        </w:rPr>
      </w:pPr>
      <w:r>
        <w:rPr>
          <w:rFonts w:hint="eastAsia" w:ascii="仿宋" w:hAnsi="仿宋" w:eastAsia="仿宋" w:cs="仿宋"/>
          <w:b/>
          <w:bCs/>
          <w:color w:val="000000"/>
          <w:kern w:val="0"/>
          <w:sz w:val="32"/>
          <w:szCs w:val="32"/>
        </w:rPr>
        <w:t>三、部门收支总体情况</w:t>
      </w:r>
    </w:p>
    <w:p w14:paraId="247CA82F">
      <w:pPr>
        <w:ind w:firstLine="643" w:firstLineChars="200"/>
        <w:rPr>
          <w:rFonts w:ascii="仿宋" w:hAnsi="仿宋" w:eastAsia="仿宋" w:cs="仿宋"/>
          <w:sz w:val="32"/>
          <w:szCs w:val="32"/>
        </w:rPr>
      </w:pPr>
      <w:r>
        <w:rPr>
          <w:rFonts w:hint="eastAsia" w:ascii="仿宋" w:hAnsi="仿宋" w:eastAsia="仿宋" w:cs="仿宋"/>
          <w:b/>
          <w:bCs/>
          <w:sz w:val="32"/>
          <w:szCs w:val="32"/>
        </w:rPr>
        <w:t>1、收入预算:</w:t>
      </w:r>
      <w:r>
        <w:rPr>
          <w:rFonts w:hint="eastAsia" w:ascii="仿宋" w:hAnsi="仿宋" w:eastAsia="仿宋" w:cs="仿宋"/>
          <w:color w:val="000000"/>
          <w:kern w:val="0"/>
          <w:sz w:val="32"/>
          <w:szCs w:val="32"/>
        </w:rPr>
        <w:t>包括一般预算拨款收入、政府性基金收入、上级补助收入，以及经营收入、事业收入等单位资金。2022年本部门收入预算590.43万元，其中，一般公共预算拨款收入590.43万元。</w:t>
      </w:r>
      <w:r>
        <w:rPr>
          <w:rFonts w:hint="eastAsia" w:ascii="仿宋" w:hAnsi="仿宋" w:eastAsia="仿宋" w:cs="仿宋"/>
          <w:sz w:val="32"/>
          <w:szCs w:val="32"/>
        </w:rPr>
        <w:t>收入较去年减少341.21万元，主要是水淹区移民专项和移民“十四五”规划和移民信息采集费用未列入本年预算，整村推进移民美丽家园建设项目前期工作经费减少。</w:t>
      </w:r>
    </w:p>
    <w:p w14:paraId="5D6AE63D">
      <w:pPr>
        <w:ind w:firstLine="640" w:firstLineChars="200"/>
        <w:rPr>
          <w:rFonts w:ascii="仿宋" w:hAnsi="仿宋" w:eastAsia="仿宋" w:cs="仿宋"/>
          <w:sz w:val="32"/>
          <w:szCs w:val="32"/>
        </w:rPr>
      </w:pPr>
      <w:r>
        <w:rPr>
          <w:rFonts w:hint="eastAsia" w:ascii="仿宋" w:hAnsi="仿宋" w:eastAsia="仿宋" w:cs="仿宋"/>
          <w:sz w:val="32"/>
          <w:szCs w:val="32"/>
        </w:rPr>
        <w:t>2、支出预算：2022年支出预算为590.43万元；其中：工资福利支出451.93万元，一般商品和服务支出82.2万元,对个人和家庭的补助支出6.3万元,专项商品和服务支出50万元。支出较去年减少341.21万元，主要是水淹区移民专项和移民“十四五”规划和移民信息采集费用未列入本年预算，整村推进移民美丽家园建设项目前期工作经费减少。</w:t>
      </w:r>
    </w:p>
    <w:p w14:paraId="75B10031">
      <w:pPr>
        <w:ind w:firstLine="643" w:firstLineChars="200"/>
        <w:rPr>
          <w:rFonts w:ascii="仿宋" w:hAnsi="仿宋" w:eastAsia="仿宋" w:cs="仿宋"/>
          <w:b/>
          <w:sz w:val="32"/>
          <w:szCs w:val="32"/>
        </w:rPr>
      </w:pPr>
      <w:r>
        <w:rPr>
          <w:rFonts w:hint="eastAsia" w:ascii="仿宋" w:hAnsi="仿宋" w:eastAsia="仿宋" w:cs="仿宋"/>
          <w:b/>
          <w:sz w:val="32"/>
          <w:szCs w:val="32"/>
        </w:rPr>
        <w:t>四、一般公共预算拨款支出预算</w:t>
      </w:r>
    </w:p>
    <w:p w14:paraId="7024AAEF">
      <w:pPr>
        <w:widowControl/>
        <w:spacing w:after="2"/>
        <w:ind w:firstLine="660"/>
        <w:rPr>
          <w:rFonts w:ascii="仿宋" w:hAnsi="仿宋" w:eastAsia="仿宋" w:cs="仿宋"/>
          <w:kern w:val="0"/>
          <w:sz w:val="32"/>
          <w:szCs w:val="32"/>
        </w:rPr>
      </w:pPr>
      <w:r>
        <w:rPr>
          <w:rFonts w:hint="eastAsia" w:ascii="仿宋" w:hAnsi="仿宋" w:eastAsia="仿宋" w:cs="仿宋"/>
          <w:color w:val="000000"/>
          <w:kern w:val="0"/>
          <w:sz w:val="32"/>
          <w:szCs w:val="32"/>
        </w:rPr>
        <w:t xml:space="preserve">2022年本部门一般公共预算拨款支出预算590.43万元，具体安排情况如下： </w:t>
      </w:r>
    </w:p>
    <w:p w14:paraId="2421E938">
      <w:pPr>
        <w:widowControl/>
        <w:spacing w:after="2"/>
        <w:ind w:firstLine="643" w:firstLineChars="200"/>
        <w:rPr>
          <w:rFonts w:ascii="仿宋_GB2312" w:hAnsi="宋体" w:eastAsia="仿宋_GB2312" w:cs="仿宋_GB2312"/>
          <w:color w:val="000000"/>
          <w:kern w:val="0"/>
          <w:szCs w:val="21"/>
        </w:rPr>
      </w:pPr>
      <w:r>
        <w:rPr>
          <w:rFonts w:hint="eastAsia" w:ascii="仿宋_GB2312" w:hAnsi="宋体" w:eastAsia="仿宋_GB2312" w:cs="仿宋_GB2312"/>
          <w:b/>
          <w:bCs/>
          <w:color w:val="000000"/>
          <w:kern w:val="0"/>
          <w:sz w:val="32"/>
          <w:szCs w:val="32"/>
        </w:rPr>
        <w:t>（一）基本支出：</w:t>
      </w:r>
      <w:r>
        <w:rPr>
          <w:rFonts w:hint="eastAsia" w:ascii="仿宋" w:hAnsi="仿宋" w:eastAsia="仿宋" w:cs="仿宋"/>
          <w:color w:val="000000"/>
          <w:kern w:val="0"/>
          <w:sz w:val="32"/>
          <w:szCs w:val="32"/>
        </w:rPr>
        <w:t xml:space="preserve">2022年本部门基本支出预算数540.43万元，主要是为保障部门正常运转、完成日常工作任务而发生的各项支出，包括用于工资福利支出等人员经费以及办公费、印刷费、水电费、办公设备购置等公用经费。 </w:t>
      </w:r>
    </w:p>
    <w:p w14:paraId="0C0655D4">
      <w:pPr>
        <w:widowControl/>
        <w:spacing w:after="2"/>
        <w:ind w:firstLine="660"/>
        <w:rPr>
          <w:rFonts w:ascii="仿宋_GB2312" w:hAnsi="宋体" w:eastAsia="仿宋_GB2312" w:cs="仿宋_GB2312"/>
          <w:color w:val="000000"/>
          <w:kern w:val="0"/>
          <w:sz w:val="32"/>
          <w:szCs w:val="32"/>
        </w:rPr>
      </w:pPr>
      <w:r>
        <w:rPr>
          <w:rFonts w:hint="eastAsia" w:ascii="仿宋_GB2312" w:hAnsi="宋体" w:eastAsia="仿宋_GB2312" w:cs="仿宋_GB2312"/>
          <w:b/>
          <w:bCs/>
          <w:color w:val="000000"/>
          <w:kern w:val="0"/>
          <w:sz w:val="32"/>
          <w:szCs w:val="32"/>
        </w:rPr>
        <w:t>（二）项目支出：</w:t>
      </w:r>
      <w:r>
        <w:rPr>
          <w:rFonts w:hint="eastAsia" w:ascii="仿宋" w:hAnsi="仿宋" w:eastAsia="仿宋" w:cs="仿宋"/>
          <w:color w:val="000000"/>
          <w:kern w:val="0"/>
          <w:sz w:val="32"/>
          <w:szCs w:val="32"/>
        </w:rPr>
        <w:t>2022年本部门项目支出预算50万元，主要是部门为完成事业发展目标而发生的支出，包括有关事业发展专项、专项业务费、基本建设支出等，其中：专项商</w:t>
      </w:r>
      <w:r>
        <w:rPr>
          <w:rFonts w:hint="eastAsia" w:ascii="仿宋_GB2312" w:hAnsi="宋体" w:eastAsia="仿宋_GB2312" w:cs="仿宋_GB2312"/>
          <w:color w:val="000000"/>
          <w:kern w:val="0"/>
          <w:sz w:val="32"/>
          <w:szCs w:val="32"/>
        </w:rPr>
        <w:t xml:space="preserve">品和服务支出50万元，主要用于整村推进移民美丽家园建设项目前期工作经费等方面。 </w:t>
      </w:r>
    </w:p>
    <w:p w14:paraId="435EBC9A">
      <w:pPr>
        <w:widowControl/>
        <w:spacing w:after="2"/>
        <w:ind w:firstLine="643"/>
        <w:rPr>
          <w:rFonts w:ascii="仿宋" w:hAnsi="仿宋" w:eastAsia="仿宋" w:cs="仿宋"/>
          <w:kern w:val="0"/>
          <w:szCs w:val="21"/>
        </w:rPr>
      </w:pPr>
      <w:r>
        <w:rPr>
          <w:rFonts w:hint="eastAsia" w:ascii="仿宋" w:hAnsi="仿宋" w:eastAsia="仿宋" w:cs="仿宋"/>
          <w:b/>
          <w:bCs/>
          <w:color w:val="000000"/>
          <w:kern w:val="0"/>
          <w:sz w:val="32"/>
          <w:szCs w:val="32"/>
        </w:rPr>
        <w:t>五、政府性基金预算支出</w:t>
      </w:r>
    </w:p>
    <w:p w14:paraId="64972047">
      <w:pPr>
        <w:widowControl/>
        <w:spacing w:after="2"/>
        <w:ind w:firstLine="640" w:firstLineChars="200"/>
        <w:rPr>
          <w:rFonts w:ascii="仿宋" w:hAnsi="仿宋" w:eastAsia="仿宋" w:cs="仿宋"/>
          <w:sz w:val="32"/>
          <w:szCs w:val="32"/>
        </w:rPr>
      </w:pPr>
      <w:r>
        <w:rPr>
          <w:rFonts w:hint="eastAsia" w:ascii="仿宋" w:hAnsi="仿宋" w:eastAsia="仿宋" w:cs="仿宋"/>
          <w:color w:val="000000"/>
          <w:kern w:val="0"/>
          <w:sz w:val="32"/>
          <w:szCs w:val="32"/>
        </w:rPr>
        <w:t>2022年本部门无政府性基金安排的支出。</w:t>
      </w:r>
    </w:p>
    <w:p w14:paraId="418DE115">
      <w:pPr>
        <w:widowControl/>
        <w:spacing w:after="2"/>
        <w:ind w:firstLine="643"/>
        <w:rPr>
          <w:rFonts w:ascii="仿宋" w:hAnsi="仿宋" w:eastAsia="仿宋" w:cs="仿宋"/>
          <w:kern w:val="0"/>
          <w:szCs w:val="21"/>
        </w:rPr>
      </w:pPr>
      <w:r>
        <w:rPr>
          <w:rFonts w:hint="eastAsia" w:ascii="仿宋" w:hAnsi="仿宋" w:eastAsia="仿宋" w:cs="仿宋"/>
          <w:b/>
          <w:bCs/>
          <w:color w:val="000000"/>
          <w:kern w:val="0"/>
          <w:sz w:val="32"/>
          <w:szCs w:val="32"/>
        </w:rPr>
        <w:t>六、其他重要事项的情况说明</w:t>
      </w:r>
    </w:p>
    <w:p w14:paraId="2177AB5B">
      <w:pPr>
        <w:widowControl/>
        <w:spacing w:line="600" w:lineRule="exact"/>
        <w:ind w:firstLine="660"/>
        <w:jc w:val="left"/>
        <w:rPr>
          <w:rFonts w:ascii="仿宋" w:hAnsi="仿宋" w:eastAsia="仿宋" w:cs="仿宋"/>
          <w:b/>
          <w:bCs/>
          <w:sz w:val="32"/>
          <w:szCs w:val="32"/>
        </w:rPr>
      </w:pPr>
      <w:r>
        <w:rPr>
          <w:rFonts w:hint="eastAsia" w:ascii="仿宋" w:hAnsi="仿宋" w:eastAsia="仿宋" w:cs="仿宋"/>
          <w:b/>
          <w:bCs/>
          <w:sz w:val="32"/>
          <w:szCs w:val="32"/>
        </w:rPr>
        <w:t>（一）机关运行经费</w:t>
      </w:r>
    </w:p>
    <w:p w14:paraId="558E9F92">
      <w:pPr>
        <w:ind w:firstLine="640" w:firstLineChars="200"/>
        <w:rPr>
          <w:rFonts w:ascii="仿宋" w:hAnsi="仿宋" w:eastAsia="仿宋" w:cs="仿宋"/>
          <w:sz w:val="32"/>
          <w:szCs w:val="32"/>
        </w:rPr>
      </w:pPr>
      <w:r>
        <w:rPr>
          <w:rFonts w:hint="eastAsia" w:ascii="仿宋" w:hAnsi="仿宋" w:eastAsia="仿宋" w:cs="仿宋"/>
          <w:color w:val="000000"/>
          <w:kern w:val="0"/>
          <w:sz w:val="32"/>
          <w:szCs w:val="32"/>
        </w:rPr>
        <w:t>2022年本部门机关运行经费82.2万元，比上年预算增加8.7万元，增长比例11.8%，主要是工会经费增长较多。</w:t>
      </w:r>
    </w:p>
    <w:p w14:paraId="1C72C70C">
      <w:pPr>
        <w:widowControl/>
        <w:spacing w:line="600" w:lineRule="exact"/>
        <w:ind w:firstLine="660"/>
        <w:rPr>
          <w:rFonts w:ascii="仿宋" w:hAnsi="仿宋" w:eastAsia="仿宋" w:cs="仿宋"/>
          <w:b/>
          <w:bCs/>
          <w:sz w:val="32"/>
          <w:szCs w:val="32"/>
        </w:rPr>
      </w:pPr>
      <w:r>
        <w:rPr>
          <w:rFonts w:hint="eastAsia" w:ascii="仿宋" w:hAnsi="仿宋" w:eastAsia="仿宋" w:cs="仿宋"/>
          <w:b/>
          <w:bCs/>
          <w:sz w:val="32"/>
          <w:szCs w:val="32"/>
        </w:rPr>
        <w:t>（二）“三公”经费预算</w:t>
      </w:r>
    </w:p>
    <w:p w14:paraId="2FA3FAB3">
      <w:pP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2022年本部门“三公”经费预算数为9.20万元，其中，公务接待费9.20万元，公务用车购置及运行费0万元（其中，公务用车购置费0万元，公务用车运行费0万元），因公出国（境）费0万元。2022年“三公”经费预算较2021年相比减少0.4万元。</w:t>
      </w:r>
    </w:p>
    <w:p w14:paraId="14B29446">
      <w:pPr>
        <w:widowControl/>
        <w:spacing w:after="2"/>
        <w:ind w:firstLine="660"/>
        <w:rPr>
          <w:rFonts w:ascii="宋体" w:hAnsi="宋体" w:eastAsia="宋体" w:cs="宋体"/>
          <w:kern w:val="0"/>
          <w:szCs w:val="21"/>
        </w:rPr>
      </w:pPr>
      <w:r>
        <w:rPr>
          <w:rFonts w:hint="eastAsia" w:ascii="仿宋_GB2312" w:hAnsi="宋体" w:eastAsia="仿宋_GB2312" w:cs="仿宋_GB2312"/>
          <w:b/>
          <w:bCs/>
          <w:color w:val="000000"/>
          <w:kern w:val="0"/>
          <w:sz w:val="32"/>
          <w:szCs w:val="32"/>
        </w:rPr>
        <w:t>（</w:t>
      </w:r>
      <w:r>
        <w:rPr>
          <w:rFonts w:hint="eastAsia" w:ascii="楷体_GB2312" w:hAnsi="宋体" w:eastAsia="楷体_GB2312" w:cs="楷体_GB2312"/>
          <w:b/>
          <w:bCs/>
          <w:color w:val="000000"/>
          <w:kern w:val="0"/>
          <w:sz w:val="32"/>
          <w:szCs w:val="32"/>
        </w:rPr>
        <w:t>三</w:t>
      </w:r>
      <w:r>
        <w:rPr>
          <w:rFonts w:hint="eastAsia" w:ascii="仿宋_GB2312" w:hAnsi="宋体" w:eastAsia="仿宋_GB2312" w:cs="仿宋_GB2312"/>
          <w:b/>
          <w:bCs/>
          <w:color w:val="000000"/>
          <w:kern w:val="0"/>
          <w:sz w:val="32"/>
          <w:szCs w:val="32"/>
        </w:rPr>
        <w:t>）一般性支出情况</w:t>
      </w:r>
    </w:p>
    <w:p w14:paraId="64E06A0A">
      <w:pPr>
        <w:widowControl/>
        <w:spacing w:after="2"/>
        <w:ind w:firstLine="660"/>
        <w:rPr>
          <w:rFonts w:ascii="宋体" w:hAnsi="宋体"/>
          <w:sz w:val="32"/>
          <w:szCs w:val="32"/>
        </w:rPr>
      </w:pPr>
      <w:r>
        <w:rPr>
          <w:rFonts w:hint="eastAsia" w:ascii="仿宋" w:hAnsi="仿宋" w:eastAsia="仿宋" w:cs="仿宋"/>
          <w:color w:val="000000"/>
          <w:kern w:val="0"/>
          <w:sz w:val="32"/>
          <w:szCs w:val="32"/>
        </w:rPr>
        <w:t>2022年本部门</w:t>
      </w:r>
      <w:r>
        <w:rPr>
          <w:rFonts w:hint="eastAsia" w:ascii="仿宋" w:hAnsi="仿宋" w:eastAsia="仿宋" w:cs="仿宋"/>
          <w:sz w:val="32"/>
          <w:szCs w:val="32"/>
        </w:rPr>
        <w:t>办公费5万元，印刷费3.2万元，咨询费1万元，手续费1万元，水费0.40万元，电费4.00万元，邮电费1.00万元，差旅费3.2万元，维修（护）费3.0万元，租赁费8.6万元，会议费2.00万元，培训费2.00万元，公务接待费9.20万元，劳务费3.2万元，工会经费18.2万元，福利费11万元，其他商品和服务支出6.2万元。</w:t>
      </w:r>
    </w:p>
    <w:p w14:paraId="1637FD0A">
      <w:pPr>
        <w:widowControl/>
        <w:spacing w:after="2"/>
        <w:ind w:firstLine="643" w:firstLineChars="200"/>
        <w:rPr>
          <w:rFonts w:ascii="宋体" w:hAnsi="宋体" w:eastAsia="宋体" w:cs="宋体"/>
          <w:kern w:val="0"/>
          <w:szCs w:val="21"/>
        </w:rPr>
      </w:pPr>
      <w:r>
        <w:rPr>
          <w:rFonts w:hint="eastAsia" w:ascii="仿宋_GB2312" w:hAnsi="宋体" w:eastAsia="仿宋_GB2312" w:cs="仿宋_GB2312"/>
          <w:b/>
          <w:bCs/>
          <w:color w:val="000000"/>
          <w:kern w:val="0"/>
          <w:sz w:val="32"/>
          <w:szCs w:val="32"/>
        </w:rPr>
        <w:t>（</w:t>
      </w:r>
      <w:r>
        <w:rPr>
          <w:rFonts w:hint="eastAsia" w:ascii="楷体_GB2312" w:hAnsi="宋体" w:eastAsia="楷体_GB2312" w:cs="楷体_GB2312"/>
          <w:b/>
          <w:bCs/>
          <w:color w:val="000000"/>
          <w:kern w:val="0"/>
          <w:sz w:val="32"/>
          <w:szCs w:val="32"/>
        </w:rPr>
        <w:t>四</w:t>
      </w:r>
      <w:r>
        <w:rPr>
          <w:rFonts w:hint="eastAsia" w:ascii="仿宋_GB2312" w:hAnsi="宋体" w:eastAsia="仿宋_GB2312" w:cs="仿宋_GB2312"/>
          <w:b/>
          <w:bCs/>
          <w:color w:val="000000"/>
          <w:kern w:val="0"/>
          <w:sz w:val="32"/>
          <w:szCs w:val="32"/>
        </w:rPr>
        <w:t>）政府采购情况</w:t>
      </w:r>
    </w:p>
    <w:p w14:paraId="0E4A36DF">
      <w:pPr>
        <w:widowControl/>
        <w:spacing w:after="2"/>
        <w:ind w:firstLine="660"/>
        <w:rPr>
          <w:rFonts w:ascii="仿宋" w:hAnsi="仿宋" w:eastAsia="仿宋" w:cs="仿宋"/>
          <w:kern w:val="0"/>
          <w:sz w:val="32"/>
          <w:szCs w:val="32"/>
        </w:rPr>
      </w:pPr>
      <w:r>
        <w:rPr>
          <w:rFonts w:hint="eastAsia" w:ascii="仿宋" w:hAnsi="仿宋" w:eastAsia="仿宋" w:cs="仿宋"/>
          <w:color w:val="000000"/>
          <w:kern w:val="0"/>
          <w:sz w:val="32"/>
          <w:szCs w:val="32"/>
        </w:rPr>
        <w:t xml:space="preserve">2022年本部门政府采购预算总额0万元，其中，货物类采购预算0万元；工程类采购预算0万元；服务类采购预算0万元。 </w:t>
      </w:r>
    </w:p>
    <w:p w14:paraId="53EB332E">
      <w:pPr>
        <w:widowControl/>
        <w:spacing w:after="2"/>
        <w:ind w:firstLine="660"/>
        <w:rPr>
          <w:rFonts w:ascii="宋体" w:hAnsi="宋体" w:eastAsia="宋体" w:cs="宋体"/>
          <w:kern w:val="0"/>
          <w:szCs w:val="21"/>
        </w:rPr>
      </w:pPr>
      <w:r>
        <w:rPr>
          <w:rFonts w:hint="eastAsia" w:ascii="仿宋_GB2312" w:hAnsi="宋体" w:eastAsia="仿宋_GB2312" w:cs="仿宋_GB2312"/>
          <w:b/>
          <w:bCs/>
          <w:color w:val="000000"/>
          <w:kern w:val="0"/>
          <w:sz w:val="32"/>
          <w:szCs w:val="32"/>
        </w:rPr>
        <w:t>（</w:t>
      </w:r>
      <w:r>
        <w:rPr>
          <w:rFonts w:hint="eastAsia" w:ascii="楷体_GB2312" w:hAnsi="宋体" w:eastAsia="楷体_GB2312" w:cs="楷体_GB2312"/>
          <w:b/>
          <w:bCs/>
          <w:color w:val="000000"/>
          <w:kern w:val="0"/>
          <w:sz w:val="32"/>
          <w:szCs w:val="32"/>
        </w:rPr>
        <w:t>五</w:t>
      </w:r>
      <w:r>
        <w:rPr>
          <w:rFonts w:hint="eastAsia" w:ascii="仿宋_GB2312" w:hAnsi="宋体" w:eastAsia="仿宋_GB2312" w:cs="仿宋_GB2312"/>
          <w:b/>
          <w:bCs/>
          <w:color w:val="000000"/>
          <w:kern w:val="0"/>
          <w:sz w:val="32"/>
          <w:szCs w:val="32"/>
        </w:rPr>
        <w:t>）国有资产占用使用及新增资产配置情况</w:t>
      </w:r>
    </w:p>
    <w:p w14:paraId="1F3D56E4">
      <w:pPr>
        <w:widowControl/>
        <w:spacing w:after="2"/>
        <w:ind w:firstLine="660"/>
        <w:rPr>
          <w:rFonts w:ascii="仿宋" w:hAnsi="仿宋" w:eastAsia="仿宋" w:cs="仿宋"/>
          <w:kern w:val="0"/>
          <w:sz w:val="32"/>
          <w:szCs w:val="32"/>
        </w:rPr>
      </w:pPr>
      <w:r>
        <w:rPr>
          <w:rFonts w:hint="eastAsia" w:ascii="仿宋" w:hAnsi="仿宋" w:eastAsia="仿宋" w:cs="仿宋"/>
          <w:color w:val="000000"/>
          <w:kern w:val="0"/>
          <w:sz w:val="32"/>
          <w:szCs w:val="32"/>
        </w:rPr>
        <w:t xml:space="preserve">截至2021年12月底，本部门共有公务用车0辆，其中，机要通信用车0辆，应急保障用车0辆，执法执勤用车0辆，特种专业技术用车0辆，其他按照规定配备的公务用车0辆；单位价值50万元以上通用设备0台，单位价值100万元以上专用设备0台。2022年拟新增配置公务用车0辆，其中，机要通信用车0辆，应急保障用车0辆，执法执勤用车0辆，特种专业技术用车0辆，其他按照规定配备的公务用车0辆；新增配备单位价值50万元以上通用设备0台，单位价值100万元以上专用设备0台。 </w:t>
      </w:r>
    </w:p>
    <w:p w14:paraId="791CBEA3">
      <w:pPr>
        <w:widowControl/>
        <w:spacing w:after="2"/>
        <w:ind w:firstLine="660"/>
        <w:rPr>
          <w:rFonts w:ascii="宋体" w:hAnsi="宋体" w:eastAsia="宋体" w:cs="宋体"/>
          <w:kern w:val="0"/>
          <w:szCs w:val="21"/>
        </w:rPr>
      </w:pPr>
      <w:r>
        <w:rPr>
          <w:rFonts w:hint="eastAsia" w:ascii="仿宋_GB2312" w:hAnsi="宋体" w:eastAsia="仿宋_GB2312" w:cs="仿宋_GB2312"/>
          <w:b/>
          <w:bCs/>
          <w:color w:val="000000"/>
          <w:kern w:val="0"/>
          <w:sz w:val="32"/>
          <w:szCs w:val="32"/>
        </w:rPr>
        <w:t>（</w:t>
      </w:r>
      <w:r>
        <w:rPr>
          <w:rFonts w:hint="eastAsia" w:ascii="楷体_GB2312" w:hAnsi="宋体" w:eastAsia="楷体_GB2312" w:cs="楷体_GB2312"/>
          <w:b/>
          <w:bCs/>
          <w:color w:val="000000"/>
          <w:kern w:val="0"/>
          <w:sz w:val="32"/>
          <w:szCs w:val="32"/>
        </w:rPr>
        <w:t>六</w:t>
      </w:r>
      <w:r>
        <w:rPr>
          <w:rFonts w:hint="eastAsia" w:ascii="仿宋_GB2312" w:hAnsi="宋体" w:eastAsia="仿宋_GB2312" w:cs="仿宋_GB2312"/>
          <w:b/>
          <w:bCs/>
          <w:color w:val="000000"/>
          <w:kern w:val="0"/>
          <w:sz w:val="32"/>
          <w:szCs w:val="32"/>
        </w:rPr>
        <w:t>）预算绩效目标说明</w:t>
      </w:r>
    </w:p>
    <w:p w14:paraId="70EEA232">
      <w:pPr>
        <w:widowControl/>
        <w:spacing w:after="2"/>
        <w:ind w:firstLine="660"/>
        <w:rPr>
          <w:rFonts w:ascii="仿宋_GB2312" w:hAnsi="宋体" w:eastAsia="仿宋_GB2312" w:cs="仿宋_GB2312"/>
          <w:kern w:val="0"/>
          <w:szCs w:val="21"/>
        </w:rPr>
      </w:pPr>
      <w:r>
        <w:rPr>
          <w:rFonts w:hint="eastAsia" w:ascii="仿宋" w:hAnsi="仿宋" w:eastAsia="仿宋" w:cs="仿宋"/>
          <w:color w:val="000000"/>
          <w:kern w:val="0"/>
          <w:sz w:val="32"/>
          <w:szCs w:val="32"/>
        </w:rPr>
        <w:t>本部门所有支出实行绩效目标管理。纳入2022年部门整体支出绩效目标的金额为590.43万元，其中，基本支出540.43万元，项目支出50万元。</w:t>
      </w:r>
    </w:p>
    <w:p w14:paraId="340C305D">
      <w:pPr>
        <w:widowControl/>
        <w:spacing w:after="2"/>
        <w:ind w:firstLine="660"/>
        <w:rPr>
          <w:rFonts w:ascii="仿宋_GB2312" w:hAnsi="宋体" w:eastAsia="仿宋_GB2312" w:cs="仿宋_GB2312"/>
          <w:b/>
          <w:bCs/>
          <w:kern w:val="0"/>
          <w:szCs w:val="21"/>
        </w:rPr>
      </w:pPr>
      <w:r>
        <w:rPr>
          <w:rFonts w:hint="eastAsia" w:ascii="仿宋_GB2312" w:hAnsi="宋体" w:eastAsia="仿宋_GB2312" w:cs="仿宋_GB2312"/>
          <w:b/>
          <w:bCs/>
          <w:color w:val="000000"/>
          <w:kern w:val="0"/>
          <w:sz w:val="32"/>
          <w:szCs w:val="32"/>
        </w:rPr>
        <w:t>七、名词解释</w:t>
      </w:r>
    </w:p>
    <w:p w14:paraId="4B476F56">
      <w:pPr>
        <w:widowControl/>
        <w:spacing w:after="2"/>
        <w:ind w:firstLine="643"/>
        <w:rPr>
          <w:rFonts w:ascii="仿宋" w:hAnsi="仿宋" w:eastAsia="仿宋" w:cs="仿宋"/>
          <w:kern w:val="0"/>
          <w:sz w:val="32"/>
          <w:szCs w:val="32"/>
        </w:rPr>
      </w:pPr>
      <w:r>
        <w:rPr>
          <w:rFonts w:hint="eastAsia" w:ascii="仿宋" w:hAnsi="仿宋" w:eastAsia="仿宋" w:cs="仿宋"/>
          <w:color w:val="000000"/>
          <w:kern w:val="0"/>
          <w:sz w:val="32"/>
          <w:szCs w:val="32"/>
        </w:rPr>
        <w:t xml:space="preserve">1、基本支出：是指为保障单位机构正常运转、完成日常工作任务而发生的各项支出，包括用于基本工资、津贴补贴等人员经费以及办公费、印刷费、水电费、办公设备购置等日常公用经费。 </w:t>
      </w:r>
    </w:p>
    <w:p w14:paraId="1F0ADE5D">
      <w:pPr>
        <w:widowControl/>
        <w:spacing w:after="2"/>
        <w:ind w:firstLine="643"/>
        <w:rPr>
          <w:rFonts w:ascii="仿宋" w:hAnsi="仿宋" w:eastAsia="仿宋" w:cs="仿宋"/>
          <w:kern w:val="0"/>
          <w:sz w:val="32"/>
          <w:szCs w:val="32"/>
        </w:rPr>
      </w:pPr>
      <w:r>
        <w:rPr>
          <w:rFonts w:hint="eastAsia" w:ascii="仿宋" w:hAnsi="仿宋" w:eastAsia="仿宋" w:cs="仿宋"/>
          <w:color w:val="000000"/>
          <w:kern w:val="0"/>
          <w:sz w:val="32"/>
          <w:szCs w:val="32"/>
        </w:rPr>
        <w:t xml:space="preserve">2、项目支出：是指单位为完成特定行政工作任务或事业发展目标而发生的支出。 </w:t>
      </w:r>
    </w:p>
    <w:p w14:paraId="7442F0B6">
      <w:pPr>
        <w:widowControl/>
        <w:spacing w:after="2"/>
        <w:ind w:firstLine="643"/>
        <w:rPr>
          <w:rFonts w:ascii="仿宋" w:hAnsi="仿宋" w:eastAsia="仿宋" w:cs="仿宋"/>
          <w:kern w:val="0"/>
          <w:sz w:val="32"/>
          <w:szCs w:val="32"/>
        </w:rPr>
      </w:pPr>
      <w:r>
        <w:rPr>
          <w:rFonts w:hint="eastAsia" w:ascii="仿宋" w:hAnsi="仿宋" w:eastAsia="仿宋" w:cs="仿宋"/>
          <w:color w:val="000000"/>
          <w:kern w:val="0"/>
          <w:sz w:val="32"/>
          <w:szCs w:val="32"/>
        </w:rPr>
        <w:t xml:space="preserve">3、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 </w:t>
      </w:r>
    </w:p>
    <w:p w14:paraId="4399240C">
      <w:pPr>
        <w:widowControl/>
        <w:spacing w:after="2"/>
        <w:ind w:firstLine="643"/>
        <w:rPr>
          <w:rFonts w:ascii="仿宋" w:hAnsi="仿宋" w:eastAsia="仿宋" w:cs="仿宋"/>
          <w:kern w:val="0"/>
          <w:sz w:val="32"/>
          <w:szCs w:val="32"/>
        </w:rPr>
      </w:pPr>
      <w:r>
        <w:rPr>
          <w:rFonts w:hint="eastAsia" w:ascii="仿宋" w:hAnsi="仿宋" w:eastAsia="仿宋" w:cs="仿宋"/>
          <w:color w:val="000000"/>
          <w:kern w:val="0"/>
          <w:sz w:val="32"/>
          <w:szCs w:val="32"/>
        </w:rPr>
        <w:t xml:space="preserve">4、“三公”经费：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 </w:t>
      </w:r>
    </w:p>
    <w:p w14:paraId="521FB4C6">
      <w:pPr>
        <w:widowControl/>
        <w:spacing w:after="2"/>
        <w:ind w:firstLine="640"/>
        <w:rPr>
          <w:rFonts w:ascii="仿宋" w:hAnsi="仿宋" w:eastAsia="仿宋" w:cs="仿宋"/>
          <w:kern w:val="0"/>
          <w:sz w:val="32"/>
          <w:szCs w:val="32"/>
        </w:rPr>
      </w:pPr>
    </w:p>
    <w:p w14:paraId="17F917E6">
      <w:pPr>
        <w:ind w:firstLine="640" w:firstLineChars="200"/>
        <w:rPr>
          <w:rFonts w:ascii="仿宋" w:hAnsi="仿宋" w:eastAsia="仿宋" w:cs="仿宋"/>
          <w:color w:val="000000"/>
          <w:kern w:val="0"/>
          <w:sz w:val="32"/>
          <w:szCs w:val="32"/>
        </w:rPr>
      </w:pPr>
    </w:p>
    <w:p w14:paraId="70FE490C">
      <w:pPr>
        <w:widowControl/>
        <w:spacing w:after="2"/>
        <w:ind w:firstLine="720"/>
        <w:jc w:val="center"/>
        <w:rPr>
          <w:rFonts w:hint="eastAsia" w:ascii="仿宋_GB2312" w:hAnsi="宋体" w:eastAsia="仿宋_GB2312" w:cs="仿宋_GB2312"/>
          <w:kern w:val="0"/>
          <w:szCs w:val="21"/>
        </w:rPr>
      </w:pPr>
      <w:r>
        <w:rPr>
          <w:rFonts w:hint="eastAsia" w:ascii="仿宋_GB2312" w:hAnsi="宋体" w:eastAsia="仿宋_GB2312" w:cs="仿宋_GB2312"/>
          <w:color w:val="000000"/>
          <w:kern w:val="0"/>
          <w:sz w:val="36"/>
          <w:szCs w:val="36"/>
        </w:rPr>
        <w:t>第二部分 2022年部门预算表</w:t>
      </w:r>
      <w:r>
        <w:rPr>
          <w:rFonts w:hint="eastAsia" w:ascii="仿宋_GB2312" w:hAnsi="宋体" w:eastAsia="仿宋_GB2312" w:cs="仿宋_GB2312"/>
          <w:color w:val="000000"/>
          <w:kern w:val="0"/>
          <w:szCs w:val="21"/>
        </w:rPr>
        <w:t xml:space="preserve"> </w:t>
      </w:r>
    </w:p>
    <w:p w14:paraId="1454FD31">
      <w:pPr>
        <w:widowControl/>
        <w:spacing w:after="210"/>
        <w:ind w:firstLine="720"/>
        <w:jc w:val="center"/>
        <w:rPr>
          <w:rFonts w:hint="eastAsia" w:ascii="仿宋_GB2312" w:hAnsi="宋体" w:eastAsia="仿宋_GB2312" w:cs="仿宋_GB2312"/>
          <w:kern w:val="0"/>
          <w:szCs w:val="21"/>
        </w:rPr>
      </w:pPr>
      <w:r>
        <w:fldChar w:fldCharType="begin"/>
      </w:r>
      <w:r>
        <w:instrText xml:space="preserve"> HYPERLINK "部门预算公开表（移民）.xlsx" </w:instrText>
      </w:r>
      <w:r>
        <w:fldChar w:fldCharType="separate"/>
      </w:r>
      <w:r>
        <w:rPr>
          <w:rStyle w:val="7"/>
          <w:rFonts w:hint="eastAsia" w:ascii="仿宋_GB2312" w:hAnsi="宋体" w:eastAsia="仿宋_GB2312" w:cs="仿宋_GB2312"/>
          <w:sz w:val="32"/>
          <w:szCs w:val="32"/>
        </w:rPr>
        <w:t>水利和库区移民事务中心2022年部门预算公开表.xls</w:t>
      </w:r>
      <w:r>
        <w:rPr>
          <w:rStyle w:val="7"/>
          <w:rFonts w:hint="eastAsia" w:ascii="仿宋_GB2312" w:hAnsi="宋体" w:eastAsia="仿宋_GB2312" w:cs="仿宋_GB2312"/>
          <w:sz w:val="32"/>
          <w:szCs w:val="32"/>
        </w:rPr>
        <w:fldChar w:fldCharType="end"/>
      </w:r>
    </w:p>
    <w:p w14:paraId="0130A6CA">
      <w:pPr>
        <w:rPr>
          <w:rFonts w:ascii="仿宋" w:hAnsi="仿宋" w:eastAsia="仿宋" w:cs="仿宋"/>
          <w:bCs/>
          <w:sz w:val="32"/>
          <w:szCs w:val="32"/>
        </w:rPr>
      </w:pPr>
    </w:p>
    <w:p w14:paraId="36E9B2F7">
      <w:pPr>
        <w:widowControl/>
        <w:spacing w:after="2"/>
        <w:ind w:firstLine="640"/>
        <w:rPr>
          <w:rFonts w:ascii="仿宋" w:hAnsi="仿宋" w:eastAsia="仿宋" w:cs="仿宋"/>
          <w:kern w:val="0"/>
          <w:sz w:val="32"/>
          <w:szCs w:val="32"/>
        </w:rPr>
      </w:pPr>
    </w:p>
    <w:p w14:paraId="55067633">
      <w:pPr>
        <w:jc w:val="center"/>
        <w:rPr>
          <w:rFonts w:ascii="仿宋" w:hAnsi="仿宋" w:eastAsia="仿宋" w:cs="仿宋"/>
          <w:color w:val="000000"/>
          <w:kern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DBEF3E"/>
    <w:multiLevelType w:val="singleLevel"/>
    <w:tmpl w:val="E2DBEF3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lNzc4Y2YyODMzYmViZGQyMzM0YmVmZTYzMjAzMWQifQ=="/>
  </w:docVars>
  <w:rsids>
    <w:rsidRoot w:val="00CB03D5"/>
    <w:rsid w:val="00161542"/>
    <w:rsid w:val="00CB03D5"/>
    <w:rsid w:val="17D66C98"/>
    <w:rsid w:val="300D4BCB"/>
    <w:rsid w:val="4F2D7C5D"/>
    <w:rsid w:val="4F6F0DFE"/>
    <w:rsid w:val="59474F8F"/>
    <w:rsid w:val="5D626FEB"/>
    <w:rsid w:val="7D81411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6">
    <w:name w:val="FollowedHyperlink"/>
    <w:basedOn w:val="5"/>
    <w:qFormat/>
    <w:uiPriority w:val="0"/>
    <w:rPr>
      <w:color w:val="954F72" w:themeColor="followedHyperlink"/>
      <w:u w:val="single"/>
      <w14:textFill>
        <w14:solidFill>
          <w14:schemeClr w14:val="folHlink"/>
        </w14:solidFill>
      </w14:textFill>
    </w:rPr>
  </w:style>
  <w:style w:type="character" w:styleId="7">
    <w:name w:val="Hyperlink"/>
    <w:basedOn w:val="5"/>
    <w:uiPriority w:val="0"/>
    <w:rPr>
      <w:color w:val="0000FF"/>
      <w:u w:val="single"/>
    </w:rPr>
  </w:style>
  <w:style w:type="paragraph" w:customStyle="1" w:styleId="8">
    <w:name w:val="普通(网站) Char"/>
    <w:basedOn w:val="1"/>
    <w:qFormat/>
    <w:uiPriority w:val="0"/>
    <w:pPr>
      <w:spacing w:before="100" w:beforeAutospacing="1" w:after="100" w:afterAutospacing="1"/>
      <w:jc w:val="left"/>
    </w:pPr>
    <w:rPr>
      <w:rFonts w:hint="eastAsia" w:ascii="宋体" w:hAnsi="宋体" w:eastAsia="宋体" w:cs="Times New Roman"/>
      <w:kern w:val="0"/>
      <w:sz w:val="24"/>
    </w:rPr>
  </w:style>
  <w:style w:type="character" w:customStyle="1" w:styleId="9">
    <w:name w:val="页眉 Char"/>
    <w:basedOn w:val="5"/>
    <w:link w:val="3"/>
    <w:uiPriority w:val="0"/>
    <w:rPr>
      <w:kern w:val="2"/>
      <w:sz w:val="18"/>
      <w:szCs w:val="18"/>
    </w:rPr>
  </w:style>
  <w:style w:type="character" w:customStyle="1" w:styleId="10">
    <w:name w:val="页脚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8</Pages>
  <Words>2992</Words>
  <Characters>3204</Characters>
  <Lines>2</Lines>
  <Paragraphs>6</Paragraphs>
  <TotalTime>22</TotalTime>
  <ScaleCrop>false</ScaleCrop>
  <LinksUpToDate>false</LinksUpToDate>
  <CharactersWithSpaces>3222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2022-04-27T08:59:00Z</dcterms:created>
  <dc:creator>Administrator</dc:creator>
  <cp:lastModifiedBy>Administrator</cp:lastModifiedBy>
  <dcterms:modified xsi:type="dcterms:W3CDTF">2025-11-27T03:17:43Z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FA4B29DF2F7E4005B513D4B92F71E859_13</vt:lpwstr>
  </property>
  <property fmtid="{D5CDD505-2E9C-101B-9397-08002B2CF9AE}" pid="4" name="KSOTemplateDocerSaveRecord">
    <vt:lpwstr>eyJoZGlkIjoiYzllNzc4Y2YyODMzYmViZGQyMzM0YmVmZTYzMjAzMWQifQ==</vt:lpwstr>
  </property>
</Properties>
</file>