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widowControl/>
        <w:suppressLineNumbers w:val="0"/>
        <w:spacing w:before="0" w:beforeAutospacing="0" w:after="2" w:afterAutospacing="0"/>
        <w:ind w:left="0" w:right="0"/>
        <w:rPr>
          <w:rFonts w:hint="eastAsia" w:ascii="仿宋_GB2312" w:hAnsi="仿宋_GB2312" w:eastAsia="仿宋_GB2312" w:cs="仿宋_GB2312"/>
          <w:kern w:val="0"/>
          <w:sz w:val="21"/>
          <w:szCs w:val="21"/>
        </w:rPr>
      </w:pPr>
      <w:bookmarkStart w:id="0" w:name="_GoBack"/>
      <w:bookmarkEnd w:id="0"/>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jc w:val="center"/>
        <w:rPr>
          <w:rFonts w:hint="eastAsia" w:ascii="仿宋_GB2312" w:hAnsi="仿宋_GB2312" w:eastAsia="仿宋_GB2312" w:cs="仿宋_GB2312"/>
          <w:color w:val="0000FF"/>
          <w:kern w:val="0"/>
          <w:sz w:val="21"/>
          <w:szCs w:val="21"/>
        </w:rPr>
      </w:pPr>
      <w:r>
        <w:rPr>
          <w:rFonts w:hint="eastAsia" w:ascii="仿宋_GB2312" w:hAnsi="仿宋_GB2312" w:eastAsia="仿宋_GB2312" w:cs="仿宋_GB2312"/>
          <w:color w:val="000000"/>
          <w:kern w:val="0"/>
          <w:sz w:val="44"/>
          <w:szCs w:val="44"/>
        </w:rPr>
        <w:t>2022年</w:t>
      </w:r>
      <w:r>
        <w:rPr>
          <w:rFonts w:hint="eastAsia" w:ascii="仿宋_GB2312" w:hAnsi="仿宋_GB2312" w:eastAsia="仿宋_GB2312" w:cs="仿宋_GB2312"/>
          <w:color w:val="000000"/>
          <w:kern w:val="0"/>
          <w:sz w:val="44"/>
          <w:szCs w:val="44"/>
          <w:lang w:eastAsia="zh-CN"/>
        </w:rPr>
        <w:t>道县行政审批服务局</w:t>
      </w:r>
      <w:r>
        <w:rPr>
          <w:rFonts w:hint="eastAsia" w:ascii="仿宋_GB2312" w:hAnsi="仿宋_GB2312" w:eastAsia="仿宋_GB2312" w:cs="仿宋_GB2312"/>
          <w:color w:val="000000"/>
          <w:kern w:val="0"/>
          <w:sz w:val="44"/>
          <w:szCs w:val="44"/>
        </w:rPr>
        <w:t>部门预算</w:t>
      </w:r>
    </w:p>
    <w:p>
      <w:pPr>
        <w:keepNext w:val="0"/>
        <w:keepLines w:val="0"/>
        <w:widowControl/>
        <w:suppressLineNumbers w:val="0"/>
        <w:spacing w:before="0" w:beforeAutospacing="0" w:after="2" w:afterAutospacing="0"/>
        <w:ind w:left="0" w:right="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jc w:val="center"/>
        <w:rPr>
          <w:rFonts w:hint="eastAsia" w:ascii="仿宋_GB2312" w:hAnsi="仿宋_GB2312" w:eastAsia="仿宋_GB2312" w:cs="仿宋_GB2312"/>
          <w:color w:val="0000FF"/>
          <w:kern w:val="0"/>
          <w:sz w:val="21"/>
          <w:szCs w:val="21"/>
        </w:rPr>
      </w:pPr>
      <w:r>
        <w:rPr>
          <w:rFonts w:hint="eastAsia" w:ascii="仿宋_GB2312" w:hAnsi="仿宋_GB2312" w:eastAsia="仿宋_GB2312" w:cs="仿宋_GB2312"/>
          <w:color w:val="000000"/>
          <w:kern w:val="0"/>
          <w:sz w:val="32"/>
          <w:szCs w:val="32"/>
        </w:rPr>
        <w:t>目 录</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jc w:val="both"/>
        <w:rPr>
          <w:rFonts w:hint="eastAsia" w:ascii="仿宋_GB2312" w:hAnsi="仿宋_GB2312" w:eastAsia="仿宋_GB2312" w:cs="仿宋_GB2312"/>
          <w:color w:val="0000FF"/>
          <w:kern w:val="0"/>
          <w:sz w:val="21"/>
          <w:szCs w:val="21"/>
        </w:rPr>
      </w:pPr>
      <w:r>
        <w:rPr>
          <w:rFonts w:hint="eastAsia" w:ascii="仿宋_GB2312" w:hAnsi="仿宋_GB2312" w:eastAsia="仿宋_GB2312" w:cs="仿宋_GB2312"/>
          <w:b/>
          <w:bCs/>
          <w:color w:val="000000"/>
          <w:kern w:val="0"/>
          <w:sz w:val="32"/>
          <w:szCs w:val="32"/>
        </w:rPr>
        <w:t>第一部分 2022年部门预算说明</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jc w:val="both"/>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 xml:space="preserve">一、部门基本概况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（一）职能职责</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（二）机构设置</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jc w:val="both"/>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二、部门预算单位构成</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jc w:val="both"/>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三、部门收支总体情况</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jc w:val="both"/>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四、一般公共预算拨款支出</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jc w:val="both"/>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五、政府性基金预算支出</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jc w:val="both"/>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六、其他重要事项的情况说明</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（一）机关运行经费</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（二）“三公”经费预算</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（三）一般性支出情况</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（四）政府采购情况</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（五）国有资产占用使用及新增资产配置情况</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（六）预算绩效目标说明</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jc w:val="both"/>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七、名词解释</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第二部分 2022年部门预算表</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1、收支总表</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2、收入总表</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3、支出总表</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4、支出分类（政府预算）</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5、支出分类（部门预算）</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6、财政拨款收支总表</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7、一般公共预算支出表</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8、工资福利（政府预算）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9、工资福利</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10、个人家庭（政府预算）</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11、个人家庭</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12、商品服务（政府预算）</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13、商品服务</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14、三公</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15、政府性基金</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16、政府性基金（政府预算）</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17、政府性基金（部门预算）</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18、国有资本经营预算</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19、财政专户管理资金</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20、专项清单</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w:t>
      </w:r>
    </w:p>
    <w:p>
      <w:pPr>
        <w:keepNext w:val="0"/>
        <w:keepLines w:val="0"/>
        <w:widowControl/>
        <w:suppressLineNumbers w:val="0"/>
        <w:spacing w:before="0" w:beforeAutospacing="0" w:after="2" w:afterAutospacing="0"/>
        <w:ind w:left="0" w:right="0" w:firstLine="64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w:t>
      </w:r>
    </w:p>
    <w:p>
      <w:pPr>
        <w:keepNext w:val="0"/>
        <w:keepLines w:val="0"/>
        <w:widowControl/>
        <w:suppressLineNumbers w:val="0"/>
        <w:spacing w:before="0" w:beforeAutospacing="0" w:after="2" w:afterAutospacing="0"/>
        <w:ind w:left="0" w:right="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6"/>
          <w:szCs w:val="36"/>
        </w:rPr>
        <w:t>第一部分 部门预算说明</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 xml:space="preserve">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27"/>
        <w:rPr>
          <w:rFonts w:hint="eastAsia" w:ascii="仿宋_GB2312" w:hAnsi="仿宋_GB2312" w:eastAsia="仿宋_GB2312" w:cs="仿宋_GB2312"/>
          <w:color w:val="0000FF"/>
          <w:kern w:val="0"/>
          <w:sz w:val="21"/>
          <w:szCs w:val="21"/>
        </w:rPr>
      </w:pPr>
      <w:r>
        <w:rPr>
          <w:rFonts w:hint="eastAsia" w:ascii="仿宋_GB2312" w:hAnsi="仿宋_GB2312" w:eastAsia="仿宋_GB2312" w:cs="仿宋_GB2312"/>
          <w:color w:val="000000"/>
          <w:kern w:val="0"/>
          <w:sz w:val="32"/>
          <w:szCs w:val="32"/>
        </w:rPr>
        <w:t>一、部门基本概况</w:t>
      </w:r>
    </w:p>
    <w:p>
      <w:pPr>
        <w:keepNext w:val="0"/>
        <w:keepLines w:val="0"/>
        <w:widowControl/>
        <w:suppressLineNumbers w:val="0"/>
        <w:spacing w:before="0" w:beforeAutospacing="0" w:after="2" w:afterAutospacing="0"/>
        <w:ind w:left="0" w:right="0" w:firstLine="627"/>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（一）职能职责</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28"/>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县行政审批局贯彻执行中央关于行政审批服务方 针政策和决策部署，在履行职责过程中坚持和加强党对行政审批服务工作的集中统一领导。主要职责是：</w:t>
      </w:r>
    </w:p>
    <w:p>
      <w:pPr>
        <w:keepNext w:val="0"/>
        <w:keepLines w:val="0"/>
        <w:widowControl/>
        <w:suppressLineNumbers w:val="0"/>
        <w:spacing w:before="0" w:beforeAutospacing="0" w:after="2" w:afterAutospacing="0"/>
        <w:ind w:left="0" w:right="0" w:firstLine="628"/>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(一)推进、指导、协调、监督全县政务公开(政府信息公开、办事公开)和政务服务体系建设。承担县政务公开政务服务领导 小组办公室的日常工作；拟订全县政务公开、政务服务工作发展 规划和年度计划，建立和完善相应工作机制。</w:t>
      </w:r>
    </w:p>
    <w:p>
      <w:pPr>
        <w:keepNext w:val="0"/>
        <w:keepLines w:val="0"/>
        <w:widowControl/>
        <w:suppressLineNumbers w:val="0"/>
        <w:spacing w:before="0" w:beforeAutospacing="0" w:after="2" w:afterAutospacing="0"/>
        <w:ind w:left="0" w:right="0" w:firstLine="628"/>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(二)指导、协调、推进全县行政审批制度改革工作。承担县行政审批制度改革领导小组办公室的日常工作；拟订行政审批服务有关规章制度及管理办法并组织监督实施；牵头负责县“放管服”改革工作。</w:t>
      </w:r>
    </w:p>
    <w:p>
      <w:pPr>
        <w:keepNext w:val="0"/>
        <w:keepLines w:val="0"/>
        <w:widowControl/>
        <w:suppressLineNumbers w:val="0"/>
        <w:spacing w:before="0" w:beforeAutospacing="0" w:after="2" w:afterAutospacing="0"/>
        <w:ind w:left="0" w:right="0" w:firstLine="628"/>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(三）统筹协调、规划指导、监督评估全县电子政务等工作；统筹推进、协调监督全县“互联网+政务服务”工作。统筹规划、监督考核全县电子政务网络和政府系统网站。</w:t>
      </w:r>
    </w:p>
    <w:p>
      <w:pPr>
        <w:keepNext w:val="0"/>
        <w:keepLines w:val="0"/>
        <w:widowControl/>
        <w:suppressLineNumbers w:val="0"/>
        <w:spacing w:before="0" w:beforeAutospacing="0" w:after="2" w:afterAutospacing="0"/>
        <w:ind w:left="0" w:right="0" w:firstLine="628"/>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(四）统筹协调、规划指导、监督评估全县政务信息化、大数据建设管理和应用等工作；组织协调推进政务数据资源共享和开放工作，统筹政务数据资源的采集、分类、管理、分析和应用工作。</w:t>
      </w:r>
    </w:p>
    <w:p>
      <w:pPr>
        <w:keepNext w:val="0"/>
        <w:keepLines w:val="0"/>
        <w:widowControl/>
        <w:suppressLineNumbers w:val="0"/>
        <w:spacing w:before="0" w:beforeAutospacing="0" w:after="2" w:afterAutospacing="0"/>
        <w:ind w:left="0" w:right="0" w:firstLine="628"/>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(五)承担县优化营商环境联席会议办公室的日常工作。负责全县优化营商环境工作的组织实施和监督、检查、考核；维护营商政务、法制、信用等环境；协调推进全县行政效能工作。</w:t>
      </w:r>
    </w:p>
    <w:p>
      <w:pPr>
        <w:keepNext w:val="0"/>
        <w:keepLines w:val="0"/>
        <w:widowControl/>
        <w:suppressLineNumbers w:val="0"/>
        <w:spacing w:before="0" w:beforeAutospacing="0" w:after="2" w:afterAutospacing="0"/>
        <w:ind w:left="0" w:right="0" w:firstLine="628"/>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(六)承担县社会诚信体系建设领导小组办公室的日常工作。组织协调、监督推进全县有关中央、省社会信用体系建设的法律 法规、决策部署的贯彻落实。拟订并组织实施全县社会信用体系 建设的总体规划和政策措施；统筹推进统一的信用信息平台建设，促进信用信息资源的整合与运用，协调社会信用体系建设的重大问题；拟订守信联合激励和失信联合惩戒制度，牵头组织对重点领域和严重失信行为实施联合惩戒。</w:t>
      </w:r>
    </w:p>
    <w:p>
      <w:pPr>
        <w:keepNext w:val="0"/>
        <w:keepLines w:val="0"/>
        <w:widowControl/>
        <w:suppressLineNumbers w:val="0"/>
        <w:spacing w:before="0" w:beforeAutospacing="0" w:after="2" w:afterAutospacing="0"/>
        <w:ind w:left="0" w:right="0" w:firstLine="628"/>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(七）承担县政务联动处置领导小组办公室的日常工作。负责 拟订全县政务联动处置和城乡网格化建设管理工作规则；统筹规划、指挥协调、管理督导全县12345公共服务热线、政务联动处 置和城乡网格化建设管理。</w:t>
      </w:r>
    </w:p>
    <w:p>
      <w:pPr>
        <w:keepNext w:val="0"/>
        <w:keepLines w:val="0"/>
        <w:widowControl/>
        <w:suppressLineNumbers w:val="0"/>
        <w:spacing w:before="0" w:beforeAutospacing="0" w:after="2" w:afterAutospacing="0"/>
        <w:ind w:left="0" w:right="0" w:firstLine="628"/>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(八)承办县委、县政府交办的其他事项，承办县人大建议、县政协提案等事宜。 </w:t>
      </w:r>
    </w:p>
    <w:p>
      <w:pPr>
        <w:keepNext w:val="0"/>
        <w:keepLines w:val="0"/>
        <w:widowControl/>
        <w:suppressLineNumbers w:val="0"/>
        <w:spacing w:before="0" w:beforeAutospacing="0" w:after="2" w:afterAutospacing="0"/>
        <w:ind w:left="0" w:right="0" w:firstLine="628"/>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（二）机构设置</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27"/>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道县行政审批服务局（以下简称县行政审批局）是县政府工作部门，为正科级。现内设综合办公室、政工财务股、政务联动处置股、政务公开和服务管理股、行政审批制度改革股、大数据建设管理股（电子政务室）、社会信用体系建设管理股、优化营商环境工作办公室五个管理机构。2022年编制人数3</w:t>
      </w:r>
      <w:r>
        <w:rPr>
          <w:rFonts w:hint="eastAsia" w:ascii="仿宋_GB2312" w:hAnsi="仿宋_GB2312" w:eastAsia="仿宋_GB2312" w:cs="仿宋_GB2312"/>
          <w:color w:val="000000"/>
          <w:kern w:val="0"/>
          <w:sz w:val="32"/>
          <w:szCs w:val="32"/>
          <w:lang w:val="en-US" w:eastAsia="zh-CN"/>
        </w:rPr>
        <w:t>4</w:t>
      </w:r>
      <w:r>
        <w:rPr>
          <w:rFonts w:hint="eastAsia" w:ascii="仿宋_GB2312" w:hAnsi="仿宋_GB2312" w:eastAsia="仿宋_GB2312" w:cs="仿宋_GB2312"/>
          <w:color w:val="000000"/>
          <w:kern w:val="0"/>
          <w:sz w:val="32"/>
          <w:szCs w:val="32"/>
        </w:rPr>
        <w:t>名，其中行政编</w:t>
      </w:r>
      <w:r>
        <w:rPr>
          <w:rFonts w:hint="eastAsia" w:ascii="仿宋_GB2312" w:hAnsi="仿宋_GB2312" w:eastAsia="仿宋_GB2312" w:cs="仿宋_GB2312"/>
          <w:color w:val="000000"/>
          <w:kern w:val="0"/>
          <w:sz w:val="32"/>
          <w:szCs w:val="32"/>
          <w:lang w:val="en-US" w:eastAsia="zh-CN"/>
        </w:rPr>
        <w:t>7</w:t>
      </w:r>
      <w:r>
        <w:rPr>
          <w:rFonts w:hint="eastAsia" w:ascii="仿宋_GB2312" w:hAnsi="仿宋_GB2312" w:eastAsia="仿宋_GB2312" w:cs="仿宋_GB2312"/>
          <w:color w:val="000000"/>
          <w:kern w:val="0"/>
          <w:sz w:val="32"/>
          <w:szCs w:val="32"/>
        </w:rPr>
        <w:t>人，参照公务员法管理人员</w:t>
      </w:r>
      <w:r>
        <w:rPr>
          <w:rFonts w:hint="eastAsia" w:ascii="仿宋_GB2312" w:hAnsi="仿宋_GB2312" w:eastAsia="仿宋_GB2312" w:cs="仿宋_GB2312"/>
          <w:color w:val="000000"/>
          <w:kern w:val="0"/>
          <w:sz w:val="32"/>
          <w:szCs w:val="32"/>
          <w:lang w:val="en-US" w:eastAsia="zh-CN"/>
        </w:rPr>
        <w:t>4</w:t>
      </w:r>
      <w:r>
        <w:rPr>
          <w:rFonts w:hint="eastAsia" w:ascii="仿宋_GB2312" w:hAnsi="仿宋_GB2312" w:eastAsia="仿宋_GB2312" w:cs="仿宋_GB2312"/>
          <w:color w:val="000000"/>
          <w:kern w:val="0"/>
          <w:sz w:val="32"/>
          <w:szCs w:val="32"/>
        </w:rPr>
        <w:t>名，事业编制</w:t>
      </w:r>
      <w:r>
        <w:rPr>
          <w:rFonts w:hint="eastAsia" w:ascii="仿宋_GB2312" w:hAnsi="仿宋_GB2312" w:eastAsia="仿宋_GB2312" w:cs="仿宋_GB2312"/>
          <w:color w:val="000000"/>
          <w:kern w:val="0"/>
          <w:sz w:val="32"/>
          <w:szCs w:val="32"/>
          <w:lang w:val="en-US" w:eastAsia="zh-CN"/>
        </w:rPr>
        <w:t>20</w:t>
      </w:r>
      <w:r>
        <w:rPr>
          <w:rFonts w:hint="eastAsia" w:ascii="仿宋_GB2312" w:hAnsi="仿宋_GB2312" w:eastAsia="仿宋_GB2312" w:cs="仿宋_GB2312"/>
          <w:color w:val="000000"/>
          <w:kern w:val="0"/>
          <w:sz w:val="32"/>
          <w:szCs w:val="32"/>
        </w:rPr>
        <w:t>名，工勤</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kern w:val="0"/>
          <w:sz w:val="32"/>
          <w:szCs w:val="32"/>
        </w:rPr>
        <w:t>名；实际在编人员3</w:t>
      </w:r>
      <w:r>
        <w:rPr>
          <w:rFonts w:hint="eastAsia" w:ascii="仿宋_GB2312" w:hAnsi="仿宋_GB2312" w:eastAsia="仿宋_GB2312" w:cs="仿宋_GB2312"/>
          <w:color w:val="000000"/>
          <w:kern w:val="0"/>
          <w:sz w:val="32"/>
          <w:szCs w:val="32"/>
          <w:lang w:val="en-US" w:eastAsia="zh-CN"/>
        </w:rPr>
        <w:t>4</w:t>
      </w:r>
      <w:r>
        <w:rPr>
          <w:rFonts w:hint="eastAsia" w:ascii="仿宋_GB2312" w:hAnsi="仿宋_GB2312" w:eastAsia="仿宋_GB2312" w:cs="仿宋_GB2312"/>
          <w:color w:val="000000"/>
          <w:kern w:val="0"/>
          <w:sz w:val="32"/>
          <w:szCs w:val="32"/>
        </w:rPr>
        <w:t>名，其中行政编</w:t>
      </w:r>
      <w:r>
        <w:rPr>
          <w:rFonts w:hint="eastAsia" w:ascii="仿宋_GB2312" w:hAnsi="仿宋_GB2312" w:eastAsia="仿宋_GB2312" w:cs="仿宋_GB2312"/>
          <w:color w:val="000000"/>
          <w:kern w:val="0"/>
          <w:sz w:val="32"/>
          <w:szCs w:val="32"/>
          <w:lang w:val="en-US" w:eastAsia="zh-CN"/>
        </w:rPr>
        <w:t>7</w:t>
      </w:r>
      <w:r>
        <w:rPr>
          <w:rFonts w:hint="eastAsia" w:ascii="仿宋_GB2312" w:hAnsi="仿宋_GB2312" w:eastAsia="仿宋_GB2312" w:cs="仿宋_GB2312"/>
          <w:color w:val="000000"/>
          <w:kern w:val="0"/>
          <w:sz w:val="32"/>
          <w:szCs w:val="32"/>
        </w:rPr>
        <w:t>人，参照公务员法管理人员</w:t>
      </w:r>
      <w:r>
        <w:rPr>
          <w:rFonts w:hint="eastAsia" w:ascii="仿宋_GB2312" w:hAnsi="仿宋_GB2312" w:eastAsia="仿宋_GB2312" w:cs="仿宋_GB2312"/>
          <w:color w:val="000000"/>
          <w:kern w:val="0"/>
          <w:sz w:val="32"/>
          <w:szCs w:val="32"/>
          <w:lang w:val="en-US" w:eastAsia="zh-CN"/>
        </w:rPr>
        <w:t>4</w:t>
      </w:r>
      <w:r>
        <w:rPr>
          <w:rFonts w:hint="eastAsia" w:ascii="仿宋_GB2312" w:hAnsi="仿宋_GB2312" w:eastAsia="仿宋_GB2312" w:cs="仿宋_GB2312"/>
          <w:color w:val="000000"/>
          <w:kern w:val="0"/>
          <w:sz w:val="32"/>
          <w:szCs w:val="32"/>
        </w:rPr>
        <w:t>人，事业编制</w:t>
      </w:r>
      <w:r>
        <w:rPr>
          <w:rFonts w:hint="eastAsia" w:ascii="仿宋_GB2312" w:hAnsi="仿宋_GB2312" w:eastAsia="仿宋_GB2312" w:cs="仿宋_GB2312"/>
          <w:color w:val="000000"/>
          <w:kern w:val="0"/>
          <w:sz w:val="32"/>
          <w:szCs w:val="32"/>
          <w:lang w:val="en-US" w:eastAsia="zh-CN"/>
        </w:rPr>
        <w:t>20</w:t>
      </w:r>
      <w:r>
        <w:rPr>
          <w:rFonts w:hint="eastAsia" w:ascii="仿宋_GB2312" w:hAnsi="仿宋_GB2312" w:eastAsia="仿宋_GB2312" w:cs="仿宋_GB2312"/>
          <w:color w:val="000000"/>
          <w:kern w:val="0"/>
          <w:sz w:val="32"/>
          <w:szCs w:val="32"/>
        </w:rPr>
        <w:t>人，工勤</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kern w:val="0"/>
          <w:sz w:val="32"/>
          <w:szCs w:val="32"/>
        </w:rPr>
        <w:t>人。</w:t>
      </w:r>
    </w:p>
    <w:p>
      <w:pPr>
        <w:keepNext w:val="0"/>
        <w:keepLines w:val="0"/>
        <w:widowControl/>
        <w:suppressLineNumbers w:val="0"/>
        <w:spacing w:before="0" w:beforeAutospacing="0" w:after="2" w:afterAutospacing="0"/>
        <w:ind w:left="0" w:right="0" w:firstLine="627"/>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二、部门预算单位构成</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27"/>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部门预算编制范围是行政审批服务局本级。</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27"/>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三、部门收支总体情况</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28"/>
        <w:jc w:val="both"/>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b/>
          <w:bCs/>
          <w:color w:val="000000"/>
          <w:kern w:val="0"/>
          <w:sz w:val="32"/>
          <w:szCs w:val="32"/>
        </w:rPr>
        <w:t>（一）收入预算：</w:t>
      </w:r>
      <w:r>
        <w:rPr>
          <w:rFonts w:hint="eastAsia" w:ascii="仿宋_GB2312" w:hAnsi="仿宋_GB2312" w:eastAsia="仿宋_GB2312" w:cs="仿宋_GB2312"/>
          <w:b w:val="0"/>
          <w:bCs w:val="0"/>
          <w:color w:val="000000"/>
          <w:kern w:val="0"/>
          <w:sz w:val="32"/>
          <w:szCs w:val="32"/>
          <w:lang w:eastAsia="zh-CN"/>
        </w:rPr>
        <w:t>包括一般公共预算、政府性基金收入、上级补助收入以及经营收入、事业收入等单位资金。</w:t>
      </w:r>
      <w:r>
        <w:rPr>
          <w:rFonts w:hint="eastAsia" w:ascii="仿宋_GB2312" w:hAnsi="仿宋_GB2312" w:eastAsia="仿宋_GB2312" w:cs="仿宋_GB2312"/>
          <w:color w:val="000000"/>
          <w:kern w:val="0"/>
          <w:sz w:val="32"/>
          <w:szCs w:val="32"/>
        </w:rPr>
        <w:t>2022年</w:t>
      </w:r>
      <w:r>
        <w:rPr>
          <w:rFonts w:hint="eastAsia" w:ascii="仿宋_GB2312" w:hAnsi="仿宋_GB2312" w:eastAsia="仿宋_GB2312" w:cs="仿宋_GB2312"/>
          <w:color w:val="000000"/>
          <w:kern w:val="0"/>
          <w:sz w:val="32"/>
          <w:szCs w:val="32"/>
          <w:lang w:eastAsia="zh-CN"/>
        </w:rPr>
        <w:t>本部门</w:t>
      </w:r>
      <w:r>
        <w:rPr>
          <w:rFonts w:hint="eastAsia" w:ascii="仿宋_GB2312" w:hAnsi="仿宋_GB2312" w:eastAsia="仿宋_GB2312" w:cs="仿宋_GB2312"/>
          <w:color w:val="000000"/>
          <w:kern w:val="0"/>
          <w:sz w:val="32"/>
          <w:szCs w:val="32"/>
        </w:rPr>
        <w:t>收入预算为</w:t>
      </w:r>
      <w:r>
        <w:rPr>
          <w:rFonts w:hint="eastAsia" w:ascii="仿宋_GB2312" w:hAnsi="仿宋_GB2312" w:eastAsia="仿宋_GB2312" w:cs="仿宋_GB2312"/>
          <w:color w:val="000000"/>
          <w:kern w:val="0"/>
          <w:sz w:val="32"/>
          <w:szCs w:val="32"/>
          <w:lang w:val="en-US" w:eastAsia="zh-CN"/>
        </w:rPr>
        <w:t>1330.56</w:t>
      </w:r>
      <w:r>
        <w:rPr>
          <w:rFonts w:hint="eastAsia" w:ascii="仿宋_GB2312" w:hAnsi="仿宋_GB2312" w:eastAsia="仿宋_GB2312" w:cs="仿宋_GB2312"/>
          <w:color w:val="000000"/>
          <w:kern w:val="0"/>
          <w:sz w:val="32"/>
          <w:szCs w:val="32"/>
        </w:rPr>
        <w:t>万元；其中：</w:t>
      </w:r>
      <w:r>
        <w:rPr>
          <w:rFonts w:hint="eastAsia" w:ascii="仿宋_GB2312" w:hAnsi="仿宋_GB2312" w:eastAsia="仿宋_GB2312" w:cs="仿宋_GB2312"/>
          <w:color w:val="000000"/>
          <w:kern w:val="0"/>
          <w:sz w:val="32"/>
          <w:szCs w:val="32"/>
          <w:lang w:eastAsia="zh-CN"/>
        </w:rPr>
        <w:t>一般公共预算为</w:t>
      </w:r>
      <w:r>
        <w:rPr>
          <w:rFonts w:hint="eastAsia" w:ascii="仿宋_GB2312" w:hAnsi="仿宋_GB2312" w:eastAsia="仿宋_GB2312" w:cs="仿宋_GB2312"/>
          <w:color w:val="000000"/>
          <w:kern w:val="0"/>
          <w:sz w:val="32"/>
          <w:szCs w:val="32"/>
          <w:lang w:val="en-US" w:eastAsia="zh-CN"/>
        </w:rPr>
        <w:t>1330.56万元。收入较去年增加232.4万元，</w:t>
      </w:r>
      <w:r>
        <w:rPr>
          <w:rFonts w:hint="eastAsia" w:ascii="仿宋_GB2312" w:hAnsi="仿宋_GB2312" w:eastAsia="仿宋_GB2312" w:cs="仿宋_GB2312"/>
          <w:color w:val="000000"/>
          <w:kern w:val="0"/>
          <w:sz w:val="32"/>
          <w:szCs w:val="32"/>
          <w:highlight w:val="none"/>
          <w:lang w:val="en-US" w:eastAsia="zh-CN"/>
        </w:rPr>
        <w:t>主要是项目支出比去年多。</w:t>
      </w:r>
    </w:p>
    <w:p>
      <w:pPr>
        <w:keepNext w:val="0"/>
        <w:keepLines w:val="0"/>
        <w:widowControl/>
        <w:suppressLineNumbers w:val="0"/>
        <w:spacing w:before="0" w:beforeAutospacing="0" w:after="2" w:afterAutospacing="0"/>
        <w:ind w:left="0" w:right="0" w:firstLine="628"/>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（二）支出预算：</w:t>
      </w:r>
      <w:r>
        <w:rPr>
          <w:rFonts w:hint="eastAsia" w:ascii="仿宋_GB2312" w:hAnsi="仿宋_GB2312" w:eastAsia="仿宋_GB2312" w:cs="仿宋_GB2312"/>
          <w:color w:val="000000"/>
          <w:kern w:val="0"/>
          <w:sz w:val="32"/>
          <w:szCs w:val="32"/>
        </w:rPr>
        <w:t>2022年</w:t>
      </w:r>
      <w:r>
        <w:rPr>
          <w:rFonts w:hint="eastAsia" w:ascii="仿宋_GB2312" w:hAnsi="仿宋_GB2312" w:eastAsia="仿宋_GB2312" w:cs="仿宋_GB2312"/>
          <w:color w:val="000000"/>
          <w:kern w:val="0"/>
          <w:sz w:val="32"/>
          <w:szCs w:val="32"/>
          <w:lang w:eastAsia="zh-CN"/>
        </w:rPr>
        <w:t>本部门支出预算</w:t>
      </w:r>
      <w:r>
        <w:rPr>
          <w:rFonts w:hint="eastAsia" w:ascii="仿宋_GB2312" w:hAnsi="仿宋_GB2312" w:eastAsia="仿宋_GB2312" w:cs="仿宋_GB2312"/>
          <w:color w:val="000000"/>
          <w:kern w:val="0"/>
          <w:sz w:val="32"/>
          <w:szCs w:val="32"/>
          <w:lang w:val="en-US" w:eastAsia="zh-CN"/>
        </w:rPr>
        <w:t>1330.56万元，其中基本支出331.88万元、项目支出719.30万元、年终结转结余279.38万元。支出较去年增加234.4万元，主要是本部门上年结转结余279.38万元。</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四、一般公共预算拨款支出</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2022年本部门一般公共预算拨款支出预算</w:t>
      </w:r>
      <w:r>
        <w:rPr>
          <w:rFonts w:hint="eastAsia" w:ascii="仿宋_GB2312" w:hAnsi="仿宋_GB2312" w:eastAsia="仿宋_GB2312" w:cs="仿宋_GB2312"/>
          <w:color w:val="000000"/>
          <w:kern w:val="0"/>
          <w:sz w:val="32"/>
          <w:szCs w:val="32"/>
          <w:lang w:val="en-US" w:eastAsia="zh-CN"/>
        </w:rPr>
        <w:t>1051.18</w:t>
      </w:r>
      <w:r>
        <w:rPr>
          <w:rFonts w:hint="eastAsia" w:ascii="仿宋_GB2312" w:hAnsi="仿宋_GB2312" w:eastAsia="仿宋_GB2312" w:cs="仿宋_GB2312"/>
          <w:color w:val="000000"/>
          <w:kern w:val="0"/>
          <w:sz w:val="32"/>
          <w:szCs w:val="32"/>
        </w:rPr>
        <w:t>万元，具体安排情况如下：</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b/>
          <w:bCs/>
          <w:color w:val="000000"/>
          <w:kern w:val="0"/>
          <w:sz w:val="32"/>
          <w:szCs w:val="32"/>
        </w:rPr>
        <w:t>（一）基本支出：</w:t>
      </w:r>
      <w:r>
        <w:rPr>
          <w:rFonts w:hint="eastAsia" w:ascii="仿宋_GB2312" w:hAnsi="仿宋_GB2312" w:eastAsia="仿宋_GB2312" w:cs="仿宋_GB2312"/>
          <w:color w:val="000000"/>
          <w:kern w:val="0"/>
          <w:sz w:val="32"/>
          <w:szCs w:val="32"/>
          <w:lang w:val="en-US" w:eastAsia="zh-CN"/>
        </w:rPr>
        <w:t>2022年本部门基本支出预算数331.88万元，主要是为保障部门正常运转、完成日常工作任务而发生的各项支出，包括用于工资性福利支出等人员经费以及办公费、印刷费等公用经费，其中工资福利支出279.38万元、商品和服务支出52.5万元。</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b/>
          <w:bCs/>
          <w:color w:val="000000"/>
          <w:kern w:val="0"/>
          <w:sz w:val="32"/>
          <w:szCs w:val="32"/>
        </w:rPr>
        <w:t>（二）项目支出：</w:t>
      </w:r>
      <w:r>
        <w:rPr>
          <w:rFonts w:hint="eastAsia" w:ascii="仿宋_GB2312" w:hAnsi="仿宋_GB2312" w:eastAsia="仿宋_GB2312" w:cs="仿宋_GB2312"/>
          <w:color w:val="000000"/>
          <w:kern w:val="0"/>
          <w:sz w:val="32"/>
          <w:szCs w:val="32"/>
          <w:lang w:val="en-US" w:eastAsia="zh-CN"/>
        </w:rPr>
        <w:t>2022年本部门项目支出预算数719.30万元，主要是部门为完成特定行政工作任务或事业发展目标而发生的支出，包括有关事业发展专项、专项业务费、基本建设支出等，其中：按项目管理的商品和服务支出199.70万元，资本性支出（基本建设）519.6万元。</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五、政府性基金预算支出</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2022年本部门无政府性基金安排的支出。</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六、其他重要事项的情况说明</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（一）机关运行经费</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2022年本部门机关运行经费</w:t>
      </w:r>
      <w:r>
        <w:rPr>
          <w:rFonts w:hint="eastAsia" w:ascii="仿宋_GB2312" w:hAnsi="仿宋_GB2312" w:eastAsia="仿宋_GB2312" w:cs="仿宋_GB2312"/>
          <w:color w:val="000000"/>
          <w:kern w:val="0"/>
          <w:sz w:val="32"/>
          <w:szCs w:val="32"/>
          <w:lang w:val="en-US" w:eastAsia="zh-CN"/>
        </w:rPr>
        <w:t>52.5</w:t>
      </w:r>
      <w:r>
        <w:rPr>
          <w:rFonts w:hint="eastAsia" w:ascii="仿宋_GB2312" w:hAnsi="仿宋_GB2312" w:eastAsia="仿宋_GB2312" w:cs="仿宋_GB2312"/>
          <w:color w:val="000000"/>
          <w:kern w:val="0"/>
          <w:sz w:val="32"/>
          <w:szCs w:val="32"/>
        </w:rPr>
        <w:t>万元，比上年预算</w:t>
      </w:r>
      <w:r>
        <w:rPr>
          <w:rFonts w:hint="eastAsia" w:ascii="仿宋_GB2312" w:hAnsi="仿宋_GB2312" w:eastAsia="仿宋_GB2312" w:cs="仿宋_GB2312"/>
          <w:color w:val="000000"/>
          <w:kern w:val="0"/>
          <w:sz w:val="32"/>
          <w:szCs w:val="32"/>
          <w:lang w:eastAsia="zh-CN"/>
        </w:rPr>
        <w:t>减少</w:t>
      </w:r>
      <w:r>
        <w:rPr>
          <w:rFonts w:hint="eastAsia" w:ascii="仿宋_GB2312" w:hAnsi="仿宋_GB2312" w:eastAsia="仿宋_GB2312" w:cs="仿宋_GB2312"/>
          <w:color w:val="000000"/>
          <w:kern w:val="0"/>
          <w:sz w:val="32"/>
          <w:szCs w:val="32"/>
          <w:lang w:val="en-US" w:eastAsia="zh-CN"/>
        </w:rPr>
        <w:t>77.22</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lang w:eastAsia="zh-CN"/>
        </w:rPr>
        <w:t>减少</w:t>
      </w:r>
      <w:r>
        <w:rPr>
          <w:rFonts w:hint="eastAsia" w:ascii="仿宋_GB2312" w:hAnsi="仿宋_GB2312" w:eastAsia="仿宋_GB2312" w:cs="仿宋_GB2312"/>
          <w:color w:val="000000"/>
          <w:kern w:val="0"/>
          <w:sz w:val="32"/>
          <w:szCs w:val="32"/>
        </w:rPr>
        <w:t>比例</w:t>
      </w:r>
      <w:r>
        <w:rPr>
          <w:rFonts w:hint="eastAsia" w:ascii="仿宋_GB2312" w:hAnsi="仿宋_GB2312" w:eastAsia="仿宋_GB2312" w:cs="仿宋_GB2312"/>
          <w:color w:val="000000"/>
          <w:kern w:val="0"/>
          <w:sz w:val="32"/>
          <w:szCs w:val="32"/>
          <w:lang w:val="en-US" w:eastAsia="zh-CN"/>
        </w:rPr>
        <w:t>60</w:t>
      </w:r>
      <w:r>
        <w:rPr>
          <w:rFonts w:hint="eastAsia" w:ascii="仿宋_GB2312" w:hAnsi="仿宋_GB2312" w:eastAsia="仿宋_GB2312" w:cs="仿宋_GB2312"/>
          <w:color w:val="000000"/>
          <w:kern w:val="0"/>
          <w:sz w:val="32"/>
          <w:szCs w:val="32"/>
        </w:rPr>
        <w:t>%，主要是</w:t>
      </w:r>
      <w:r>
        <w:rPr>
          <w:rFonts w:hint="eastAsia" w:ascii="仿宋_GB2312" w:hAnsi="仿宋_GB2312" w:eastAsia="仿宋_GB2312" w:cs="仿宋_GB2312"/>
          <w:color w:val="000000"/>
          <w:kern w:val="0"/>
          <w:sz w:val="32"/>
          <w:szCs w:val="32"/>
          <w:lang w:eastAsia="zh-CN"/>
        </w:rPr>
        <w:t>为弘扬艰苦奋斗、勤俭节约的优良作风，规范行政成本，提高行政效率</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jc w:val="both"/>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（二）“三公”经费预算</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2022年“三公”经费预算</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万元，其中：因公出国（境）支出0万元；公务接待</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万元；公务用车运行维护费</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万元。2022年“三公”经费预算比2021年“三公”经费预算7万元减少</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万元，本单位继续厉行节约，尽可能</w:t>
      </w:r>
      <w:r>
        <w:rPr>
          <w:rFonts w:hint="eastAsia" w:ascii="仿宋_GB2312" w:hAnsi="仿宋_GB2312" w:eastAsia="仿宋_GB2312" w:cs="仿宋_GB2312"/>
          <w:color w:val="000000"/>
          <w:kern w:val="0"/>
          <w:sz w:val="32"/>
          <w:szCs w:val="32"/>
          <w:lang w:eastAsia="zh-CN"/>
        </w:rPr>
        <w:t>压缩</w:t>
      </w:r>
      <w:r>
        <w:rPr>
          <w:rFonts w:hint="eastAsia" w:ascii="仿宋_GB2312" w:hAnsi="仿宋_GB2312" w:eastAsia="仿宋_GB2312" w:cs="仿宋_GB2312"/>
          <w:color w:val="000000"/>
          <w:kern w:val="0"/>
          <w:sz w:val="32"/>
          <w:szCs w:val="32"/>
        </w:rPr>
        <w:t xml:space="preserve">招待费的支出。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jc w:val="both"/>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（三）一般性支出情况</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一般商品和服务支出共计52.5万元。主要包括办公费、印刷费、邮电费、差旅费、维修费、会议费、培训费、公务接待费劳务费、工会费等费用。</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jc w:val="both"/>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（四）政府采购情况</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2022年本部门</w:t>
      </w:r>
      <w:r>
        <w:rPr>
          <w:rFonts w:hint="eastAsia" w:ascii="仿宋_GB2312" w:hAnsi="仿宋_GB2312" w:eastAsia="仿宋_GB2312" w:cs="仿宋_GB2312"/>
          <w:color w:val="000000"/>
          <w:kern w:val="0"/>
          <w:sz w:val="32"/>
          <w:szCs w:val="32"/>
          <w:lang w:eastAsia="zh-CN"/>
        </w:rPr>
        <w:t>无</w:t>
      </w:r>
      <w:r>
        <w:rPr>
          <w:rFonts w:hint="eastAsia" w:ascii="仿宋_GB2312" w:hAnsi="仿宋_GB2312" w:eastAsia="仿宋_GB2312" w:cs="仿宋_GB2312"/>
          <w:color w:val="000000"/>
          <w:kern w:val="0"/>
          <w:sz w:val="32"/>
          <w:szCs w:val="32"/>
        </w:rPr>
        <w:t>政府采购预算</w:t>
      </w:r>
      <w:r>
        <w:rPr>
          <w:rFonts w:hint="eastAsia" w:ascii="仿宋_GB2312" w:hAnsi="仿宋_GB2312" w:eastAsia="仿宋_GB2312" w:cs="仿宋_GB2312"/>
          <w:color w:val="000000"/>
          <w:kern w:val="0"/>
          <w:sz w:val="32"/>
          <w:szCs w:val="32"/>
          <w:lang w:eastAsia="zh-CN"/>
        </w:rPr>
        <w:t>的支出。</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（五）国有资产占用使用及新增资产配置情况</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截至2021年12月底，本部门</w:t>
      </w:r>
      <w:r>
        <w:rPr>
          <w:rFonts w:hint="eastAsia" w:ascii="仿宋_GB2312" w:hAnsi="仿宋_GB2312" w:eastAsia="仿宋_GB2312" w:cs="仿宋_GB2312"/>
          <w:color w:val="000000"/>
          <w:kern w:val="0"/>
          <w:sz w:val="32"/>
          <w:szCs w:val="32"/>
          <w:lang w:eastAsia="zh-CN"/>
        </w:rPr>
        <w:t>无</w:t>
      </w:r>
      <w:r>
        <w:rPr>
          <w:rFonts w:hint="eastAsia" w:ascii="仿宋_GB2312" w:hAnsi="仿宋_GB2312" w:eastAsia="仿宋_GB2312" w:cs="仿宋_GB2312"/>
          <w:color w:val="000000"/>
          <w:kern w:val="0"/>
          <w:sz w:val="32"/>
          <w:szCs w:val="32"/>
        </w:rPr>
        <w:t>公务用车</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2022年拟新增配置公务用车</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辆。</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b/>
          <w:bCs/>
          <w:color w:val="000000"/>
          <w:kern w:val="0"/>
          <w:sz w:val="32"/>
          <w:szCs w:val="32"/>
        </w:rPr>
        <w:t>（六）预算绩效目标说明</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本部门所有支出实行绩效目标管理。纳入2022年部门整体支出绩效目标的金额为</w:t>
      </w:r>
      <w:r>
        <w:rPr>
          <w:rFonts w:hint="eastAsia" w:ascii="仿宋_GB2312" w:hAnsi="仿宋_GB2312" w:eastAsia="仿宋_GB2312" w:cs="仿宋_GB2312"/>
          <w:color w:val="000000"/>
          <w:kern w:val="0"/>
          <w:sz w:val="32"/>
          <w:szCs w:val="32"/>
          <w:lang w:val="en-US" w:eastAsia="zh-CN"/>
        </w:rPr>
        <w:t>1330.56</w:t>
      </w:r>
      <w:r>
        <w:rPr>
          <w:rFonts w:hint="eastAsia" w:ascii="仿宋_GB2312" w:hAnsi="仿宋_GB2312" w:eastAsia="仿宋_GB2312" w:cs="仿宋_GB2312"/>
          <w:color w:val="000000"/>
          <w:kern w:val="0"/>
          <w:sz w:val="32"/>
          <w:szCs w:val="32"/>
        </w:rPr>
        <w:t>万元，其中，基本支出</w:t>
      </w:r>
      <w:r>
        <w:rPr>
          <w:rFonts w:hint="eastAsia" w:ascii="仿宋_GB2312" w:hAnsi="仿宋_GB2312" w:eastAsia="仿宋_GB2312" w:cs="仿宋_GB2312"/>
          <w:color w:val="000000"/>
          <w:kern w:val="0"/>
          <w:sz w:val="32"/>
          <w:szCs w:val="32"/>
          <w:lang w:val="en-US" w:eastAsia="zh-CN"/>
        </w:rPr>
        <w:t>331.88</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项目支出</w:t>
      </w:r>
      <w:r>
        <w:rPr>
          <w:rFonts w:hint="eastAsia" w:ascii="仿宋_GB2312" w:hAnsi="仿宋_GB2312" w:eastAsia="仿宋_GB2312" w:cs="仿宋_GB2312"/>
          <w:color w:val="000000"/>
          <w:kern w:val="0"/>
          <w:sz w:val="32"/>
          <w:szCs w:val="32"/>
          <w:lang w:val="en-US" w:eastAsia="zh-CN"/>
        </w:rPr>
        <w:t>719.30</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lang w:eastAsia="zh-CN"/>
        </w:rPr>
        <w:t>、年终结转结余</w:t>
      </w:r>
      <w:r>
        <w:rPr>
          <w:rFonts w:hint="eastAsia" w:ascii="仿宋_GB2312" w:hAnsi="仿宋_GB2312" w:eastAsia="仿宋_GB2312" w:cs="仿宋_GB2312"/>
          <w:color w:val="000000"/>
          <w:kern w:val="0"/>
          <w:sz w:val="32"/>
          <w:szCs w:val="32"/>
          <w:lang w:val="en-US" w:eastAsia="zh-CN"/>
        </w:rPr>
        <w:t>279.38万元</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60"/>
        <w:jc w:val="both"/>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七、名词解释</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1、基本支出：是指为保障单位机构正常运转、完成日常工作任务而发生的各项支出，包括用于基本工资、津贴补贴等人员经费以及办公费、印刷费、水电费、办公设备购置等日常公用经费。</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2、项目支出：是指单位为完成特定行政工作任务或事业发展目标而发生的支出。</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3、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3"/>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4、“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640"/>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b/>
          <w:bCs/>
          <w:color w:val="000000"/>
          <w:kern w:val="0"/>
          <w:sz w:val="32"/>
          <w:szCs w:val="32"/>
        </w:rPr>
        <w:t xml:space="preserve">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rPr>
          <w:rFonts w:hint="eastAsia" w:ascii="仿宋_GB2312" w:hAnsi="仿宋_GB2312" w:eastAsia="仿宋_GB2312" w:cs="仿宋_GB2312"/>
          <w:color w:val="000000"/>
          <w:kern w:val="0"/>
          <w:sz w:val="21"/>
          <w:szCs w:val="21"/>
        </w:rPr>
      </w:pPr>
    </w:p>
    <w:p>
      <w:pPr>
        <w:keepNext w:val="0"/>
        <w:keepLines w:val="0"/>
        <w:widowControl/>
        <w:suppressLineNumbers w:val="0"/>
        <w:spacing w:before="0" w:beforeAutospacing="0" w:after="2" w:afterAutospacing="0"/>
        <w:ind w:left="0" w:right="0"/>
        <w:jc w:val="both"/>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36"/>
          <w:szCs w:val="36"/>
        </w:rPr>
        <w:t xml:space="preserve"> </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spacing w:before="0" w:beforeAutospacing="0" w:after="2" w:afterAutospacing="0"/>
        <w:ind w:left="0" w:right="0" w:firstLine="720"/>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color w:val="000000"/>
          <w:kern w:val="0"/>
          <w:sz w:val="36"/>
          <w:szCs w:val="36"/>
        </w:rPr>
        <w:t>第二部分 2022年部门预算表</w:t>
      </w:r>
      <w:r>
        <w:rPr>
          <w:rFonts w:hint="eastAsia" w:ascii="仿宋_GB2312" w:hAnsi="仿宋_GB2312" w:eastAsia="仿宋_GB2312" w:cs="仿宋_GB2312"/>
          <w:color w:val="000000"/>
          <w:kern w:val="0"/>
          <w:sz w:val="21"/>
          <w:szCs w:val="21"/>
        </w:rPr>
        <w:t xml:space="preserve"> </w:t>
      </w:r>
    </w:p>
    <w:p>
      <w:pPr>
        <w:keepNext w:val="0"/>
        <w:keepLines w:val="0"/>
        <w:widowControl/>
        <w:suppressLineNumbers w:val="0"/>
        <w:tabs>
          <w:tab w:val="center" w:pos="12144"/>
          <w:tab w:val="left" w:pos="18002"/>
        </w:tabs>
        <w:spacing w:before="0" w:beforeAutospacing="0" w:after="210" w:afterAutospacing="0"/>
        <w:ind w:left="0" w:right="0" w:firstLine="720"/>
        <w:jc w:val="left"/>
        <w:rPr>
          <w:rFonts w:hint="eastAsia" w:ascii="仿宋_GB2312" w:hAnsi="仿宋_GB2312" w:eastAsia="仿宋_GB2312" w:cs="仿宋_GB2312"/>
          <w:lang w:eastAsia="zh-CN"/>
        </w:rPr>
      </w:pPr>
      <w:r>
        <w:rPr>
          <w:rFonts w:hint="eastAsia" w:ascii="仿宋_GB2312" w:hAnsi="仿宋_GB2312" w:eastAsia="仿宋_GB2312" w:cs="仿宋_GB2312"/>
          <w:lang w:eastAsia="zh-CN"/>
        </w:rPr>
        <w:tab/>
      </w:r>
    </w:p>
    <w:p>
      <w:pPr>
        <w:keepNext w:val="0"/>
        <w:keepLines w:val="0"/>
        <w:widowControl/>
        <w:suppressLineNumbers w:val="0"/>
        <w:tabs>
          <w:tab w:val="center" w:pos="12144"/>
          <w:tab w:val="left" w:pos="18002"/>
        </w:tabs>
        <w:spacing w:before="0" w:beforeAutospacing="0" w:after="210" w:afterAutospacing="0"/>
        <w:ind w:left="0" w:right="0" w:firstLine="720"/>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fldChar w:fldCharType="begin"/>
      </w:r>
      <w:r>
        <w:rPr>
          <w:rFonts w:hint="eastAsia" w:ascii="仿宋_GB2312" w:hAnsi="仿宋_GB2312" w:eastAsia="仿宋_GB2312" w:cs="仿宋_GB2312"/>
          <w:lang w:eastAsia="zh-CN"/>
        </w:rPr>
        <w:instrText xml:space="preserve"> HYPERLINK "https://kdocs.cn/l/co1zGweJp2J0" </w:instrText>
      </w:r>
      <w:r>
        <w:rPr>
          <w:rFonts w:hint="eastAsia" w:ascii="仿宋_GB2312" w:hAnsi="仿宋_GB2312" w:eastAsia="仿宋_GB2312" w:cs="仿宋_GB2312"/>
          <w:lang w:eastAsia="zh-CN"/>
        </w:rPr>
        <w:fldChar w:fldCharType="separate"/>
      </w:r>
      <w:r>
        <w:rPr>
          <w:rStyle w:val="11"/>
          <w:rFonts w:hint="eastAsia" w:ascii="仿宋_GB2312" w:hAnsi="仿宋_GB2312" w:eastAsia="仿宋_GB2312" w:cs="仿宋_GB2312"/>
          <w:lang w:eastAsia="zh-CN"/>
        </w:rPr>
        <w:t>道县行政审批服务局2022年部门预算公开表.xls</w:t>
      </w:r>
      <w:r>
        <w:rPr>
          <w:rFonts w:hint="eastAsia" w:ascii="仿宋_GB2312" w:hAnsi="仿宋_GB2312" w:eastAsia="仿宋_GB2312" w:cs="仿宋_GB2312"/>
          <w:lang w:eastAsia="zh-CN"/>
        </w:rPr>
        <w:fldChar w:fldCharType="end"/>
      </w:r>
    </w:p>
    <w:p>
      <w:pPr>
        <w:keepNext w:val="0"/>
        <w:keepLines w:val="0"/>
        <w:widowControl/>
        <w:suppressLineNumbers w:val="0"/>
        <w:tabs>
          <w:tab w:val="center" w:pos="12144"/>
          <w:tab w:val="left" w:pos="18002"/>
        </w:tabs>
        <w:spacing w:before="0" w:beforeAutospacing="0" w:after="210" w:afterAutospacing="0"/>
        <w:ind w:left="0" w:right="0" w:firstLine="720"/>
        <w:jc w:val="left"/>
        <w:rPr>
          <w:rFonts w:hint="eastAsia" w:ascii="仿宋_GB2312" w:hAnsi="仿宋_GB2312" w:eastAsia="仿宋_GB2312" w:cs="仿宋_GB2312"/>
          <w:kern w:val="0"/>
          <w:sz w:val="21"/>
          <w:szCs w:val="21"/>
        </w:rPr>
      </w:pPr>
      <w:r>
        <w:rPr>
          <w:rFonts w:hint="eastAsia" w:ascii="仿宋_GB2312" w:hAnsi="仿宋_GB2312" w:eastAsia="仿宋_GB2312" w:cs="仿宋_GB2312"/>
          <w:lang w:eastAsia="zh-CN"/>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"http://10.105.183.30:8081/home/downloadAttachment?attachGUID=dc5becbd5067491e9ea70be81a8c41ff" </w:instrText>
      </w:r>
      <w:r>
        <w:rPr>
          <w:rFonts w:hint="eastAsia" w:ascii="仿宋_GB2312" w:hAnsi="仿宋_GB2312" w:eastAsia="仿宋_GB2312" w:cs="仿宋_GB2312"/>
        </w:rPr>
        <w:fldChar w:fldCharType="separate"/>
      </w:r>
      <w:r>
        <w:rPr>
          <w:rFonts w:hint="eastAsia" w:ascii="仿宋_GB2312" w:hAnsi="仿宋_GB2312" w:eastAsia="仿宋_GB2312" w:cs="仿宋_GB2312"/>
        </w:rPr>
        <w:fldChar w:fldCharType="end"/>
      </w:r>
    </w:p>
    <w:p>
      <w:pPr>
        <w:keepNext w:val="0"/>
        <w:keepLines w:val="0"/>
        <w:widowControl/>
        <w:suppressLineNumbers w:val="0"/>
        <w:spacing w:before="0" w:beforeAutospacing="0" w:after="2" w:afterAutospacing="0"/>
        <w:ind w:left="0" w:right="0" w:firstLine="640"/>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 xml:space="preserve"> </w:t>
      </w:r>
    </w:p>
    <w:p>
      <w:pPr>
        <w:keepNext w:val="0"/>
        <w:keepLines w:val="0"/>
        <w:widowControl/>
        <w:suppressLineNumbers w:val="0"/>
        <w:spacing w:before="0" w:beforeAutospacing="0" w:after="2" w:afterAutospacing="0"/>
        <w:ind w:left="0" w:right="0" w:firstLine="640"/>
        <w:rPr>
          <w:rFonts w:hint="eastAsia" w:ascii="仿宋_GB2312" w:hAnsi="仿宋_GB2312" w:eastAsia="仿宋_GB2312" w:cs="仿宋_GB2312"/>
          <w:kern w:val="0"/>
          <w:sz w:val="21"/>
          <w:szCs w:val="21"/>
        </w:rPr>
      </w:pPr>
    </w:p>
    <w:sectPr>
      <w:pgSz w:w="16839" w:h="11906" w:orient="landscape"/>
      <w:pgMar w:top="1800" w:right="1440" w:bottom="1800" w:left="1440"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bordersDoNotSurroundHeader w:val="0"/>
  <w:bordersDoNotSurroundFooter w:val="0"/>
  <w:documentProtection w:enforcement="0"/>
  <w:defaultTabStop w:val="420"/>
  <w:hyphenationZone w:val="360"/>
  <w:drawingGridVerticalSpacing w:val="157"/>
  <w:displayHorizontalDrawingGridEvery w:val="1"/>
  <w:displayVerticalDrawingGridEvery w:val="1"/>
  <w:noPunctuationKerning w:val="1"/>
  <w:characterSpacingControl w:val="doNotCompress"/>
  <w:compat>
    <w:spaceForUL/>
    <w:doNotLeaveBackslashAlon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wNmI5NWY2ZDRkOWZkYmQzNDg1ZWNmMTgxMTFjNGIifQ=="/>
  </w:docVars>
  <w:rsids>
    <w:rsidRoot w:val="00000000"/>
    <w:rsid w:val="035D06F5"/>
    <w:rsid w:val="0CC0502D"/>
    <w:rsid w:val="10B107E5"/>
    <w:rsid w:val="18261C9A"/>
    <w:rsid w:val="19CC7BDC"/>
    <w:rsid w:val="2B7E52A9"/>
    <w:rsid w:val="31BF7898"/>
    <w:rsid w:val="32E91943"/>
    <w:rsid w:val="331539E0"/>
    <w:rsid w:val="34F93BB9"/>
    <w:rsid w:val="41060FB9"/>
    <w:rsid w:val="43CE6AFD"/>
    <w:rsid w:val="4E4A131D"/>
    <w:rsid w:val="5310251E"/>
    <w:rsid w:val="59C53194"/>
    <w:rsid w:val="5E9A3289"/>
    <w:rsid w:val="68985487"/>
    <w:rsid w:val="69151671"/>
    <w:rsid w:val="6DEF3952"/>
    <w:rsid w:val="73944C37"/>
    <w:rsid w:val="7DF502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99"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99"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99"/>
    <w:pP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paragraph" w:styleId="6">
    <w:name w:val="heading 5"/>
    <w:basedOn w:val="1"/>
    <w:next w:val="1"/>
    <w:qFormat/>
    <w:uiPriority w:val="0"/>
    <w:pPr>
      <w:spacing w:before="100" w:beforeAutospacing="1" w:after="100" w:afterAutospacing="1"/>
      <w:jc w:val="left"/>
      <w:outlineLvl w:val="4"/>
    </w:pPr>
    <w:rPr>
      <w:rFonts w:hint="eastAsia" w:ascii="宋体" w:hAnsi="宋体" w:eastAsia="宋体" w:cs="宋体"/>
      <w:b/>
      <w:bCs/>
      <w:kern w:val="0"/>
      <w:sz w:val="20"/>
      <w:szCs w:val="20"/>
      <w:lang w:val="en-US" w:eastAsia="zh-CN" w:bidi="ar"/>
    </w:rPr>
  </w:style>
  <w:style w:type="paragraph" w:styleId="7">
    <w:name w:val="heading 6"/>
    <w:basedOn w:val="1"/>
    <w:next w:val="1"/>
    <w:qFormat/>
    <w:uiPriority w:val="0"/>
    <w:pPr>
      <w:spacing w:before="100" w:beforeAutospacing="1" w:after="100" w:afterAutospacing="1"/>
      <w:jc w:val="left"/>
      <w:outlineLvl w:val="5"/>
    </w:pPr>
    <w:rPr>
      <w:rFonts w:hint="eastAsia" w:ascii="宋体" w:hAnsi="宋体" w:eastAsia="宋体" w:cs="宋体"/>
      <w:b/>
      <w:bCs/>
      <w:kern w:val="0"/>
      <w:sz w:val="15"/>
      <w:szCs w:val="15"/>
      <w:lang w:val="en-US" w:eastAsia="zh-CN" w:bidi="ar"/>
    </w:rPr>
  </w:style>
  <w:style w:type="character" w:default="1" w:styleId="10">
    <w:name w:val="Default Paragraph Font"/>
    <w:unhideWhenUsed/>
    <w:qFormat/>
    <w:uiPriority w:val="99"/>
  </w:style>
  <w:style w:type="table" w:default="1" w:styleId="12">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styleId="11">
    <w:name w:val="Hyperlink"/>
    <w:basedOn w:val="10"/>
    <w:qFormat/>
    <w:uiPriority w:val="0"/>
    <w:rPr>
      <w:color w:val="0000FF"/>
      <w:u w:val="single"/>
    </w:rPr>
  </w:style>
  <w:style w:type="character" w:customStyle="1" w:styleId="13">
    <w:name w:val="10"/>
    <w:basedOn w:val="10"/>
    <w:qFormat/>
    <w:uiPriority w:val="0"/>
    <w:rPr>
      <w:rFonts w:hint="default" w:ascii="Times New Roman" w:hAnsi="Times New Roman" w:cs="Times New Roman"/>
    </w:rPr>
  </w:style>
  <w:style w:type="paragraph" w:customStyle="1" w:styleId="14">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customStyle="1" w:styleId="15">
    <w:name w:val="15"/>
    <w:basedOn w:val="10"/>
    <w:qFormat/>
    <w:uiPriority w:val="0"/>
    <w:rPr>
      <w:rFonts w:hint="default" w:ascii="Times New Roman" w:hAnsi="Times New Roman" w:cs="Times New Roman"/>
      <w:color w:val="0000FF"/>
      <w:u w:val="single"/>
    </w:rPr>
  </w:style>
  <w:style w:type="paragraph" w:customStyle="1" w:styleId="16">
    <w:name w:val="HTML 预设格式 Char"/>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2828</Words>
  <Characters>3023</Characters>
  <Lines>1</Lines>
  <Paragraphs>1</Paragraphs>
  <TotalTime>5</TotalTime>
  <ScaleCrop>false</ScaleCrop>
  <LinksUpToDate>false</LinksUpToDate>
  <CharactersWithSpaces>3114</CharactersWithSpaces>
  <Application>WPS Office_10.8.2.6613_F1E327BC-269C-435d-A152-05C5408002CA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2022-04-25T03:05:00Z</dcterms:created>
  <dc:creator>Administrator</dc:creator>
  <cp:lastModifiedBy>Administrator</cp:lastModifiedBy>
  <dcterms:modified xsi:type="dcterms:W3CDTF">2025-11-24T07:22:16Z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eyJoZGlkIjoiYTAwNmI5NWY2ZDRkOWZkYmQzNDg1ZWNmMTgxMTFjNGIifQ==</vt:lpwstr>
  </property>
  <property fmtid="{D5CDD505-2E9C-101B-9397-08002B2CF9AE}" pid="3" name="KSOProductBuildVer">
    <vt:lpwstr>2052-10.8.2.6613</vt:lpwstr>
  </property>
  <property fmtid="{D5CDD505-2E9C-101B-9397-08002B2CF9AE}" pid="4" name="ICV">
    <vt:lpwstr>404CEE77EE9F48E8A6F50BC5106AA108</vt:lpwstr>
  </property>
</Properties>
</file>