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center"/>
        <w:rPr>
          <w:rFonts w:hint="eastAsia" w:ascii="仿宋_GB2312" w:hAnsi="宋体" w:eastAsia="仿宋_GB2312" w:cs="仿宋_GB2312"/>
          <w:color w:val="0000FF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</w:rPr>
        <w:t>2022年</w:t>
      </w:r>
      <w:r>
        <w:rPr>
          <w:rFonts w:hint="eastAsia" w:ascii="仿宋_GB2312" w:eastAsia="仿宋_GB2312" w:cs="仿宋_GB2312"/>
          <w:color w:val="000000"/>
          <w:kern w:val="0"/>
          <w:sz w:val="44"/>
          <w:szCs w:val="44"/>
          <w:lang w:eastAsia="zh-CN"/>
        </w:rPr>
        <w:t>道县横岭瑶族乡人民政府</w:t>
      </w:r>
      <w:r>
        <w:rPr>
          <w:rFonts w:hint="eastAsia" w:ascii="仿宋_GB2312" w:hAnsi="宋体" w:eastAsia="仿宋_GB2312" w:cs="仿宋_GB2312"/>
          <w:color w:val="000000"/>
          <w:kern w:val="0"/>
          <w:sz w:val="44"/>
          <w:szCs w:val="44"/>
        </w:rPr>
        <w:t>部门预算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center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center"/>
        <w:rPr>
          <w:rFonts w:hint="eastAsia" w:ascii="仿宋_GB2312" w:hAnsi="宋体" w:eastAsia="仿宋_GB2312" w:cs="仿宋_GB2312"/>
          <w:color w:val="0000FF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目 录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color w:val="0000FF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第一部分 2022年部门预算说明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7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一、部门基本概况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（一）职能职责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（二）机构设置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二、部门预算单位构成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三、部门收支总体情况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四、一般公共预算拨款支出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五、政府性基金预算支出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六、其他重要事项的情况说明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（一）机关运行经费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（二）“三公”经费预算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（三）一般性支出情况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（四）政府采购情况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（五）国有资产占用使用及新增资产配置情况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（六）预算绩效目标说明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七、名词解释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第二部分 2022年部门预算表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1、收支总表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2、收入总表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3、支出总表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4、支出分类（政府预算）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5、支出分类（部门预算）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6、财政拨款收支总表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7、一般公共预算支出表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8、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一般公共预算基本支出表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9、一般公共预算支出表-人员经费（工资福利支出）（按政府预算经济分类）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10、一般公共预算支出表-人员经费（工资福利支出）（按部门预算经济分类）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11、一般公共预算支出表-人员经费（对个人和家庭的补助）（按政府预算经济分类）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12、一般公共预算支出表-人员经费（对个人和家庭的补助）（按部门预算经济分类）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13、一般公共预算支出表-公用经费（商品和服务支出）（按政府预算经济分类）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14、一般公共预算支出表-公用经费（商品和服务支出）（按部门预算经济分类）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15、三公经费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16、政府性基金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17、政府性基金（政府预算）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18、政府性基金（部门预算）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19、国有资本经营预算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20、财政专户管理资金</w:t>
      </w:r>
    </w:p>
    <w:p>
      <w:pPr>
        <w:spacing w:after="2"/>
        <w:ind w:firstLine="640"/>
        <w:jc w:val="both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21、专项清单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center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</w:rPr>
        <w:t>第一部分 部门预算说明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7"/>
        <w:rPr>
          <w:rFonts w:hint="eastAsia" w:ascii="仿宋_GB2312" w:hAnsi="宋体" w:eastAsia="仿宋_GB2312" w:cs="仿宋_GB2312"/>
          <w:color w:val="0000FF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7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（一）职能职责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根据《中华人民共和国宪法》规定，本单位主要工作职责是：执行本级人民代表大会的决议和上级国家行政机关的决定和命令，管理本行政区域内的行政工作。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（二）机构设置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我单位为正科级全额拨款行政单位，内设党政办公室、农业综合技术推广事务中心、文教体广电事务中心、社会保障和社会救助事务中心、人口和计划生育事务中心、建设和公共安全事务中心、林业水利事务中心、财政所等8个职能部室。行政编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人，事业编制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人,工勤人员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人，现实有在编人数行政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人，事业1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人，配有小车1辆。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7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二、部门预算单位构成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7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道县横岭瑶族乡人民政府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只有本级，没有其他二级预算单位，因此，纳入2022年部门预算编制范围的只有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道县横岭瑶族乡人民政府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本级。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7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三、部门收支总体情况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（一）收入预算：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包括一般预算拨款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439.05万元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。2022年本部门收入预算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万元，其中，一般公共预算拨款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万元。收入较去年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减少137.51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万元，主要是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经费压缩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28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（二）支出预算：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2022年本部门支出预算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一般公共预算支出439.05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万元。支出较去年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减少137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万元，主要是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办公经费压缩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四、一般公共预算拨款支出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2022年本部门一般公共预算拨款支出预算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万元，具体安排情况如下：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基本支出：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2022年本部门基本支出预算数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209.25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万元，主要是为保障部门正常运转、完成日常工作任务而发生的各项支出，包括用于工资福利支出等人员经费以及办公费、印刷费、水电费、办公设备购置等公用经费。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（二）项目支出：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2022年本部门项目支出预算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229.8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一般公共预算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219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元，主要用于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村干部报酬、村级办公经费、村民服务经费、人大妇联团委经费、乡镇党校办学经费、乡镇纪检办案经费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等方面。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五、政府性基金预算支出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2022年本部门无政府性基金安排的支出。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六、其他重要事项的情况说明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机关运行经费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  <w:highlight w:val="non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2022年本部门机关运行经费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26.68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万元，比上年预算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减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少43.87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缩减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比例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60.8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%，主要是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办公经费压缩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）“三公”经费预算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default" w:ascii="仿宋_GB2312" w:hAnsi="宋体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2022年本部门“三公”经费预算数为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万元，其中，公务接待费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万元（其中，公务用车购置费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公务用车购置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0辆，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公务用车运行费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万元），因公出国（境）费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万元。2022年“三公”经费预算较2021年相比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持平。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三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）一般性支出情况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办公费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5万元，印刷费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2万元，水电费预算1万元，，维修费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1万元，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会议费预算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工会经费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公务用车运行维护费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4.5万元，其他商品与服务支出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0.18万元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四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）政府采购情况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2022年本部门政府采购预算总额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万元，其中，货物类采购预算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万元；工程类采购预算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万元；服务类采购预算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五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）国有资产占用使用及新增资产配置情况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截至2021年12月底，本部门共有公务用车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辆，其中，机要通信用车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辆，应急保障用车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辆，执法执勤用车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辆，特种专业技术用车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辆，其他按照规定配备的公务用车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辆；单位价值50万元以上通用设备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台，单位价值100万元以上专用设备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台。2022年拟新增配置公务用车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辆，其中，机要通信用车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辆，应急保障用车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辆，执法执勤用车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辆，特种专业技术用车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辆，其他按照规定配备的公务用车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辆；新增配备单位价值50万元以上通用设备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台，单位价值100万元以上专用设备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台。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六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）预算绩效目标说明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本部门所有支出实行绩效目标管理。纳入2022年部门整体支出绩效目标的金额为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439.05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万元，其中，基本支出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209.25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万元，项目支出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229.8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6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七、名词解释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1、基本支出：是指为保障单位机构正常运转、完成日常工作任务而发生的各项支出，包括用于基本工资、津贴补贴等人员经费以及办公费、印刷费、水电费、办公设备购置等日常公用经费。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2、项目支出：是指单位为完成特定行政工作任务或事业发展目标而发生的支出。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3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3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4、“三公”经费：是指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/>
        <w:jc w:val="both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720"/>
        <w:jc w:val="center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6"/>
          <w:szCs w:val="36"/>
        </w:rPr>
        <w:t>第二部分 2022年部门预算表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720"/>
        <w:jc w:val="center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eastAsia="仿宋_GB2312" w:cs="仿宋_GB2312"/>
          <w:color w:val="0000FF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eastAsia="仿宋_GB2312" w:cs="仿宋_GB2312"/>
          <w:color w:val="0000FF"/>
          <w:sz w:val="32"/>
          <w:szCs w:val="32"/>
          <w:u w:val="none"/>
          <w:lang w:eastAsia="zh-CN"/>
        </w:rPr>
        <w:instrText xml:space="preserve"> HYPERLINK "../../../../Desktop/横岭部门预算公开表2022.xlsx" </w:instrText>
      </w:r>
      <w:r>
        <w:rPr>
          <w:rFonts w:hint="eastAsia" w:ascii="仿宋_GB2312" w:eastAsia="仿宋_GB2312" w:cs="仿宋_GB2312"/>
          <w:color w:val="0000FF"/>
          <w:sz w:val="32"/>
          <w:szCs w:val="32"/>
          <w:u w:val="none"/>
          <w:lang w:eastAsia="zh-CN"/>
        </w:rPr>
        <w:fldChar w:fldCharType="separate"/>
      </w:r>
      <w:r>
        <w:rPr>
          <w:rStyle w:val="4"/>
          <w:rFonts w:hint="eastAsia" w:ascii="仿宋_GB2312" w:eastAsia="仿宋_GB2312" w:cs="仿宋_GB2312"/>
          <w:color w:val="0000FF"/>
          <w:sz w:val="32"/>
          <w:szCs w:val="32"/>
          <w:lang w:eastAsia="zh-CN"/>
        </w:rPr>
        <w:t>道县横岭瑶族乡人民政府</w:t>
      </w:r>
      <w:r>
        <w:rPr>
          <w:rStyle w:val="4"/>
          <w:rFonts w:hint="eastAsia" w:ascii="仿宋_GB2312" w:hAnsi="宋体" w:eastAsia="仿宋_GB2312" w:cs="仿宋_GB2312"/>
          <w:color w:val="0000FF"/>
          <w:sz w:val="32"/>
          <w:szCs w:val="32"/>
        </w:rPr>
        <w:t>2022年部门预算公开表.xls</w:t>
      </w:r>
      <w:r>
        <w:rPr>
          <w:rFonts w:hint="eastAsia" w:ascii="仿宋_GB2312" w:eastAsia="仿宋_GB2312" w:cs="仿宋_GB2312"/>
          <w:color w:val="0000FF"/>
          <w:sz w:val="32"/>
          <w:szCs w:val="32"/>
          <w:u w:val="none"/>
          <w:lang w:eastAsia="zh-CN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_GB2312" w:hAnsi="宋体" w:eastAsia="仿宋_GB2312" w:cs="仿宋_GB2312"/>
          <w:kern w:val="0"/>
          <w:sz w:val="21"/>
          <w:szCs w:val="21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</w:rPr>
        <w:t xml:space="preserve"> </w:t>
      </w:r>
    </w:p>
    <w:p/>
    <w:sectPr>
      <w:pgSz w:w="16839" w:h="11906" w:orient="landscape"/>
      <w:pgMar w:top="1800" w:right="1440" w:bottom="1800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2IxOGRjMmZjNjJmYjE3OTI0MGViNjQ4ZTAxM2YifQ=="/>
  </w:docVars>
  <w:rsids>
    <w:rsidRoot w:val="6AC24129"/>
    <w:rsid w:val="016865C3"/>
    <w:rsid w:val="055A349C"/>
    <w:rsid w:val="09CA5C44"/>
    <w:rsid w:val="0E2C62DC"/>
    <w:rsid w:val="23C06B5F"/>
    <w:rsid w:val="380134EA"/>
    <w:rsid w:val="3A913BCA"/>
    <w:rsid w:val="47021CDB"/>
    <w:rsid w:val="482F5E51"/>
    <w:rsid w:val="56647FAC"/>
    <w:rsid w:val="611A78B4"/>
    <w:rsid w:val="68D83F4F"/>
    <w:rsid w:val="6AC24129"/>
    <w:rsid w:val="726B2D0F"/>
    <w:rsid w:val="76166C49"/>
    <w:rsid w:val="778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2255</Words>
  <Characters>2429</Characters>
  <Lines>0</Lines>
  <Paragraphs>0</Paragraphs>
  <TotalTime>0</TotalTime>
  <ScaleCrop>false</ScaleCrop>
  <LinksUpToDate>false</LinksUpToDate>
  <CharactersWithSpaces>2512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2022-04-27T07:31:00Z</dcterms:created>
  <dc:creator>Administrator</dc:creator>
  <cp:lastModifiedBy>@～@</cp:lastModifiedBy>
  <dcterms:modified xsi:type="dcterms:W3CDTF">2023-09-27T00:58:01Z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A74717F99DB3435A85A07E5F76FDF552_13</vt:lpwstr>
  </property>
</Properties>
</file>