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center"/>
        <w:rPr>
          <w:rFonts w:hint="eastAsia"/>
          <w:sz w:val="56"/>
          <w:szCs w:val="56"/>
        </w:rPr>
      </w:pPr>
      <w:bookmarkStart w:id="3" w:name="_GoBack"/>
      <w:bookmarkEnd w:id="3"/>
    </w:p>
    <w:p>
      <w:pPr>
        <w:pStyle w:val="12"/>
        <w:jc w:val="center"/>
        <w:rPr>
          <w:sz w:val="56"/>
          <w:szCs w:val="56"/>
        </w:rPr>
      </w:pPr>
    </w:p>
    <w:p>
      <w:pPr>
        <w:pStyle w:val="12"/>
        <w:jc w:val="center"/>
        <w:rPr>
          <w:sz w:val="84"/>
          <w:szCs w:val="84"/>
        </w:rPr>
      </w:pPr>
    </w:p>
    <w:p>
      <w:pPr>
        <w:pStyle w:val="12"/>
        <w:jc w:val="center"/>
        <w:rPr>
          <w:sz w:val="84"/>
          <w:szCs w:val="84"/>
        </w:rPr>
      </w:pPr>
    </w:p>
    <w:p>
      <w:pPr>
        <w:pStyle w:val="12"/>
        <w:jc w:val="center"/>
        <w:rPr>
          <w:sz w:val="84"/>
          <w:szCs w:val="84"/>
        </w:rPr>
      </w:pPr>
      <w:r>
        <w:rPr>
          <w:rFonts w:hint="eastAsia"/>
          <w:sz w:val="84"/>
          <w:szCs w:val="84"/>
        </w:rPr>
        <w:t>2021年度</w:t>
      </w:r>
    </w:p>
    <w:p>
      <w:pPr>
        <w:pStyle w:val="12"/>
        <w:jc w:val="center"/>
        <w:rPr>
          <w:rFonts w:hint="eastAsia"/>
          <w:sz w:val="84"/>
          <w:szCs w:val="84"/>
          <w:lang w:eastAsia="zh-CN"/>
        </w:rPr>
      </w:pPr>
      <w:r>
        <w:rPr>
          <w:rFonts w:hint="eastAsia"/>
          <w:sz w:val="84"/>
          <w:szCs w:val="84"/>
          <w:lang w:eastAsia="zh-CN"/>
        </w:rPr>
        <w:t>道县行政审批服务局</w:t>
      </w:r>
    </w:p>
    <w:p>
      <w:pPr>
        <w:pStyle w:val="12"/>
        <w:jc w:val="center"/>
        <w:rPr>
          <w:sz w:val="84"/>
          <w:szCs w:val="84"/>
        </w:rPr>
      </w:pPr>
      <w:r>
        <w:rPr>
          <w:rFonts w:hint="eastAsia"/>
          <w:sz w:val="84"/>
          <w:szCs w:val="84"/>
        </w:rPr>
        <w:t>部门决算</w:t>
      </w:r>
    </w:p>
    <w:p>
      <w:pPr>
        <w:pStyle w:val="12"/>
        <w:jc w:val="center"/>
        <w:rPr>
          <w:sz w:val="56"/>
          <w:szCs w:val="56"/>
        </w:rPr>
      </w:pPr>
    </w:p>
    <w:p>
      <w:pPr>
        <w:pStyle w:val="12"/>
        <w:jc w:val="center"/>
        <w:rPr>
          <w:sz w:val="56"/>
          <w:szCs w:val="56"/>
        </w:rPr>
      </w:pPr>
    </w:p>
    <w:p>
      <w:pPr>
        <w:pStyle w:val="12"/>
        <w:jc w:val="center"/>
        <w:rPr>
          <w:sz w:val="56"/>
          <w:szCs w:val="56"/>
        </w:rPr>
      </w:pPr>
    </w:p>
    <w:p>
      <w:pPr>
        <w:pStyle w:val="12"/>
        <w:jc w:val="center"/>
        <w:rPr>
          <w:sz w:val="56"/>
          <w:szCs w:val="56"/>
        </w:rPr>
      </w:pPr>
    </w:p>
    <w:p>
      <w:pPr>
        <w:pStyle w:val="12"/>
        <w:jc w:val="center"/>
        <w:rPr>
          <w:sz w:val="32"/>
          <w:szCs w:val="32"/>
        </w:rPr>
      </w:pPr>
    </w:p>
    <w:p>
      <w:pPr>
        <w:pStyle w:val="12"/>
        <w:jc w:val="center"/>
        <w:rPr>
          <w:sz w:val="32"/>
          <w:szCs w:val="32"/>
        </w:rPr>
      </w:pPr>
    </w:p>
    <w:p>
      <w:pPr>
        <w:pStyle w:val="12"/>
        <w:jc w:val="center"/>
        <w:rPr>
          <w:sz w:val="32"/>
          <w:szCs w:val="32"/>
        </w:rPr>
      </w:pPr>
    </w:p>
    <w:p>
      <w:pPr>
        <w:pStyle w:val="12"/>
        <w:jc w:val="center"/>
        <w:rPr>
          <w:sz w:val="32"/>
          <w:szCs w:val="32"/>
        </w:rPr>
      </w:pPr>
    </w:p>
    <w:p>
      <w:pPr>
        <w:pStyle w:val="12"/>
        <w:spacing w:line="500" w:lineRule="exact"/>
        <w:jc w:val="both"/>
        <w:rPr>
          <w:b/>
          <w:sz w:val="36"/>
          <w:szCs w:val="28"/>
        </w:rPr>
      </w:pPr>
    </w:p>
    <w:p>
      <w:pPr>
        <w:pStyle w:val="12"/>
        <w:spacing w:line="500" w:lineRule="exact"/>
        <w:jc w:val="center"/>
        <w:rPr>
          <w:b/>
          <w:sz w:val="36"/>
          <w:szCs w:val="28"/>
        </w:rPr>
      </w:pPr>
    </w:p>
    <w:p>
      <w:pPr>
        <w:pStyle w:val="12"/>
        <w:spacing w:line="500" w:lineRule="exact"/>
        <w:jc w:val="center"/>
        <w:rPr>
          <w:b/>
          <w:sz w:val="36"/>
          <w:szCs w:val="28"/>
        </w:rPr>
      </w:pPr>
      <w:r>
        <w:rPr>
          <w:rFonts w:hint="eastAsia"/>
          <w:b/>
          <w:sz w:val="36"/>
          <w:szCs w:val="28"/>
        </w:rPr>
        <w:t>目录</w:t>
      </w:r>
    </w:p>
    <w:p>
      <w:pPr>
        <w:pStyle w:val="12"/>
        <w:spacing w:line="500" w:lineRule="exact"/>
        <w:rPr>
          <w:rFonts w:ascii="仿宋_GB2312" w:hAnsi="仿宋_GB2312" w:cs="仿宋_GB2312"/>
          <w:b/>
          <w:sz w:val="28"/>
          <w:szCs w:val="28"/>
        </w:rPr>
      </w:pPr>
      <w:r>
        <w:rPr>
          <w:rFonts w:hint="eastAsia"/>
          <w:b/>
          <w:sz w:val="28"/>
          <w:szCs w:val="28"/>
        </w:rPr>
        <w:t>第一部分</w:t>
      </w:r>
      <w:r>
        <w:rPr>
          <w:rFonts w:hint="eastAsia"/>
          <w:b/>
          <w:sz w:val="28"/>
          <w:szCs w:val="28"/>
          <w:lang w:eastAsia="zh-CN"/>
        </w:rPr>
        <w:t>道县行政审批服务局</w:t>
      </w:r>
      <w:r>
        <w:rPr>
          <w:rFonts w:hint="eastAsia"/>
          <w:b/>
          <w:sz w:val="28"/>
          <w:szCs w:val="28"/>
        </w:rPr>
        <w:t>单位概况</w:t>
      </w:r>
    </w:p>
    <w:p>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pPr>
        <w:pStyle w:val="12"/>
        <w:spacing w:line="500" w:lineRule="exact"/>
        <w:rPr>
          <w:rFonts w:ascii="仿宋_GB2312" w:hAnsi="仿宋_GB2312" w:cs="仿宋_GB2312"/>
          <w:b/>
          <w:sz w:val="28"/>
          <w:szCs w:val="28"/>
        </w:rPr>
      </w:pPr>
      <w:r>
        <w:rPr>
          <w:rFonts w:hint="eastAsia" w:hAnsi="仿宋_GB2312"/>
          <w:b/>
          <w:sz w:val="28"/>
          <w:szCs w:val="28"/>
        </w:rPr>
        <w:t>第二部分</w:t>
      </w:r>
      <w:r>
        <w:rPr>
          <w:rFonts w:hAnsi="仿宋_GB2312"/>
          <w:b/>
          <w:sz w:val="28"/>
          <w:szCs w:val="28"/>
        </w:rPr>
        <w:t>20</w:t>
      </w:r>
      <w:r>
        <w:rPr>
          <w:rFonts w:hint="eastAsia" w:hAnsi="仿宋_GB2312"/>
          <w:b/>
          <w:sz w:val="28"/>
          <w:szCs w:val="28"/>
        </w:rPr>
        <w:t>21年度部门决算表</w:t>
      </w:r>
    </w:p>
    <w:p>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w:t>
      </w:r>
      <w:r>
        <w:rPr>
          <w:rFonts w:hint="eastAsia" w:cs="仿宋_GB2312" w:asciiTheme="minorEastAsia" w:hAnsiTheme="minorEastAsia" w:eastAsiaTheme="minorEastAsia"/>
          <w:sz w:val="28"/>
          <w:szCs w:val="28"/>
        </w:rPr>
        <w:t>明细</w:t>
      </w:r>
      <w:r>
        <w:rPr>
          <w:rFonts w:cs="仿宋_GB2312" w:asciiTheme="minorEastAsia" w:hAnsiTheme="minorEastAsia" w:eastAsiaTheme="minorEastAsia"/>
          <w:sz w:val="28"/>
          <w:szCs w:val="28"/>
        </w:rPr>
        <w:t>表</w:t>
      </w:r>
    </w:p>
    <w:p>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七、一般公共预算财政拨款“三公”经费支出决算表</w:t>
      </w:r>
    </w:p>
    <w:p>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八、政府性基金预算财政拨款收入支出决算表</w:t>
      </w:r>
    </w:p>
    <w:p>
      <w:pPr>
        <w:pStyle w:val="12"/>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九、国有资本经营预算财政拨款支出决算表</w:t>
      </w:r>
    </w:p>
    <w:p>
      <w:pPr>
        <w:pStyle w:val="12"/>
        <w:spacing w:line="500" w:lineRule="exact"/>
        <w:rPr>
          <w:rFonts w:ascii="仿宋_GB2312" w:hAnsi="仿宋_GB2312" w:cs="仿宋_GB2312"/>
          <w:b/>
          <w:sz w:val="28"/>
          <w:szCs w:val="28"/>
        </w:rPr>
      </w:pPr>
      <w:r>
        <w:rPr>
          <w:rFonts w:hint="eastAsia" w:hAnsi="仿宋_GB2312"/>
          <w:b/>
          <w:sz w:val="28"/>
          <w:szCs w:val="28"/>
        </w:rPr>
        <w:t>第三部分</w:t>
      </w:r>
      <w:r>
        <w:rPr>
          <w:rFonts w:hAnsi="仿宋_GB2312"/>
          <w:b/>
          <w:sz w:val="28"/>
          <w:szCs w:val="28"/>
        </w:rPr>
        <w:t>20</w:t>
      </w:r>
      <w:r>
        <w:rPr>
          <w:rFonts w:hint="eastAsia" w:hAnsi="仿宋_GB2312"/>
          <w:b/>
          <w:sz w:val="28"/>
          <w:szCs w:val="28"/>
        </w:rPr>
        <w:t>21年度部门决算情况说明</w:t>
      </w:r>
    </w:p>
    <w:p>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pPr>
        <w:spacing w:line="50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三公</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经费支出决算情况说明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机关运行经费支出说明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十一、政府采购支出说明</w:t>
      </w:r>
    </w:p>
    <w:p>
      <w:pPr>
        <w:pStyle w:val="12"/>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十二、国有资产占用情况说明</w:t>
      </w:r>
    </w:p>
    <w:p>
      <w:pPr>
        <w:pStyle w:val="12"/>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十三、</w:t>
      </w:r>
      <w:r>
        <w:rPr>
          <w:rFonts w:hint="eastAsia" w:cs="仿宋_GB2312" w:asciiTheme="minorEastAsia" w:hAnsiTheme="minorEastAsia" w:eastAsiaTheme="minorEastAsia"/>
          <w:sz w:val="28"/>
          <w:szCs w:val="28"/>
        </w:rPr>
        <w:t>2021年</w:t>
      </w:r>
      <w:r>
        <w:rPr>
          <w:rFonts w:hint="eastAsia" w:ascii="仿宋_GB2312" w:hAnsi="仿宋_GB2312" w:cs="仿宋_GB2312" w:eastAsiaTheme="minorEastAsia"/>
          <w:sz w:val="28"/>
          <w:szCs w:val="28"/>
        </w:rPr>
        <w:t>度预算绩效情况说明</w:t>
      </w:r>
    </w:p>
    <w:p>
      <w:pPr>
        <w:autoSpaceDE w:val="0"/>
        <w:autoSpaceDN w:val="0"/>
        <w:adjustRightInd w:val="0"/>
        <w:spacing w:line="500" w:lineRule="exact"/>
        <w:jc w:val="left"/>
        <w:rPr>
          <w:rFonts w:ascii="黑体" w:hAnsi="黑体" w:eastAsia="黑体" w:cs="黑体"/>
          <w:b/>
          <w:color w:val="000000"/>
          <w:kern w:val="0"/>
          <w:sz w:val="28"/>
          <w:szCs w:val="28"/>
        </w:rPr>
      </w:pPr>
      <w:r>
        <w:rPr>
          <w:rFonts w:ascii="黑体" w:hAnsi="黑体" w:eastAsia="黑体" w:cs="黑体"/>
          <w:b/>
          <w:color w:val="000000"/>
          <w:kern w:val="0"/>
          <w:sz w:val="28"/>
          <w:szCs w:val="28"/>
        </w:rPr>
        <w:t>第四部分名词解释</w:t>
      </w:r>
    </w:p>
    <w:p>
      <w:pPr>
        <w:autoSpaceDE w:val="0"/>
        <w:autoSpaceDN w:val="0"/>
        <w:adjustRightInd w:val="0"/>
        <w:spacing w:line="500" w:lineRule="exact"/>
        <w:jc w:val="left"/>
        <w:rPr>
          <w:rFonts w:ascii="黑体" w:hAnsi="黑体" w:eastAsia="黑体" w:cs="仿宋_GB2312"/>
          <w:b/>
          <w:color w:val="000000"/>
          <w:kern w:val="0"/>
          <w:sz w:val="28"/>
          <w:szCs w:val="28"/>
        </w:rPr>
      </w:pPr>
      <w:r>
        <w:rPr>
          <w:rFonts w:hint="eastAsia" w:ascii="黑体" w:hAnsi="黑体" w:eastAsia="黑体" w:cs="黑体"/>
          <w:b/>
          <w:color w:val="000000"/>
          <w:kern w:val="0"/>
          <w:sz w:val="28"/>
          <w:szCs w:val="28"/>
        </w:rPr>
        <w:t>第五部分附件</w:t>
      </w:r>
    </w:p>
    <w:p>
      <w:pPr>
        <w:jc w:val="center"/>
        <w:rPr>
          <w:sz w:val="72"/>
          <w:szCs w:val="72"/>
        </w:rPr>
      </w:pPr>
    </w:p>
    <w:p>
      <w:pPr>
        <w:jc w:val="center"/>
        <w:rPr>
          <w:sz w:val="72"/>
          <w:szCs w:val="72"/>
        </w:rPr>
      </w:pPr>
    </w:p>
    <w:p>
      <w:pPr>
        <w:jc w:val="center"/>
        <w:rPr>
          <w:sz w:val="72"/>
          <w:szCs w:val="72"/>
        </w:rPr>
      </w:pPr>
    </w:p>
    <w:p>
      <w:pPr>
        <w:jc w:val="center"/>
        <w:rPr>
          <w:sz w:val="72"/>
          <w:szCs w:val="72"/>
        </w:rPr>
      </w:pPr>
    </w:p>
    <w:p>
      <w:pPr>
        <w:rPr>
          <w:sz w:val="72"/>
          <w:szCs w:val="72"/>
        </w:rPr>
      </w:pPr>
    </w:p>
    <w:p>
      <w:pPr>
        <w:pStyle w:val="12"/>
        <w:jc w:val="center"/>
        <w:rPr>
          <w:sz w:val="84"/>
          <w:szCs w:val="84"/>
        </w:rPr>
      </w:pPr>
      <w:r>
        <w:rPr>
          <w:rFonts w:hint="eastAsia"/>
          <w:sz w:val="84"/>
          <w:szCs w:val="84"/>
        </w:rPr>
        <w:t>第一部分</w:t>
      </w:r>
      <w:r>
        <w:rPr>
          <w:sz w:val="84"/>
          <w:szCs w:val="84"/>
        </w:rPr>
        <w:t xml:space="preserve"> </w:t>
      </w:r>
    </w:p>
    <w:p>
      <w:pPr>
        <w:pStyle w:val="12"/>
        <w:jc w:val="center"/>
        <w:rPr>
          <w:sz w:val="84"/>
          <w:szCs w:val="84"/>
        </w:rPr>
      </w:pPr>
    </w:p>
    <w:p>
      <w:pPr>
        <w:pStyle w:val="12"/>
        <w:jc w:val="center"/>
        <w:rPr>
          <w:sz w:val="84"/>
          <w:szCs w:val="84"/>
        </w:rPr>
      </w:pPr>
      <w:r>
        <w:rPr>
          <w:rFonts w:hint="eastAsia"/>
          <w:sz w:val="84"/>
          <w:szCs w:val="84"/>
          <w:lang w:eastAsia="zh-CN"/>
        </w:rPr>
        <w:t>道县行政审批服务局</w:t>
      </w:r>
      <w:r>
        <w:rPr>
          <w:rFonts w:hint="eastAsia"/>
          <w:sz w:val="84"/>
          <w:szCs w:val="84"/>
        </w:rPr>
        <w:t>概况</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3"/>
        <w:ind w:left="720" w:firstLine="0" w:firstLineChars="0"/>
        <w:jc w:val="left"/>
        <w:rPr>
          <w:rFonts w:ascii="黑体" w:hAnsi="黑体" w:eastAsia="黑体"/>
          <w:sz w:val="32"/>
          <w:szCs w:val="32"/>
        </w:rPr>
      </w:pPr>
    </w:p>
    <w:p>
      <w:pPr>
        <w:pStyle w:val="13"/>
        <w:ind w:left="720" w:firstLine="0" w:firstLineChars="0"/>
        <w:jc w:val="left"/>
        <w:rPr>
          <w:rFonts w:ascii="黑体" w:hAnsi="黑体" w:eastAsia="黑体"/>
          <w:sz w:val="32"/>
          <w:szCs w:val="32"/>
        </w:rPr>
      </w:pPr>
    </w:p>
    <w:p>
      <w:pPr>
        <w:pStyle w:val="13"/>
        <w:ind w:left="720" w:firstLine="0" w:firstLineChars="0"/>
        <w:jc w:val="left"/>
        <w:rPr>
          <w:rFonts w:ascii="黑体" w:hAnsi="黑体" w:eastAsia="黑体"/>
          <w:sz w:val="32"/>
          <w:szCs w:val="32"/>
        </w:rPr>
      </w:pPr>
    </w:p>
    <w:p>
      <w:pPr>
        <w:pStyle w:val="13"/>
        <w:numPr>
          <w:ilvl w:val="0"/>
          <w:numId w:val="1"/>
        </w:numPr>
        <w:ind w:firstLineChars="0"/>
        <w:jc w:val="left"/>
        <w:rPr>
          <w:rFonts w:ascii="黑体" w:hAnsi="黑体" w:eastAsia="黑体"/>
          <w:sz w:val="32"/>
          <w:szCs w:val="32"/>
        </w:rPr>
      </w:pPr>
      <w:r>
        <w:rPr>
          <w:rFonts w:ascii="黑体" w:hAnsi="黑体" w:eastAsia="黑体"/>
          <w:sz w:val="32"/>
          <w:szCs w:val="32"/>
        </w:rPr>
        <w:t>部门职责</w:t>
      </w:r>
    </w:p>
    <w:p>
      <w:pPr>
        <w:ind w:firstLine="640" w:firstLineChars="200"/>
        <w:rPr>
          <w:rFonts w:asciiTheme="minorEastAsia" w:hAnsiTheme="minorEastAsia"/>
          <w:sz w:val="32"/>
          <w:szCs w:val="32"/>
        </w:rPr>
      </w:pPr>
      <w:r>
        <w:rPr>
          <w:rFonts w:hint="eastAsia" w:asciiTheme="minorEastAsia" w:hAnsiTheme="minorEastAsia"/>
          <w:sz w:val="32"/>
          <w:szCs w:val="32"/>
        </w:rPr>
        <w:t>（一）</w:t>
      </w:r>
      <w:r>
        <w:rPr>
          <w:rFonts w:hint="eastAsia" w:ascii="宋体" w:hAnsi="宋体" w:eastAsia="宋体" w:cs="宋体"/>
          <w:sz w:val="32"/>
          <w:szCs w:val="32"/>
        </w:rPr>
        <w:t>推进、指导、协调、监督全县政务公开(政府信息公开、办事公开)和政务服务体系建设。承担县政务公开政务服务领导 小组办公室的日常工作；拟订全县政务公开、政务服务工作发展 规划和年度计划，建立和完善相应工作机制。</w:t>
      </w:r>
    </w:p>
    <w:p>
      <w:pPr>
        <w:ind w:firstLine="640" w:firstLineChars="200"/>
        <w:rPr>
          <w:rFonts w:hint="eastAsia" w:ascii="宋体" w:hAnsi="宋体" w:eastAsia="宋体" w:cs="宋体"/>
          <w:sz w:val="32"/>
          <w:szCs w:val="32"/>
        </w:rPr>
      </w:pPr>
      <w:r>
        <w:rPr>
          <w:rFonts w:hint="eastAsia" w:asciiTheme="minorEastAsia" w:hAnsiTheme="minorEastAsia"/>
          <w:sz w:val="32"/>
          <w:szCs w:val="32"/>
        </w:rPr>
        <w:t>（二）</w:t>
      </w:r>
      <w:r>
        <w:rPr>
          <w:rFonts w:hint="eastAsia" w:ascii="宋体" w:hAnsi="宋体" w:eastAsia="宋体" w:cs="宋体"/>
          <w:sz w:val="32"/>
          <w:szCs w:val="32"/>
        </w:rPr>
        <w:t>指导、协调、推进全县行政审批制度改革工作。承担县行政审批制度改革领导小组办公室的日常工作；拟订行政审批服务有关规章制度及管理办法并组织监督实施；牵头负责县“放管服”改革工作。</w:t>
      </w:r>
    </w:p>
    <w:p>
      <w:pPr>
        <w:ind w:firstLine="640"/>
        <w:jc w:val="left"/>
        <w:rPr>
          <w:rFonts w:hint="eastAsia" w:ascii="宋体" w:hAnsi="宋体" w:eastAsia="宋体" w:cs="宋体"/>
          <w:sz w:val="32"/>
          <w:szCs w:val="32"/>
        </w:rPr>
      </w:pPr>
      <w:r>
        <w:rPr>
          <w:rFonts w:hint="eastAsia" w:asciiTheme="minorEastAsia" w:hAnsiTheme="minorEastAsia"/>
          <w:sz w:val="32"/>
          <w:szCs w:val="32"/>
          <w:lang w:val="en-US" w:eastAsia="zh-CN"/>
        </w:rPr>
        <w:t>（三）</w:t>
      </w:r>
      <w:r>
        <w:rPr>
          <w:rFonts w:hint="eastAsia" w:ascii="宋体" w:hAnsi="宋体" w:eastAsia="宋体" w:cs="宋体"/>
          <w:sz w:val="32"/>
          <w:szCs w:val="32"/>
        </w:rPr>
        <w:t>统筹协调、规划指导、监督评估全县电子政务等工作；统筹推进、协调监督全县“互联网+政务服务”工作。统筹规划、监督考核全县电子政务网络和政府系统网站。</w:t>
      </w:r>
    </w:p>
    <w:p>
      <w:pPr>
        <w:pStyle w:val="2"/>
        <w:ind w:firstLine="640"/>
        <w:rPr>
          <w:rFonts w:hint="eastAsia" w:ascii="宋体" w:hAnsi="宋体" w:eastAsia="宋体" w:cs="宋体"/>
          <w:kern w:val="2"/>
          <w:sz w:val="32"/>
          <w:szCs w:val="32"/>
          <w:lang w:val="en-US" w:eastAsia="zh-CN" w:bidi="ar-SA"/>
        </w:rPr>
      </w:pPr>
      <w:r>
        <w:rPr>
          <w:rFonts w:hint="eastAsia"/>
          <w:sz w:val="32"/>
          <w:szCs w:val="32"/>
          <w:lang w:val="en-US" w:eastAsia="zh-CN"/>
        </w:rPr>
        <w:t>（四）</w:t>
      </w:r>
      <w:r>
        <w:rPr>
          <w:rFonts w:hint="eastAsia" w:ascii="宋体" w:hAnsi="宋体" w:eastAsia="宋体" w:cs="宋体"/>
          <w:kern w:val="2"/>
          <w:sz w:val="32"/>
          <w:szCs w:val="32"/>
          <w:lang w:val="en-US" w:eastAsia="zh-CN" w:bidi="ar-SA"/>
        </w:rPr>
        <w:t>统筹协调、规划指导、监督评估全县政务信息化、大数据建设管理和应用等工作；组织协调推进政务数据资源共享和开放工作，统筹政务数据资源的采集、分类、管理、分析和应用工作。</w:t>
      </w:r>
    </w:p>
    <w:p>
      <w:pPr>
        <w:keepNext w:val="0"/>
        <w:keepLines w:val="0"/>
        <w:pageBreakBefore w:val="0"/>
        <w:kinsoku/>
        <w:wordWrap/>
        <w:overflowPunct/>
        <w:topLinePunct w:val="0"/>
        <w:autoSpaceDE/>
        <w:autoSpaceDN/>
        <w:bidi w:val="0"/>
        <w:spacing w:beforeAutospacing="0" w:line="520" w:lineRule="exact"/>
        <w:ind w:firstLine="640" w:firstLineChars="200"/>
        <w:jc w:val="left"/>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（五）承担县优化营商环境联席会议办公室的日常工作。负责全县优化营商环境工作的组织实施和监督、检查、考核；维护营商政务、法制、信用等环境；协调推进全县行政效能工作。</w:t>
      </w:r>
    </w:p>
    <w:p>
      <w:pPr>
        <w:keepNext w:val="0"/>
        <w:keepLines w:val="0"/>
        <w:pageBreakBefore w:val="0"/>
        <w:kinsoku/>
        <w:wordWrap/>
        <w:overflowPunct/>
        <w:topLinePunct w:val="0"/>
        <w:autoSpaceDE/>
        <w:autoSpaceDN/>
        <w:bidi w:val="0"/>
        <w:spacing w:beforeAutospacing="0" w:line="520" w:lineRule="exact"/>
        <w:ind w:firstLine="640" w:firstLineChars="200"/>
        <w:jc w:val="left"/>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（六）承担县社会诚信体系建设领导小组办公室的日常工作。组织协调、监督推进全县有关中央、省社会信用体系建设的法律 法规、决策部署的贯彻落实。拟订并组织实施全县社会信用体系 建设的总体规划和政策措施；统筹推进统一的信用信息平台建设，促进信用信息资源的整合与运用，协调社会信用体系建设的重大问题；拟订守信联合激励和失信联合惩戒制度，牵头组织对重点领域和严重失信行为实施联合惩戒。</w:t>
      </w:r>
    </w:p>
    <w:p>
      <w:pPr>
        <w:keepNext w:val="0"/>
        <w:keepLines w:val="0"/>
        <w:pageBreakBefore w:val="0"/>
        <w:kinsoku/>
        <w:wordWrap/>
        <w:overflowPunct/>
        <w:topLinePunct w:val="0"/>
        <w:autoSpaceDE/>
        <w:autoSpaceDN/>
        <w:bidi w:val="0"/>
        <w:spacing w:beforeAutospacing="0" w:line="520" w:lineRule="exact"/>
        <w:ind w:firstLine="640" w:firstLineChars="200"/>
        <w:jc w:val="left"/>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（七）承担县政务联动处置领导小组办公室的日常工作。负责 拟订全县政务联动处置和城乡网格化建设管理工作规则；统筹规划、指挥协调、管理督导全县12345公共服务热线、政务联动处 置和城乡网格化建设管理。</w:t>
      </w:r>
    </w:p>
    <w:p>
      <w:pPr>
        <w:keepNext w:val="0"/>
        <w:keepLines w:val="0"/>
        <w:pageBreakBefore w:val="0"/>
        <w:kinsoku/>
        <w:wordWrap/>
        <w:overflowPunct/>
        <w:topLinePunct w:val="0"/>
        <w:autoSpaceDE/>
        <w:autoSpaceDN/>
        <w:bidi w:val="0"/>
        <w:spacing w:beforeAutospacing="0" w:line="520" w:lineRule="exact"/>
        <w:ind w:firstLine="640" w:firstLineChars="200"/>
        <w:jc w:val="left"/>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（八）承办县委、县政府交办的其他事项，承办县人大建议、县政协提案等事宜。</w:t>
      </w:r>
    </w:p>
    <w:p>
      <w:pPr>
        <w:jc w:val="left"/>
        <w:rPr>
          <w:rFonts w:asciiTheme="minorEastAsia" w:hAnsiTheme="minorEastAsia"/>
          <w:sz w:val="32"/>
          <w:szCs w:val="32"/>
        </w:rPr>
      </w:pPr>
    </w:p>
    <w:p>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pPr>
        <w:widowControl/>
        <w:spacing w:line="600" w:lineRule="exact"/>
        <w:rPr>
          <w:rFonts w:hint="eastAsia" w:asciiTheme="minorEastAsia" w:hAnsiTheme="minorEastAsia"/>
          <w:bCs/>
          <w:kern w:val="0"/>
          <w:sz w:val="32"/>
          <w:szCs w:val="32"/>
        </w:rPr>
      </w:pPr>
      <w:r>
        <w:rPr>
          <w:rFonts w:hint="eastAsia" w:asciiTheme="minorEastAsia" w:hAnsiTheme="minorEastAsia"/>
          <w:bCs/>
          <w:kern w:val="0"/>
          <w:sz w:val="32"/>
          <w:szCs w:val="32"/>
        </w:rPr>
        <w:t>（一）内设机构设置。</w:t>
      </w:r>
      <w:r>
        <w:rPr>
          <w:rFonts w:hint="eastAsia" w:asciiTheme="minorEastAsia" w:hAnsiTheme="minorEastAsia"/>
          <w:bCs/>
          <w:kern w:val="0"/>
          <w:sz w:val="32"/>
          <w:szCs w:val="32"/>
          <w:lang w:eastAsia="zh-CN"/>
        </w:rPr>
        <w:t>行政审批服务局</w:t>
      </w:r>
      <w:r>
        <w:rPr>
          <w:rFonts w:hint="eastAsia" w:asciiTheme="minorEastAsia" w:hAnsiTheme="minorEastAsia"/>
          <w:bCs/>
          <w:kern w:val="0"/>
          <w:sz w:val="32"/>
          <w:szCs w:val="32"/>
        </w:rPr>
        <w:t>单位内设机构包括：</w:t>
      </w:r>
      <w:r>
        <w:rPr>
          <w:rFonts w:hint="eastAsia" w:asciiTheme="minorEastAsia" w:hAnsiTheme="minorEastAsia"/>
          <w:bCs/>
          <w:kern w:val="0"/>
          <w:sz w:val="32"/>
          <w:szCs w:val="32"/>
          <w:lang w:eastAsia="zh-CN"/>
        </w:rPr>
        <w:t>综合办公室、政工财务股、政务联动处置股、政务公开和服务管理股（加挂县政务公开政务服务领导小组办公室牌子）、行政审批制度改革股、大数据建设管理股（电子政务室）、社会信用体系建设管理股、优化营商环境工作办公室（政策法规股）8个管理机构。</w:t>
      </w:r>
    </w:p>
    <w:p>
      <w:pPr>
        <w:widowControl/>
        <w:spacing w:line="600" w:lineRule="exact"/>
        <w:rPr>
          <w:rFonts w:hint="eastAsia" w:asciiTheme="minorEastAsia" w:hAnsiTheme="minorEastAsia" w:eastAsiaTheme="minorEastAsia"/>
          <w:bCs/>
          <w:kern w:val="0"/>
          <w:sz w:val="32"/>
          <w:szCs w:val="32"/>
          <w:lang w:eastAsia="zh-CN"/>
        </w:rPr>
      </w:pPr>
      <w:r>
        <w:rPr>
          <w:rFonts w:hint="eastAsia" w:asciiTheme="minorEastAsia" w:hAnsiTheme="minorEastAsia"/>
          <w:bCs/>
          <w:kern w:val="0"/>
          <w:sz w:val="32"/>
          <w:szCs w:val="32"/>
        </w:rPr>
        <w:t>（二）决算单位构成。</w:t>
      </w:r>
      <w:r>
        <w:rPr>
          <w:rFonts w:hint="eastAsia" w:asciiTheme="minorEastAsia" w:hAnsiTheme="minorEastAsia"/>
          <w:bCs/>
          <w:kern w:val="0"/>
          <w:sz w:val="32"/>
          <w:szCs w:val="32"/>
          <w:lang w:eastAsia="zh-CN"/>
        </w:rPr>
        <w:t>道县行政审批服务局</w:t>
      </w:r>
      <w:r>
        <w:rPr>
          <w:rFonts w:asciiTheme="minorEastAsia" w:hAnsiTheme="minorEastAsia"/>
          <w:bCs/>
          <w:kern w:val="0"/>
          <w:sz w:val="32"/>
          <w:szCs w:val="32"/>
        </w:rPr>
        <w:t>20</w:t>
      </w:r>
      <w:r>
        <w:rPr>
          <w:rFonts w:hint="eastAsia" w:asciiTheme="minorEastAsia" w:hAnsiTheme="minorEastAsia"/>
          <w:bCs/>
          <w:kern w:val="0"/>
          <w:sz w:val="32"/>
          <w:szCs w:val="32"/>
        </w:rPr>
        <w:t>21年部门决算汇总公开单位构成包括：</w:t>
      </w:r>
      <w:r>
        <w:rPr>
          <w:rFonts w:hint="eastAsia" w:asciiTheme="minorEastAsia" w:hAnsiTheme="minorEastAsia"/>
          <w:bCs/>
          <w:kern w:val="0"/>
          <w:sz w:val="32"/>
          <w:szCs w:val="32"/>
          <w:lang w:eastAsia="zh-CN"/>
        </w:rPr>
        <w:t>道县行政审批局</w:t>
      </w:r>
      <w:r>
        <w:rPr>
          <w:rFonts w:hint="eastAsia" w:asciiTheme="minorEastAsia" w:hAnsiTheme="minorEastAsia"/>
          <w:bCs/>
          <w:kern w:val="0"/>
          <w:sz w:val="32"/>
          <w:szCs w:val="32"/>
        </w:rPr>
        <w:t>本级</w:t>
      </w:r>
      <w:r>
        <w:rPr>
          <w:rFonts w:hint="eastAsia" w:asciiTheme="minorEastAsia" w:hAnsiTheme="minorEastAsia"/>
          <w:bCs/>
          <w:kern w:val="0"/>
          <w:sz w:val="32"/>
          <w:szCs w:val="32"/>
          <w:lang w:eastAsia="zh-CN"/>
        </w:rPr>
        <w:t>。</w:t>
      </w:r>
    </w:p>
    <w:p>
      <w:pPr>
        <w:widowControl/>
        <w:spacing w:line="600" w:lineRule="exact"/>
        <w:rPr>
          <w:rFonts w:asciiTheme="minorEastAsia" w:hAnsiTheme="minorEastAsia"/>
          <w:bCs/>
          <w:kern w:val="0"/>
          <w:sz w:val="32"/>
          <w:szCs w:val="32"/>
        </w:rPr>
      </w:pP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r>
        <w:rPr>
          <w:rFonts w:hint="eastAsia"/>
          <w:sz w:val="72"/>
          <w:szCs w:val="72"/>
        </w:rPr>
        <w:t>第二部分</w:t>
      </w:r>
    </w:p>
    <w:p>
      <w:pPr>
        <w:jc w:val="center"/>
        <w:rPr>
          <w:sz w:val="72"/>
          <w:szCs w:val="72"/>
        </w:rPr>
      </w:pPr>
    </w:p>
    <w:p>
      <w:pPr>
        <w:jc w:val="center"/>
        <w:rPr>
          <w:sz w:val="72"/>
          <w:szCs w:val="72"/>
        </w:rPr>
      </w:pPr>
      <w:r>
        <w:rPr>
          <w:rFonts w:hint="eastAsia"/>
          <w:sz w:val="72"/>
          <w:szCs w:val="72"/>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sz w:val="32"/>
          <w:szCs w:val="3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9"/>
        <w:tblW w:w="14081" w:type="dxa"/>
        <w:tblInd w:w="93" w:type="dxa"/>
        <w:tblLayout w:type="fixed"/>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tblPrEx>
          <w:tblLayout w:type="fixed"/>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tblPrEx>
          <w:tblLayout w:type="fixed"/>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tblPrEx>
          <w:tblLayout w:type="fixed"/>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ascii="宋体" w:hAnsi="宋体" w:eastAsia="宋体" w:cs="宋体"/>
                <w:color w:val="000000"/>
                <w:kern w:val="0"/>
                <w:sz w:val="20"/>
                <w:szCs w:val="20"/>
              </w:rPr>
              <w:t xml:space="preserve"> </w:t>
            </w:r>
          </w:p>
        </w:tc>
        <w:tc>
          <w:tcPr>
            <w:tcW w:w="697" w:type="dxa"/>
            <w:gridSpan w:val="2"/>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Layout w:type="fixed"/>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49" w:type="dxa"/>
            <w:tcBorders>
              <w:top w:val="nil"/>
              <w:left w:val="nil"/>
              <w:bottom w:val="single" w:color="auto" w:sz="4" w:space="0"/>
              <w:right w:val="single" w:color="auto" w:sz="4" w:space="0"/>
            </w:tcBorders>
            <w:shd w:val="clear" w:color="000000" w:fill="FFFFFF"/>
            <w:vAlign w:val="center"/>
          </w:tcPr>
          <w:p>
            <w:pPr>
              <w:jc w:val="center"/>
              <w:rPr>
                <w:rFonts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798"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845" w:type="dxa"/>
            <w:tcBorders>
              <w:top w:val="nil"/>
              <w:left w:val="nil"/>
              <w:bottom w:val="single" w:color="auto" w:sz="4" w:space="0"/>
              <w:right w:val="single" w:color="auto" w:sz="4" w:space="0"/>
            </w:tcBorders>
            <w:shd w:val="clear" w:color="000000" w:fill="FFFFFF"/>
            <w:vAlign w:val="center"/>
          </w:tcPr>
          <w:p>
            <w:pPr>
              <w:jc w:val="center"/>
              <w:rPr>
                <w:rFonts w:ascii="宋体" w:hAnsi="宋体" w:eastAsia="宋体" w:cs="宋体"/>
                <w:kern w:val="0"/>
                <w:sz w:val="24"/>
                <w:szCs w:val="24"/>
              </w:rPr>
            </w:pPr>
          </w:p>
        </w:tc>
        <w:tc>
          <w:tcPr>
            <w:tcW w:w="3633"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23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696.46</w:t>
            </w:r>
          </w:p>
        </w:tc>
        <w:tc>
          <w:tcPr>
            <w:tcW w:w="3798"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3633"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651.20</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23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371.58</w:t>
            </w:r>
          </w:p>
        </w:tc>
        <w:tc>
          <w:tcPr>
            <w:tcW w:w="3798"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六、经营收入</w:t>
            </w: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八、其他收入</w:t>
            </w: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3633"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11.63</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九、卫生健康支出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3633"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3.63</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十、节能环保支出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十一、城乡社区支出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3633"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371.58</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十二、农林水支出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3633"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30.00</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十三、交通运输支出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十六、金融支出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十九、住房保障支出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二十三、其他支出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jc w:val="center"/>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24</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25</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26</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23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1,068.04</w:t>
            </w: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3633"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1,068.04</w:t>
            </w: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结余分配</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年初结转和结余</w:t>
            </w: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年末结转和结余</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3633" w:type="dxa"/>
            <w:gridSpan w:val="3"/>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230" w:type="dxa"/>
            <w:gridSpan w:val="2"/>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3633" w:type="dxa"/>
            <w:gridSpan w:val="3"/>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4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23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1,068.04</w:t>
            </w:r>
          </w:p>
        </w:tc>
        <w:tc>
          <w:tcPr>
            <w:tcW w:w="3798"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84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3633" w:type="dxa"/>
            <w:gridSpan w:val="3"/>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1,068.04</w:t>
            </w:r>
          </w:p>
        </w:tc>
      </w:tr>
      <w:tr>
        <w:tblPrEx>
          <w:tblLayout w:type="fixed"/>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9"/>
        <w:tblW w:w="15372" w:type="dxa"/>
        <w:tblInd w:w="0" w:type="dxa"/>
        <w:tblLayout w:type="fixed"/>
        <w:tblCellMar>
          <w:top w:w="0" w:type="dxa"/>
          <w:left w:w="0" w:type="dxa"/>
          <w:bottom w:w="0" w:type="dxa"/>
          <w:right w:w="0" w:type="dxa"/>
        </w:tblCellMar>
      </w:tblPr>
      <w:tblGrid>
        <w:gridCol w:w="1030"/>
        <w:gridCol w:w="73"/>
        <w:gridCol w:w="1866"/>
        <w:gridCol w:w="1671"/>
        <w:gridCol w:w="1671"/>
        <w:gridCol w:w="1671"/>
        <w:gridCol w:w="1671"/>
        <w:gridCol w:w="1671"/>
        <w:gridCol w:w="1671"/>
        <w:gridCol w:w="2377"/>
      </w:tblGrid>
      <w:tr>
        <w:tblPrEx>
          <w:tblLayout w:type="fixed"/>
          <w:tblCellMar>
            <w:top w:w="0" w:type="dxa"/>
            <w:left w:w="0" w:type="dxa"/>
            <w:bottom w:w="0" w:type="dxa"/>
            <w:right w:w="0" w:type="dxa"/>
          </w:tblCellMar>
        </w:tblPrEx>
        <w:trPr>
          <w:trHeight w:val="435" w:hRule="atLeast"/>
        </w:trPr>
        <w:tc>
          <w:tcPr>
            <w:tcW w:w="15372" w:type="dxa"/>
            <w:gridSpan w:val="10"/>
            <w:tcBorders>
              <w:top w:val="nil"/>
              <w:left w:val="nil"/>
              <w:bottom w:val="nil"/>
              <w:right w:val="nil"/>
            </w:tcBorders>
            <w:shd w:val="clear" w:color="auto" w:fill="auto"/>
            <w:tcMar>
              <w:top w:w="15" w:type="dxa"/>
              <w:left w:w="15" w:type="dxa"/>
              <w:bottom w:w="0" w:type="dxa"/>
              <w:right w:w="15" w:type="dxa"/>
            </w:tcMar>
            <w:vAlign w:val="center"/>
          </w:tcPr>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Layout w:type="fixed"/>
          <w:tblCellMar>
            <w:top w:w="0" w:type="dxa"/>
            <w:left w:w="0" w:type="dxa"/>
            <w:bottom w:w="0" w:type="dxa"/>
            <w:right w:w="0" w:type="dxa"/>
          </w:tblCellMar>
        </w:tblPrEx>
        <w:trPr>
          <w:trHeight w:val="285" w:hRule="atLeast"/>
        </w:trPr>
        <w:tc>
          <w:tcPr>
            <w:tcW w:w="1030"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73"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66"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377"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Layout w:type="fixed"/>
          <w:tblCellMar>
            <w:top w:w="0" w:type="dxa"/>
            <w:left w:w="0" w:type="dxa"/>
            <w:bottom w:w="0" w:type="dxa"/>
            <w:right w:w="0" w:type="dxa"/>
          </w:tblCellMar>
        </w:tblPrEx>
        <w:trPr>
          <w:trHeight w:val="285" w:hRule="atLeast"/>
        </w:trPr>
        <w:tc>
          <w:tcPr>
            <w:tcW w:w="1103" w:type="dxa"/>
            <w:gridSpan w:val="2"/>
            <w:tcBorders>
              <w:top w:val="nil"/>
              <w:left w:val="nil"/>
              <w:bottom w:val="nil"/>
              <w:right w:val="nil"/>
            </w:tcBorders>
            <w:shd w:val="clear" w:color="000000" w:fill="FFFFFF"/>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1866"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67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377"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Layout w:type="fixed"/>
          <w:tblCellMar>
            <w:top w:w="0" w:type="dxa"/>
            <w:left w:w="0" w:type="dxa"/>
            <w:bottom w:w="0" w:type="dxa"/>
            <w:right w:w="0" w:type="dxa"/>
          </w:tblCellMar>
        </w:tblPrEx>
        <w:trPr>
          <w:trHeight w:val="450" w:hRule="atLeast"/>
        </w:trPr>
        <w:tc>
          <w:tcPr>
            <w:tcW w:w="2969"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67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37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Layout w:type="fixed"/>
          <w:tblCellMar>
            <w:top w:w="0" w:type="dxa"/>
            <w:left w:w="0" w:type="dxa"/>
            <w:bottom w:w="0" w:type="dxa"/>
            <w:right w:w="0" w:type="dxa"/>
          </w:tblCellMar>
        </w:tblPrEx>
        <w:trPr>
          <w:trHeight w:val="450" w:hRule="atLeast"/>
        </w:trPr>
        <w:tc>
          <w:tcPr>
            <w:tcW w:w="1103"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186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37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Layout w:type="fixed"/>
          <w:tblCellMar>
            <w:top w:w="0" w:type="dxa"/>
            <w:left w:w="0" w:type="dxa"/>
            <w:bottom w:w="0" w:type="dxa"/>
            <w:right w:w="0" w:type="dxa"/>
          </w:tblCellMar>
        </w:tblPrEx>
        <w:trPr>
          <w:trHeight w:val="450" w:hRule="atLeast"/>
        </w:trPr>
        <w:tc>
          <w:tcPr>
            <w:tcW w:w="1103"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66"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37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Layout w:type="fixed"/>
          <w:tblCellMar>
            <w:top w:w="0" w:type="dxa"/>
            <w:left w:w="0" w:type="dxa"/>
            <w:bottom w:w="0" w:type="dxa"/>
            <w:right w:w="0" w:type="dxa"/>
          </w:tblCellMar>
        </w:tblPrEx>
        <w:trPr>
          <w:trHeight w:val="450" w:hRule="atLeast"/>
        </w:trPr>
        <w:tc>
          <w:tcPr>
            <w:tcW w:w="2969"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67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w:t>
            </w:r>
          </w:p>
        </w:tc>
        <w:tc>
          <w:tcPr>
            <w:tcW w:w="167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6</w:t>
            </w:r>
          </w:p>
        </w:tc>
        <w:tc>
          <w:tcPr>
            <w:tcW w:w="237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7</w:t>
            </w:r>
          </w:p>
        </w:tc>
      </w:tr>
      <w:tr>
        <w:tblPrEx>
          <w:tblLayout w:type="fixed"/>
          <w:tblCellMar>
            <w:top w:w="0" w:type="dxa"/>
            <w:left w:w="0" w:type="dxa"/>
            <w:bottom w:w="0" w:type="dxa"/>
            <w:right w:w="0" w:type="dxa"/>
          </w:tblCellMar>
        </w:tblPrEx>
        <w:trPr>
          <w:trHeight w:val="450" w:hRule="atLeast"/>
        </w:trPr>
        <w:tc>
          <w:tcPr>
            <w:tcW w:w="2969"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1,068.04</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1,068.04</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939"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651.20</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651.20</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20101</w:t>
            </w:r>
          </w:p>
        </w:tc>
        <w:tc>
          <w:tcPr>
            <w:tcW w:w="1939"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人大事务</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宋体"/>
                <w:sz w:val="24"/>
                <w:szCs w:val="24"/>
              </w:rPr>
            </w:pPr>
            <w:r>
              <w:rPr>
                <w:rFonts w:hint="eastAsia" w:ascii="宋体" w:hAnsi="宋体" w:eastAsia="宋体" w:cs="宋体"/>
                <w:i w:val="0"/>
                <w:iCs w:val="0"/>
                <w:color w:val="000000"/>
                <w:kern w:val="0"/>
                <w:sz w:val="22"/>
                <w:szCs w:val="22"/>
                <w:u w:val="none"/>
                <w:lang w:val="en-US" w:eastAsia="zh-CN" w:bidi="ar"/>
              </w:rPr>
              <w:t>3.63</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3.63</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2010101</w:t>
            </w:r>
          </w:p>
        </w:tc>
        <w:tc>
          <w:tcPr>
            <w:tcW w:w="1939"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3.63</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3.63</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20103</w:t>
            </w:r>
          </w:p>
        </w:tc>
        <w:tc>
          <w:tcPr>
            <w:tcW w:w="1939"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333.73</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333.73</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2010301</w:t>
            </w:r>
          </w:p>
        </w:tc>
        <w:tc>
          <w:tcPr>
            <w:tcW w:w="1939"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237.74</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237.74</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2010306</w:t>
            </w:r>
          </w:p>
        </w:tc>
        <w:tc>
          <w:tcPr>
            <w:tcW w:w="1939"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政务公开审批</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32.43</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32.43</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2010399</w:t>
            </w:r>
          </w:p>
        </w:tc>
        <w:tc>
          <w:tcPr>
            <w:tcW w:w="1939"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其他政府办公厅（室）及相关机构事务支出</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63.56</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63.56</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20104</w:t>
            </w:r>
          </w:p>
        </w:tc>
        <w:tc>
          <w:tcPr>
            <w:tcW w:w="1939"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发展与改革事务</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313.85</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313.85</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2010401</w:t>
            </w:r>
          </w:p>
        </w:tc>
        <w:tc>
          <w:tcPr>
            <w:tcW w:w="1939"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313.85</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313.85</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w:t>
            </w:r>
          </w:p>
        </w:tc>
        <w:tc>
          <w:tcPr>
            <w:tcW w:w="1939"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11.63</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11.63</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w:t>
            </w:r>
          </w:p>
        </w:tc>
        <w:tc>
          <w:tcPr>
            <w:tcW w:w="1939"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11.63</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11.63</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2080505</w:t>
            </w:r>
          </w:p>
        </w:tc>
        <w:tc>
          <w:tcPr>
            <w:tcW w:w="1939"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10.88</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10.88</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2080506</w:t>
            </w:r>
          </w:p>
        </w:tc>
        <w:tc>
          <w:tcPr>
            <w:tcW w:w="1939"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机关事业单位职业年金缴费支出</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0.76</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0.76</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w:t>
            </w:r>
          </w:p>
        </w:tc>
        <w:tc>
          <w:tcPr>
            <w:tcW w:w="1939"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卫生健康支出</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3.63</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3.63</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w:t>
            </w:r>
          </w:p>
        </w:tc>
        <w:tc>
          <w:tcPr>
            <w:tcW w:w="1939"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行政事业单位医疗</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3.63</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3.63</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2101101</w:t>
            </w:r>
          </w:p>
        </w:tc>
        <w:tc>
          <w:tcPr>
            <w:tcW w:w="1939"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3.63</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3.63</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w:t>
            </w:r>
          </w:p>
        </w:tc>
        <w:tc>
          <w:tcPr>
            <w:tcW w:w="1939"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城乡社区支出</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371.58</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371.58</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21208</w:t>
            </w:r>
          </w:p>
        </w:tc>
        <w:tc>
          <w:tcPr>
            <w:tcW w:w="1939"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371.58</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371.58</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2120802</w:t>
            </w:r>
          </w:p>
        </w:tc>
        <w:tc>
          <w:tcPr>
            <w:tcW w:w="1939"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土地开发支出</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371.58</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371.58</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213</w:t>
            </w:r>
          </w:p>
        </w:tc>
        <w:tc>
          <w:tcPr>
            <w:tcW w:w="1939"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农林水支出</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30.00</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30.00</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21303</w:t>
            </w:r>
          </w:p>
        </w:tc>
        <w:tc>
          <w:tcPr>
            <w:tcW w:w="1939"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水利</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30.00</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30.00</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2130399</w:t>
            </w:r>
          </w:p>
        </w:tc>
        <w:tc>
          <w:tcPr>
            <w:tcW w:w="1939" w:type="dxa"/>
            <w:gridSpan w:val="2"/>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其他水利支出</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30.00</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30.00</w:t>
            </w: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615" w:hRule="atLeast"/>
        </w:trPr>
        <w:tc>
          <w:tcPr>
            <w:tcW w:w="15372"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9"/>
        <w:tblW w:w="14093" w:type="dxa"/>
        <w:tblInd w:w="93" w:type="dxa"/>
        <w:tblLayout w:type="fixed"/>
        <w:tblCellMar>
          <w:top w:w="0" w:type="dxa"/>
          <w:left w:w="108" w:type="dxa"/>
          <w:bottom w:w="0" w:type="dxa"/>
          <w:right w:w="108" w:type="dxa"/>
        </w:tblCellMar>
      </w:tblPr>
      <w:tblGrid>
        <w:gridCol w:w="986"/>
        <w:gridCol w:w="804"/>
        <w:gridCol w:w="222"/>
        <w:gridCol w:w="1411"/>
        <w:gridCol w:w="1646"/>
        <w:gridCol w:w="1679"/>
        <w:gridCol w:w="1679"/>
        <w:gridCol w:w="1679"/>
        <w:gridCol w:w="1679"/>
        <w:gridCol w:w="2308"/>
      </w:tblGrid>
      <w:tr>
        <w:tblPrEx>
          <w:tblLayout w:type="fixed"/>
          <w:tblCellMar>
            <w:top w:w="0" w:type="dxa"/>
            <w:left w:w="108" w:type="dxa"/>
            <w:bottom w:w="0" w:type="dxa"/>
            <w:right w:w="108" w:type="dxa"/>
          </w:tblCellMar>
        </w:tblPrEx>
        <w:trPr>
          <w:trHeight w:val="435" w:hRule="atLeast"/>
        </w:trPr>
        <w:tc>
          <w:tcPr>
            <w:tcW w:w="14093" w:type="dxa"/>
            <w:gridSpan w:val="10"/>
            <w:tcBorders>
              <w:top w:val="nil"/>
              <w:left w:val="nil"/>
              <w:bottom w:val="nil"/>
              <w:right w:val="nil"/>
            </w:tcBorders>
            <w:shd w:val="clear" w:color="auto" w:fill="auto"/>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Layout w:type="fixed"/>
          <w:tblCellMar>
            <w:top w:w="0" w:type="dxa"/>
            <w:left w:w="108" w:type="dxa"/>
            <w:bottom w:w="0" w:type="dxa"/>
            <w:right w:w="108" w:type="dxa"/>
          </w:tblCellMar>
        </w:tblPrEx>
        <w:trPr>
          <w:trHeight w:val="285" w:hRule="atLeast"/>
        </w:trPr>
        <w:tc>
          <w:tcPr>
            <w:tcW w:w="1790" w:type="dxa"/>
            <w:gridSpan w:val="2"/>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2"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Layout w:type="fixed"/>
          <w:tblCellMar>
            <w:top w:w="0" w:type="dxa"/>
            <w:left w:w="108" w:type="dxa"/>
            <w:bottom w:w="0" w:type="dxa"/>
            <w:right w:w="108" w:type="dxa"/>
          </w:tblCellMar>
        </w:tblPrEx>
        <w:trPr>
          <w:trHeight w:val="285" w:hRule="atLeast"/>
        </w:trPr>
        <w:tc>
          <w:tcPr>
            <w:tcW w:w="1790" w:type="dxa"/>
            <w:gridSpan w:val="2"/>
            <w:tcBorders>
              <w:top w:val="nil"/>
              <w:left w:val="nil"/>
              <w:bottom w:val="nil"/>
              <w:right w:val="nil"/>
            </w:tcBorders>
            <w:shd w:val="clear" w:color="000000" w:fill="FFFFFF"/>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22"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9"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Layout w:type="fixed"/>
          <w:tblCellMar>
            <w:top w:w="0" w:type="dxa"/>
            <w:left w:w="108" w:type="dxa"/>
            <w:bottom w:w="0" w:type="dxa"/>
            <w:right w:w="108" w:type="dxa"/>
          </w:tblCellMar>
        </w:tblPrEx>
        <w:trPr>
          <w:trHeight w:val="450" w:hRule="atLeast"/>
        </w:trPr>
        <w:tc>
          <w:tcPr>
            <w:tcW w:w="3423"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4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Layout w:type="fixed"/>
          <w:tblCellMar>
            <w:top w:w="0" w:type="dxa"/>
            <w:left w:w="108" w:type="dxa"/>
            <w:bottom w:w="0" w:type="dxa"/>
            <w:right w:w="108" w:type="dxa"/>
          </w:tblCellMar>
        </w:tblPrEx>
        <w:trPr>
          <w:trHeight w:val="450" w:hRule="atLeast"/>
        </w:trPr>
        <w:tc>
          <w:tcPr>
            <w:tcW w:w="2012"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11"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2012"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1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3423"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646"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c>
          <w:tcPr>
            <w:tcW w:w="2308"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w:t>
            </w:r>
          </w:p>
        </w:tc>
      </w:tr>
      <w:tr>
        <w:tblPrEx>
          <w:tblLayout w:type="fixed"/>
          <w:tblCellMar>
            <w:top w:w="0" w:type="dxa"/>
            <w:left w:w="108" w:type="dxa"/>
            <w:bottom w:w="0" w:type="dxa"/>
            <w:right w:w="108" w:type="dxa"/>
          </w:tblCellMar>
        </w:tblPrEx>
        <w:trPr>
          <w:trHeight w:val="450" w:hRule="atLeast"/>
        </w:trPr>
        <w:tc>
          <w:tcPr>
            <w:tcW w:w="3423"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1,068.04</w:t>
            </w: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666.46</w:t>
            </w: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401.58</w:t>
            </w:r>
          </w:p>
        </w:tc>
        <w:tc>
          <w:tcPr>
            <w:tcW w:w="1679"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2437"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651.20</w:t>
            </w: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651.20</w:t>
            </w:r>
          </w:p>
        </w:tc>
        <w:tc>
          <w:tcPr>
            <w:tcW w:w="1679"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20101</w:t>
            </w:r>
          </w:p>
        </w:tc>
        <w:tc>
          <w:tcPr>
            <w:tcW w:w="2437"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人大事务</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3.63</w:t>
            </w: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3.63</w:t>
            </w:r>
          </w:p>
        </w:tc>
        <w:tc>
          <w:tcPr>
            <w:tcW w:w="1679"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2010101</w:t>
            </w:r>
          </w:p>
        </w:tc>
        <w:tc>
          <w:tcPr>
            <w:tcW w:w="2437"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3.63</w:t>
            </w: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3.63</w:t>
            </w:r>
          </w:p>
        </w:tc>
        <w:tc>
          <w:tcPr>
            <w:tcW w:w="1679"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20103</w:t>
            </w:r>
          </w:p>
        </w:tc>
        <w:tc>
          <w:tcPr>
            <w:tcW w:w="2437"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333.73</w:t>
            </w: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333.73</w:t>
            </w:r>
          </w:p>
        </w:tc>
        <w:tc>
          <w:tcPr>
            <w:tcW w:w="1679"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2010301</w:t>
            </w:r>
          </w:p>
        </w:tc>
        <w:tc>
          <w:tcPr>
            <w:tcW w:w="2437"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237.74</w:t>
            </w: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237.74</w:t>
            </w:r>
          </w:p>
        </w:tc>
        <w:tc>
          <w:tcPr>
            <w:tcW w:w="1679"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2010306</w:t>
            </w:r>
          </w:p>
        </w:tc>
        <w:tc>
          <w:tcPr>
            <w:tcW w:w="2437"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政务公开审批</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32.43</w:t>
            </w: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32.43</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2010399</w:t>
            </w:r>
          </w:p>
        </w:tc>
        <w:tc>
          <w:tcPr>
            <w:tcW w:w="2437"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其他政府办公厅（室）及相关机构事务支出</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63.56</w:t>
            </w: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63.56</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20104</w:t>
            </w:r>
          </w:p>
        </w:tc>
        <w:tc>
          <w:tcPr>
            <w:tcW w:w="2437"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发展与改革事务</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313.85</w:t>
            </w: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313.85</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2010401</w:t>
            </w:r>
          </w:p>
        </w:tc>
        <w:tc>
          <w:tcPr>
            <w:tcW w:w="2437"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313.85</w:t>
            </w: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313.85</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2437"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11.63</w:t>
            </w: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11.63</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2437"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11.63</w:t>
            </w: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11.63</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2437"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10.88</w:t>
            </w: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10.88</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2080506</w:t>
            </w:r>
          </w:p>
        </w:tc>
        <w:tc>
          <w:tcPr>
            <w:tcW w:w="2437"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机关事业单位职业年金缴费支出</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0.76</w:t>
            </w: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0.76</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2437"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3.63</w:t>
            </w: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3.63</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2437"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3.63</w:t>
            </w: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3.63</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2437"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3.63</w:t>
            </w: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3.63</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w:t>
            </w:r>
          </w:p>
        </w:tc>
        <w:tc>
          <w:tcPr>
            <w:tcW w:w="2437"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城乡社区支出</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371.58</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371.58</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21208</w:t>
            </w:r>
          </w:p>
        </w:tc>
        <w:tc>
          <w:tcPr>
            <w:tcW w:w="2437"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371.58</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371.58</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2120802</w:t>
            </w:r>
          </w:p>
        </w:tc>
        <w:tc>
          <w:tcPr>
            <w:tcW w:w="2437"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土地开发支出</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371.58</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371.58</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213</w:t>
            </w:r>
          </w:p>
        </w:tc>
        <w:tc>
          <w:tcPr>
            <w:tcW w:w="2437"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农林水支出</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30.00</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30.00</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21303</w:t>
            </w:r>
          </w:p>
        </w:tc>
        <w:tc>
          <w:tcPr>
            <w:tcW w:w="2437"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水利</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30.00</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30.00</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2130399</w:t>
            </w:r>
          </w:p>
        </w:tc>
        <w:tc>
          <w:tcPr>
            <w:tcW w:w="2437" w:type="dxa"/>
            <w:gridSpan w:val="3"/>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其他水利支出</w:t>
            </w:r>
          </w:p>
        </w:tc>
        <w:tc>
          <w:tcPr>
            <w:tcW w:w="164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30.00</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30.00</w:t>
            </w: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630" w:hRule="atLeast"/>
        </w:trPr>
        <w:tc>
          <w:tcPr>
            <w:tcW w:w="14093" w:type="dxa"/>
            <w:gridSpan w:val="10"/>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tbl>
      <w:tblPr>
        <w:tblStyle w:val="9"/>
        <w:tblW w:w="15521" w:type="dxa"/>
        <w:tblInd w:w="93" w:type="dxa"/>
        <w:tblLayout w:type="fixed"/>
        <w:tblCellMar>
          <w:top w:w="0" w:type="dxa"/>
          <w:left w:w="108" w:type="dxa"/>
          <w:bottom w:w="0" w:type="dxa"/>
          <w:right w:w="108" w:type="dxa"/>
        </w:tblCellMar>
      </w:tblPr>
      <w:tblGrid>
        <w:gridCol w:w="3591"/>
        <w:gridCol w:w="436"/>
        <w:gridCol w:w="1095"/>
        <w:gridCol w:w="495"/>
        <w:gridCol w:w="2911"/>
        <w:gridCol w:w="631"/>
        <w:gridCol w:w="435"/>
        <w:gridCol w:w="1571"/>
        <w:gridCol w:w="1392"/>
        <w:gridCol w:w="1392"/>
        <w:gridCol w:w="1572"/>
      </w:tblGrid>
      <w:tr>
        <w:tblPrEx>
          <w:tblLayout w:type="fixed"/>
          <w:tblCellMar>
            <w:top w:w="0" w:type="dxa"/>
            <w:left w:w="108" w:type="dxa"/>
            <w:bottom w:w="0" w:type="dxa"/>
            <w:right w:w="108" w:type="dxa"/>
          </w:tblCellMar>
        </w:tblPrEx>
        <w:trPr>
          <w:trHeight w:val="285" w:hRule="atLeast"/>
        </w:trPr>
        <w:tc>
          <w:tcPr>
            <w:tcW w:w="3591" w:type="dxa"/>
            <w:tcBorders>
              <w:top w:val="nil"/>
              <w:left w:val="nil"/>
              <w:bottom w:val="nil"/>
              <w:right w:val="nil"/>
            </w:tcBorders>
            <w:shd w:val="clear" w:color="auto" w:fill="auto"/>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c>
          <w:tcPr>
            <w:tcW w:w="1590" w:type="dxa"/>
            <w:gridSpan w:val="2"/>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c>
          <w:tcPr>
            <w:tcW w:w="3542" w:type="dxa"/>
            <w:gridSpan w:val="2"/>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c>
          <w:tcPr>
            <w:tcW w:w="1571" w:type="dxa"/>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c>
          <w:tcPr>
            <w:tcW w:w="1392" w:type="dxa"/>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c>
          <w:tcPr>
            <w:tcW w:w="1392" w:type="dxa"/>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c>
          <w:tcPr>
            <w:tcW w:w="1572" w:type="dxa"/>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Layout w:type="fixed"/>
          <w:tblCellMar>
            <w:top w:w="0" w:type="dxa"/>
            <w:left w:w="108" w:type="dxa"/>
            <w:bottom w:w="0" w:type="dxa"/>
            <w:right w:w="108" w:type="dxa"/>
          </w:tblCellMar>
        </w:tblPrEx>
        <w:trPr>
          <w:trHeight w:val="199" w:hRule="atLeast"/>
        </w:trPr>
        <w:tc>
          <w:tcPr>
            <w:tcW w:w="359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95"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37" w:type="dxa"/>
            <w:gridSpan w:val="3"/>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Layout w:type="fixed"/>
          <w:tblCellMar>
            <w:top w:w="0" w:type="dxa"/>
            <w:left w:w="108" w:type="dxa"/>
            <w:bottom w:w="0" w:type="dxa"/>
            <w:right w:w="108" w:type="dxa"/>
          </w:tblCellMar>
        </w:tblPrEx>
        <w:trPr>
          <w:trHeight w:val="300" w:hRule="atLeast"/>
        </w:trPr>
        <w:tc>
          <w:tcPr>
            <w:tcW w:w="3591" w:type="dxa"/>
            <w:tcBorders>
              <w:top w:val="nil"/>
              <w:left w:val="nil"/>
              <w:bottom w:val="nil"/>
              <w:right w:val="nil"/>
            </w:tcBorders>
            <w:shd w:val="clear" w:color="000000" w:fill="FFFFFF"/>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95"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37" w:type="dxa"/>
            <w:gridSpan w:val="3"/>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Layout w:type="fixed"/>
          <w:tblCellMar>
            <w:top w:w="0" w:type="dxa"/>
            <w:left w:w="108" w:type="dxa"/>
            <w:bottom w:w="0" w:type="dxa"/>
            <w:right w:w="108" w:type="dxa"/>
          </w:tblCellMar>
        </w:tblPrEx>
        <w:trPr>
          <w:trHeight w:val="402" w:hRule="atLeast"/>
        </w:trPr>
        <w:tc>
          <w:tcPr>
            <w:tcW w:w="5122"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399" w:type="dxa"/>
            <w:gridSpan w:val="8"/>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Layout w:type="fixed"/>
          <w:tblCellMar>
            <w:top w:w="0" w:type="dxa"/>
            <w:left w:w="108" w:type="dxa"/>
            <w:bottom w:w="0" w:type="dxa"/>
            <w:right w:w="108" w:type="dxa"/>
          </w:tblCellMar>
        </w:tblPrEx>
        <w:trPr>
          <w:trHeight w:val="630"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06"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3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kern w:val="0"/>
                <w:sz w:val="24"/>
                <w:szCs w:val="24"/>
              </w:rPr>
            </w:pPr>
          </w:p>
        </w:tc>
        <w:tc>
          <w:tcPr>
            <w:tcW w:w="109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066" w:type="dxa"/>
            <w:gridSpan w:val="2"/>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kern w:val="0"/>
                <w:sz w:val="24"/>
                <w:szCs w:val="24"/>
              </w:rPr>
            </w:pPr>
          </w:p>
        </w:tc>
        <w:tc>
          <w:tcPr>
            <w:tcW w:w="15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3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3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57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09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696.46</w:t>
            </w: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651.20</w:t>
            </w:r>
          </w:p>
        </w:tc>
        <w:tc>
          <w:tcPr>
            <w:tcW w:w="13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651.20</w:t>
            </w:r>
          </w:p>
        </w:tc>
        <w:tc>
          <w:tcPr>
            <w:tcW w:w="13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09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371.58</w:t>
            </w: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71"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三、国有资本经营财政拨款</w:t>
            </w: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09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71"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09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71"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71"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09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71"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09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71"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09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15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11.63</w:t>
            </w:r>
          </w:p>
        </w:tc>
        <w:tc>
          <w:tcPr>
            <w:tcW w:w="13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11.63</w:t>
            </w:r>
          </w:p>
        </w:tc>
        <w:tc>
          <w:tcPr>
            <w:tcW w:w="13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09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15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3.63</w:t>
            </w:r>
          </w:p>
        </w:tc>
        <w:tc>
          <w:tcPr>
            <w:tcW w:w="13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3.63</w:t>
            </w: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09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71"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09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371.58</w:t>
            </w: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371.58</w:t>
            </w:r>
          </w:p>
        </w:tc>
        <w:tc>
          <w:tcPr>
            <w:tcW w:w="157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09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30.00</w:t>
            </w:r>
          </w:p>
        </w:tc>
        <w:tc>
          <w:tcPr>
            <w:tcW w:w="13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30.00</w:t>
            </w: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09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71"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09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71"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09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1571"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09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十六、金融支出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1571"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09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1571"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09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1571"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09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十九、住房保障支出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1571"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09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1571"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09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1571"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09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1571"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09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二十三、其他支出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1571"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w:t>
            </w:r>
          </w:p>
        </w:tc>
        <w:tc>
          <w:tcPr>
            <w:tcW w:w="109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1571"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25</w:t>
            </w:r>
          </w:p>
        </w:tc>
        <w:tc>
          <w:tcPr>
            <w:tcW w:w="109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1571"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w:t>
            </w:r>
          </w:p>
        </w:tc>
        <w:tc>
          <w:tcPr>
            <w:tcW w:w="1095"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1571"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09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1,068.04</w:t>
            </w: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15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1,068.04</w:t>
            </w:r>
          </w:p>
        </w:tc>
        <w:tc>
          <w:tcPr>
            <w:tcW w:w="13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696.46</w:t>
            </w:r>
          </w:p>
        </w:tc>
        <w:tc>
          <w:tcPr>
            <w:tcW w:w="13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371.58</w:t>
            </w:r>
          </w:p>
        </w:tc>
        <w:tc>
          <w:tcPr>
            <w:tcW w:w="157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b/>
                <w:bCs/>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09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1571"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09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kern w:val="0"/>
                <w:sz w:val="22"/>
              </w:rPr>
            </w:pP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1571"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09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kern w:val="0"/>
                <w:sz w:val="22"/>
              </w:rPr>
            </w:pP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1571"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09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kern w:val="0"/>
                <w:sz w:val="22"/>
              </w:rPr>
            </w:pPr>
          </w:p>
        </w:tc>
        <w:tc>
          <w:tcPr>
            <w:tcW w:w="1066"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63</w:t>
            </w:r>
          </w:p>
        </w:tc>
        <w:tc>
          <w:tcPr>
            <w:tcW w:w="1571"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2"/>
              </w:rPr>
            </w:pPr>
          </w:p>
        </w:tc>
      </w:tr>
      <w:tr>
        <w:tblPrEx>
          <w:tblLayout w:type="fixed"/>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36"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109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1,068.04</w:t>
            </w:r>
          </w:p>
        </w:tc>
        <w:tc>
          <w:tcPr>
            <w:tcW w:w="3406" w:type="dxa"/>
            <w:gridSpan w:val="2"/>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1066" w:type="dxa"/>
            <w:gridSpan w:val="2"/>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w:t>
            </w:r>
          </w:p>
        </w:tc>
        <w:tc>
          <w:tcPr>
            <w:tcW w:w="157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1,068.04</w:t>
            </w:r>
          </w:p>
        </w:tc>
        <w:tc>
          <w:tcPr>
            <w:tcW w:w="1392"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696.46</w:t>
            </w:r>
          </w:p>
        </w:tc>
        <w:tc>
          <w:tcPr>
            <w:tcW w:w="13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371.58</w:t>
            </w:r>
          </w:p>
        </w:tc>
        <w:tc>
          <w:tcPr>
            <w:tcW w:w="157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b/>
                <w:bCs/>
                <w:kern w:val="0"/>
                <w:sz w:val="22"/>
              </w:rPr>
            </w:pPr>
          </w:p>
        </w:tc>
      </w:tr>
      <w:tr>
        <w:tblPrEx>
          <w:tblLayout w:type="fixed"/>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Ind w:w="0" w:type="dxa"/>
        <w:tblLayout w:type="fixed"/>
        <w:tblCellMar>
          <w:top w:w="0" w:type="dxa"/>
          <w:left w:w="108" w:type="dxa"/>
          <w:bottom w:w="0" w:type="dxa"/>
          <w:right w:w="108" w:type="dxa"/>
        </w:tblCellMar>
      </w:tblPr>
      <w:tblGrid>
        <w:gridCol w:w="986"/>
        <w:gridCol w:w="983"/>
        <w:gridCol w:w="3307"/>
        <w:gridCol w:w="2833"/>
        <w:gridCol w:w="3286"/>
        <w:gridCol w:w="2824"/>
      </w:tblGrid>
      <w:tr>
        <w:tblPrEx>
          <w:tblLayout w:type="fixed"/>
          <w:tblCellMar>
            <w:top w:w="0" w:type="dxa"/>
            <w:left w:w="108" w:type="dxa"/>
            <w:bottom w:w="0" w:type="dxa"/>
            <w:right w:w="108" w:type="dxa"/>
          </w:tblCellMar>
        </w:tblPrEx>
        <w:trPr>
          <w:trHeight w:val="405" w:hRule="atLeast"/>
          <w:jc w:val="center"/>
        </w:trPr>
        <w:tc>
          <w:tcPr>
            <w:tcW w:w="5276" w:type="dxa"/>
            <w:gridSpan w:val="3"/>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43"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Layout w:type="fixed"/>
          <w:tblCellMar>
            <w:top w:w="0" w:type="dxa"/>
            <w:left w:w="108" w:type="dxa"/>
            <w:bottom w:w="0" w:type="dxa"/>
            <w:right w:w="108" w:type="dxa"/>
          </w:tblCellMar>
        </w:tblPrEx>
        <w:trPr>
          <w:trHeight w:val="495" w:hRule="atLeast"/>
          <w:jc w:val="center"/>
        </w:trPr>
        <w:tc>
          <w:tcPr>
            <w:tcW w:w="1969"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30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3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86"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24"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Layout w:type="fixed"/>
          <w:tblCellMar>
            <w:top w:w="0" w:type="dxa"/>
            <w:left w:w="108" w:type="dxa"/>
            <w:bottom w:w="0" w:type="dxa"/>
            <w:right w:w="108" w:type="dxa"/>
          </w:tblCellMar>
        </w:tblPrEx>
        <w:trPr>
          <w:trHeight w:val="360" w:hRule="atLeast"/>
          <w:jc w:val="center"/>
        </w:trPr>
        <w:tc>
          <w:tcPr>
            <w:tcW w:w="1969"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30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33"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86"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24"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969"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30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33"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86"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24"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5276"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32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2824"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r>
      <w:tr>
        <w:tblPrEx>
          <w:tblLayout w:type="fixed"/>
          <w:tblCellMar>
            <w:top w:w="0" w:type="dxa"/>
            <w:left w:w="108" w:type="dxa"/>
            <w:bottom w:w="0" w:type="dxa"/>
            <w:right w:w="108" w:type="dxa"/>
          </w:tblCellMar>
        </w:tblPrEx>
        <w:trPr>
          <w:trHeight w:val="450" w:hRule="atLeast"/>
          <w:jc w:val="center"/>
        </w:trPr>
        <w:tc>
          <w:tcPr>
            <w:tcW w:w="5276"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696.46</w:t>
            </w:r>
          </w:p>
        </w:tc>
        <w:tc>
          <w:tcPr>
            <w:tcW w:w="32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666.46</w:t>
            </w:r>
          </w:p>
        </w:tc>
        <w:tc>
          <w:tcPr>
            <w:tcW w:w="2824"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30.00</w:t>
            </w: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429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651.20</w:t>
            </w:r>
          </w:p>
        </w:tc>
        <w:tc>
          <w:tcPr>
            <w:tcW w:w="32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651.20</w:t>
            </w:r>
          </w:p>
        </w:tc>
        <w:tc>
          <w:tcPr>
            <w:tcW w:w="282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20101</w:t>
            </w:r>
          </w:p>
        </w:tc>
        <w:tc>
          <w:tcPr>
            <w:tcW w:w="429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人大事务</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3.63</w:t>
            </w:r>
          </w:p>
        </w:tc>
        <w:tc>
          <w:tcPr>
            <w:tcW w:w="32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3.63</w:t>
            </w:r>
          </w:p>
        </w:tc>
        <w:tc>
          <w:tcPr>
            <w:tcW w:w="282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2010101</w:t>
            </w:r>
          </w:p>
        </w:tc>
        <w:tc>
          <w:tcPr>
            <w:tcW w:w="429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3.63</w:t>
            </w:r>
          </w:p>
        </w:tc>
        <w:tc>
          <w:tcPr>
            <w:tcW w:w="32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3.63</w:t>
            </w:r>
          </w:p>
        </w:tc>
        <w:tc>
          <w:tcPr>
            <w:tcW w:w="282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w:t>
            </w:r>
          </w:p>
        </w:tc>
        <w:tc>
          <w:tcPr>
            <w:tcW w:w="429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333.73</w:t>
            </w:r>
          </w:p>
        </w:tc>
        <w:tc>
          <w:tcPr>
            <w:tcW w:w="32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333.73</w:t>
            </w:r>
          </w:p>
        </w:tc>
        <w:tc>
          <w:tcPr>
            <w:tcW w:w="282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2010301</w:t>
            </w:r>
          </w:p>
        </w:tc>
        <w:tc>
          <w:tcPr>
            <w:tcW w:w="429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237.74</w:t>
            </w:r>
          </w:p>
        </w:tc>
        <w:tc>
          <w:tcPr>
            <w:tcW w:w="32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237.74</w:t>
            </w:r>
          </w:p>
        </w:tc>
        <w:tc>
          <w:tcPr>
            <w:tcW w:w="282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2010306</w:t>
            </w:r>
          </w:p>
        </w:tc>
        <w:tc>
          <w:tcPr>
            <w:tcW w:w="429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政务公开审批</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32.43</w:t>
            </w:r>
          </w:p>
        </w:tc>
        <w:tc>
          <w:tcPr>
            <w:tcW w:w="32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32.43</w:t>
            </w:r>
          </w:p>
        </w:tc>
        <w:tc>
          <w:tcPr>
            <w:tcW w:w="282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2010399</w:t>
            </w:r>
          </w:p>
        </w:tc>
        <w:tc>
          <w:tcPr>
            <w:tcW w:w="429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其他政府办公厅（室）及相关机构事务支出</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63.56</w:t>
            </w:r>
          </w:p>
        </w:tc>
        <w:tc>
          <w:tcPr>
            <w:tcW w:w="32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63.56</w:t>
            </w:r>
          </w:p>
        </w:tc>
        <w:tc>
          <w:tcPr>
            <w:tcW w:w="282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20104</w:t>
            </w:r>
          </w:p>
        </w:tc>
        <w:tc>
          <w:tcPr>
            <w:tcW w:w="429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发展与改革事务</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313.85</w:t>
            </w:r>
          </w:p>
        </w:tc>
        <w:tc>
          <w:tcPr>
            <w:tcW w:w="32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313.85</w:t>
            </w:r>
          </w:p>
        </w:tc>
        <w:tc>
          <w:tcPr>
            <w:tcW w:w="282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2010401</w:t>
            </w:r>
          </w:p>
        </w:tc>
        <w:tc>
          <w:tcPr>
            <w:tcW w:w="429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313.85</w:t>
            </w:r>
          </w:p>
        </w:tc>
        <w:tc>
          <w:tcPr>
            <w:tcW w:w="32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313.85</w:t>
            </w:r>
          </w:p>
        </w:tc>
        <w:tc>
          <w:tcPr>
            <w:tcW w:w="282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429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11.63</w:t>
            </w:r>
          </w:p>
        </w:tc>
        <w:tc>
          <w:tcPr>
            <w:tcW w:w="32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11.63</w:t>
            </w:r>
          </w:p>
        </w:tc>
        <w:tc>
          <w:tcPr>
            <w:tcW w:w="282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429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11.63</w:t>
            </w:r>
          </w:p>
        </w:tc>
        <w:tc>
          <w:tcPr>
            <w:tcW w:w="32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11.63</w:t>
            </w:r>
          </w:p>
        </w:tc>
        <w:tc>
          <w:tcPr>
            <w:tcW w:w="282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429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10.88</w:t>
            </w:r>
          </w:p>
        </w:tc>
        <w:tc>
          <w:tcPr>
            <w:tcW w:w="32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10.88</w:t>
            </w:r>
          </w:p>
        </w:tc>
        <w:tc>
          <w:tcPr>
            <w:tcW w:w="282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2080506</w:t>
            </w:r>
          </w:p>
        </w:tc>
        <w:tc>
          <w:tcPr>
            <w:tcW w:w="429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机关事业单位职业年金缴费支出</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0.76</w:t>
            </w:r>
          </w:p>
        </w:tc>
        <w:tc>
          <w:tcPr>
            <w:tcW w:w="32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0.76</w:t>
            </w:r>
          </w:p>
        </w:tc>
        <w:tc>
          <w:tcPr>
            <w:tcW w:w="282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429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3.63</w:t>
            </w:r>
          </w:p>
        </w:tc>
        <w:tc>
          <w:tcPr>
            <w:tcW w:w="32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3.63</w:t>
            </w:r>
          </w:p>
        </w:tc>
        <w:tc>
          <w:tcPr>
            <w:tcW w:w="282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429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3.63</w:t>
            </w:r>
          </w:p>
        </w:tc>
        <w:tc>
          <w:tcPr>
            <w:tcW w:w="32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3.63</w:t>
            </w:r>
          </w:p>
        </w:tc>
        <w:tc>
          <w:tcPr>
            <w:tcW w:w="282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429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3.63</w:t>
            </w:r>
          </w:p>
        </w:tc>
        <w:tc>
          <w:tcPr>
            <w:tcW w:w="32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3.63</w:t>
            </w:r>
          </w:p>
        </w:tc>
        <w:tc>
          <w:tcPr>
            <w:tcW w:w="2824"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w:t>
            </w:r>
          </w:p>
        </w:tc>
        <w:tc>
          <w:tcPr>
            <w:tcW w:w="429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农林水支出</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30.00</w:t>
            </w:r>
          </w:p>
        </w:tc>
        <w:tc>
          <w:tcPr>
            <w:tcW w:w="3286"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2824"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30.00</w:t>
            </w: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21303</w:t>
            </w:r>
          </w:p>
        </w:tc>
        <w:tc>
          <w:tcPr>
            <w:tcW w:w="429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水利</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30.00</w:t>
            </w:r>
          </w:p>
        </w:tc>
        <w:tc>
          <w:tcPr>
            <w:tcW w:w="3286"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2824"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30.00</w:t>
            </w:r>
          </w:p>
        </w:tc>
      </w:tr>
      <w:tr>
        <w:tblPrEx>
          <w:tblLayout w:type="fixed"/>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2130399</w:t>
            </w:r>
          </w:p>
        </w:tc>
        <w:tc>
          <w:tcPr>
            <w:tcW w:w="4290"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其他水利支出</w:t>
            </w:r>
          </w:p>
        </w:tc>
        <w:tc>
          <w:tcPr>
            <w:tcW w:w="28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30.00</w:t>
            </w:r>
          </w:p>
        </w:tc>
        <w:tc>
          <w:tcPr>
            <w:tcW w:w="3286"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2824"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30.00</w:t>
            </w:r>
          </w:p>
        </w:tc>
      </w:tr>
      <w:tr>
        <w:tblPrEx>
          <w:tblLayout w:type="fixed"/>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9"/>
        <w:tblW w:w="15614" w:type="dxa"/>
        <w:tblInd w:w="0" w:type="dxa"/>
        <w:tblLayout w:type="fixed"/>
        <w:tblCellMar>
          <w:top w:w="0" w:type="dxa"/>
          <w:left w:w="108" w:type="dxa"/>
          <w:bottom w:w="0" w:type="dxa"/>
          <w:right w:w="108" w:type="dxa"/>
        </w:tblCellMar>
      </w:tblPr>
      <w:tblGrid>
        <w:gridCol w:w="1283"/>
        <w:gridCol w:w="3215"/>
        <w:gridCol w:w="845"/>
        <w:gridCol w:w="1174"/>
        <w:gridCol w:w="2216"/>
        <w:gridCol w:w="845"/>
        <w:gridCol w:w="1175"/>
        <w:gridCol w:w="4016"/>
        <w:gridCol w:w="845"/>
      </w:tblGrid>
      <w:tr>
        <w:tblPrEx>
          <w:tblLayout w:type="fixed"/>
          <w:tblCellMar>
            <w:top w:w="0" w:type="dxa"/>
            <w:left w:w="108" w:type="dxa"/>
            <w:bottom w:w="0" w:type="dxa"/>
            <w:right w:w="108" w:type="dxa"/>
          </w:tblCellMar>
        </w:tblPrEx>
        <w:trPr>
          <w:trHeight w:val="113" w:hRule="atLeast"/>
        </w:trPr>
        <w:tc>
          <w:tcPr>
            <w:tcW w:w="15614" w:type="dxa"/>
            <w:gridSpan w:val="9"/>
            <w:tcBorders>
              <w:top w:val="nil"/>
              <w:left w:val="nil"/>
              <w:bottom w:val="nil"/>
              <w:right w:val="nil"/>
            </w:tcBorders>
            <w:shd w:val="clear" w:color="auto" w:fill="auto"/>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Layout w:type="fixed"/>
          <w:tblCellMar>
            <w:top w:w="0" w:type="dxa"/>
            <w:left w:w="108" w:type="dxa"/>
            <w:bottom w:w="0" w:type="dxa"/>
            <w:right w:w="108" w:type="dxa"/>
          </w:tblCellMar>
        </w:tblPrEx>
        <w:trPr>
          <w:trHeight w:val="113" w:hRule="atLeast"/>
        </w:trPr>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21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4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7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1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4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7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01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4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283.33</w:t>
            </w: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361.55</w:t>
            </w: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115.39</w:t>
            </w: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22.10</w:t>
            </w: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65.59</w:t>
            </w: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36.10</w:t>
            </w: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32.93</w:t>
            </w: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30203</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3.74</w:t>
            </w: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0.05</w:t>
            </w: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14.37</w:t>
            </w: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5.23</w:t>
            </w: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34.12</w:t>
            </w: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49.17</w:t>
            </w: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2.31</w:t>
            </w: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17.18</w:t>
            </w: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22.58</w:t>
            </w: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2.01</w:t>
            </w: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25.42</w:t>
            </w: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0.27</w:t>
            </w: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21.59</w:t>
            </w: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0.88</w:t>
            </w: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2.77</w:t>
            </w: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7.20</w:t>
            </w: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21.51</w:t>
            </w: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43.71</w:t>
            </w: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39906</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赠与</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19.11</w:t>
            </w: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88.68</w:t>
            </w: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40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31.66</w:t>
            </w:r>
          </w:p>
        </w:tc>
        <w:tc>
          <w:tcPr>
            <w:tcW w:w="1175"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kern w:val="0"/>
                <w:szCs w:val="18"/>
              </w:rPr>
            </w:pPr>
          </w:p>
        </w:tc>
        <w:tc>
          <w:tcPr>
            <w:tcW w:w="4016"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kern w:val="0"/>
                <w:szCs w:val="18"/>
              </w:rPr>
            </w:pP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32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0.08</w:t>
            </w: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5"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kern w:val="0"/>
                <w:szCs w:val="18"/>
              </w:rPr>
            </w:pPr>
          </w:p>
        </w:tc>
        <w:tc>
          <w:tcPr>
            <w:tcW w:w="4016"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kern w:val="0"/>
                <w:szCs w:val="18"/>
              </w:rPr>
            </w:pP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shd w:val="clear" w:color="auto" w:fill="auto"/>
            <w:vAlign w:val="center"/>
          </w:tcPr>
          <w:p>
            <w:pPr>
              <w:jc w:val="left"/>
              <w:rPr>
                <w:rFonts w:ascii="宋体" w:hAnsi="宋体" w:eastAsia="宋体" w:cs="宋体"/>
                <w:color w:val="000000"/>
                <w:kern w:val="0"/>
                <w:szCs w:val="20"/>
              </w:rPr>
            </w:pPr>
          </w:p>
        </w:tc>
        <w:tc>
          <w:tcPr>
            <w:tcW w:w="3215"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kern w:val="0"/>
                <w:szCs w:val="20"/>
              </w:rPr>
            </w:pP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c>
          <w:tcPr>
            <w:tcW w:w="11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21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2.29</w:t>
            </w:r>
          </w:p>
        </w:tc>
        <w:tc>
          <w:tcPr>
            <w:tcW w:w="1175"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kern w:val="0"/>
                <w:szCs w:val="18"/>
              </w:rPr>
            </w:pPr>
          </w:p>
        </w:tc>
        <w:tc>
          <w:tcPr>
            <w:tcW w:w="4016"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kern w:val="0"/>
                <w:szCs w:val="18"/>
              </w:rPr>
            </w:pPr>
          </w:p>
        </w:tc>
        <w:tc>
          <w:tcPr>
            <w:tcW w:w="845"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kern w:val="0"/>
                <w:szCs w:val="20"/>
              </w:rPr>
            </w:pPr>
          </w:p>
        </w:tc>
      </w:tr>
      <w:tr>
        <w:tblPrEx>
          <w:tblLayout w:type="fixed"/>
          <w:tblCellMar>
            <w:top w:w="0" w:type="dxa"/>
            <w:left w:w="108" w:type="dxa"/>
            <w:bottom w:w="0" w:type="dxa"/>
            <w:right w:w="108" w:type="dxa"/>
          </w:tblCellMar>
        </w:tblPrEx>
        <w:trPr>
          <w:trHeight w:val="284" w:hRule="exact"/>
        </w:trPr>
        <w:tc>
          <w:tcPr>
            <w:tcW w:w="449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304.91</w:t>
            </w:r>
          </w:p>
        </w:tc>
        <w:tc>
          <w:tcPr>
            <w:tcW w:w="9426" w:type="dxa"/>
            <w:gridSpan w:val="5"/>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公用经费合计</w:t>
            </w:r>
          </w:p>
        </w:tc>
        <w:tc>
          <w:tcPr>
            <w:tcW w:w="84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kern w:val="0"/>
                <w:szCs w:val="18"/>
              </w:rPr>
            </w:pPr>
            <w:r>
              <w:rPr>
                <w:rFonts w:hint="eastAsia" w:ascii="宋体" w:hAnsi="宋体" w:eastAsia="宋体" w:cs="宋体"/>
                <w:i w:val="0"/>
                <w:iCs w:val="0"/>
                <w:color w:val="000000"/>
                <w:kern w:val="0"/>
                <w:sz w:val="22"/>
                <w:szCs w:val="22"/>
                <w:u w:val="none"/>
                <w:lang w:val="en-US" w:eastAsia="zh-CN" w:bidi="ar"/>
              </w:rPr>
              <w:t>361.55</w:t>
            </w:r>
          </w:p>
        </w:tc>
      </w:tr>
      <w:tr>
        <w:tblPrEx>
          <w:tblLayout w:type="fixed"/>
          <w:tblCellMar>
            <w:top w:w="0" w:type="dxa"/>
            <w:left w:w="108" w:type="dxa"/>
            <w:bottom w:w="0" w:type="dxa"/>
            <w:right w:w="108" w:type="dxa"/>
          </w:tblCellMar>
        </w:tblPrEx>
        <w:trPr>
          <w:trHeight w:val="284" w:hRule="exact"/>
        </w:trPr>
        <w:tc>
          <w:tcPr>
            <w:tcW w:w="15614" w:type="dxa"/>
            <w:gridSpan w:val="9"/>
            <w:tcBorders>
              <w:top w:val="nil"/>
              <w:left w:val="nil"/>
              <w:bottom w:val="nil"/>
              <w:right w:val="nil"/>
            </w:tcBorders>
            <w:shd w:val="clear" w:color="auto" w:fill="auto"/>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9"/>
        <w:tblW w:w="14640" w:type="dxa"/>
        <w:jc w:val="center"/>
        <w:tblInd w:w="0" w:type="dxa"/>
        <w:tblLayout w:type="fixed"/>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tblPrEx>
          <w:tblLayout w:type="fixed"/>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tblPrEx>
          <w:tblLayout w:type="fixed"/>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tblPrEx>
          <w:tblLayout w:type="fixed"/>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tblPrEx>
          <w:tblLayout w:type="fixed"/>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8.91</w:t>
            </w: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8.91</w:t>
            </w:r>
          </w:p>
        </w:tc>
        <w:tc>
          <w:tcPr>
            <w:tcW w:w="122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7.20</w:t>
            </w: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single" w:color="auto" w:sz="4" w:space="0"/>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7.20</w:t>
            </w:r>
          </w:p>
        </w:tc>
      </w:tr>
    </w:tbl>
    <w:p>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pPr>
        <w:autoSpaceDE w:val="0"/>
        <w:autoSpaceDN w:val="0"/>
        <w:adjustRightInd w:val="0"/>
        <w:ind w:left="315" w:leftChars="150"/>
        <w:jc w:val="left"/>
        <w:rPr>
          <w:rFonts w:ascii="宋体" w:eastAsia="宋体" w:cs="宋体"/>
          <w:kern w:val="0"/>
          <w:sz w:val="24"/>
          <w:szCs w:val="24"/>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                                                                                                                       公开08表</w:t>
      </w:r>
    </w:p>
    <w:p>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9"/>
        <w:tblW w:w="14440" w:type="dxa"/>
        <w:jc w:val="center"/>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86"/>
        <w:gridCol w:w="950"/>
        <w:gridCol w:w="1239"/>
        <w:gridCol w:w="1857"/>
        <w:gridCol w:w="1898"/>
        <w:gridCol w:w="1898"/>
        <w:gridCol w:w="1857"/>
        <w:gridCol w:w="1898"/>
        <w:gridCol w:w="185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3175" w:type="dxa"/>
            <w:gridSpan w:val="3"/>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1857"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1898"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5653" w:type="dxa"/>
            <w:gridSpan w:val="3"/>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1857"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936" w:type="dxa"/>
            <w:gridSpan w:val="2"/>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239"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1857" w:type="dxa"/>
            <w:vMerge w:val="continue"/>
            <w:vAlign w:val="center"/>
          </w:tcPr>
          <w:p>
            <w:pPr>
              <w:widowControl/>
              <w:jc w:val="left"/>
              <w:rPr>
                <w:rFonts w:ascii="Times New Roman" w:hAnsi="Times New Roman" w:eastAsia="仿宋_GB2312" w:cs="Times New Roman"/>
                <w:b/>
                <w:kern w:val="0"/>
                <w:szCs w:val="21"/>
              </w:rPr>
            </w:pPr>
          </w:p>
        </w:tc>
        <w:tc>
          <w:tcPr>
            <w:tcW w:w="1898" w:type="dxa"/>
            <w:vMerge w:val="continue"/>
            <w:vAlign w:val="center"/>
          </w:tcPr>
          <w:p>
            <w:pPr>
              <w:widowControl/>
              <w:jc w:val="left"/>
              <w:rPr>
                <w:rFonts w:ascii="Times New Roman" w:hAnsi="Times New Roman" w:eastAsia="仿宋_GB2312" w:cs="Times New Roman"/>
                <w:b/>
                <w:kern w:val="0"/>
                <w:szCs w:val="21"/>
              </w:rPr>
            </w:pPr>
          </w:p>
        </w:tc>
        <w:tc>
          <w:tcPr>
            <w:tcW w:w="1898"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1857"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1898"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1857" w:type="dxa"/>
            <w:vMerge w:val="continue"/>
            <w:vAlign w:val="center"/>
          </w:tcPr>
          <w:p>
            <w:pPr>
              <w:widowControl/>
              <w:jc w:val="left"/>
              <w:rPr>
                <w:rFonts w:ascii="Times New Roman" w:hAnsi="Times New Roman" w:eastAsia="仿宋_GB2312" w:cs="Times New Roman"/>
                <w:b/>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936" w:type="dxa"/>
            <w:gridSpan w:val="2"/>
            <w:vMerge w:val="continue"/>
            <w:vAlign w:val="center"/>
          </w:tcPr>
          <w:p>
            <w:pPr>
              <w:widowControl/>
              <w:jc w:val="left"/>
              <w:rPr>
                <w:rFonts w:ascii="Times New Roman" w:hAnsi="Times New Roman" w:eastAsia="仿宋_GB2312" w:cs="Times New Roman"/>
                <w:kern w:val="0"/>
                <w:szCs w:val="21"/>
              </w:rPr>
            </w:pPr>
          </w:p>
        </w:tc>
        <w:tc>
          <w:tcPr>
            <w:tcW w:w="1239" w:type="dxa"/>
            <w:vMerge w:val="continue"/>
            <w:vAlign w:val="center"/>
          </w:tcPr>
          <w:p>
            <w:pPr>
              <w:widowControl/>
              <w:jc w:val="left"/>
              <w:rPr>
                <w:rFonts w:ascii="Times New Roman" w:hAnsi="Times New Roman" w:eastAsia="仿宋_GB2312" w:cs="Times New Roman"/>
                <w:kern w:val="0"/>
                <w:szCs w:val="21"/>
              </w:rPr>
            </w:pPr>
          </w:p>
        </w:tc>
        <w:tc>
          <w:tcPr>
            <w:tcW w:w="1857" w:type="dxa"/>
            <w:vMerge w:val="continue"/>
            <w:vAlign w:val="center"/>
          </w:tcPr>
          <w:p>
            <w:pPr>
              <w:widowControl/>
              <w:jc w:val="left"/>
              <w:rPr>
                <w:rFonts w:ascii="Times New Roman" w:hAnsi="Times New Roman" w:eastAsia="仿宋_GB2312" w:cs="Times New Roman"/>
                <w:kern w:val="0"/>
                <w:szCs w:val="21"/>
              </w:rPr>
            </w:pPr>
          </w:p>
        </w:tc>
        <w:tc>
          <w:tcPr>
            <w:tcW w:w="1898" w:type="dxa"/>
            <w:vMerge w:val="continue"/>
            <w:vAlign w:val="center"/>
          </w:tcPr>
          <w:p>
            <w:pPr>
              <w:widowControl/>
              <w:jc w:val="left"/>
              <w:rPr>
                <w:rFonts w:ascii="Times New Roman" w:hAnsi="Times New Roman" w:eastAsia="仿宋_GB2312" w:cs="Times New Roman"/>
                <w:kern w:val="0"/>
                <w:szCs w:val="21"/>
              </w:rPr>
            </w:pPr>
          </w:p>
        </w:tc>
        <w:tc>
          <w:tcPr>
            <w:tcW w:w="1898" w:type="dxa"/>
            <w:vMerge w:val="continue"/>
            <w:vAlign w:val="center"/>
          </w:tcPr>
          <w:p>
            <w:pPr>
              <w:widowControl/>
              <w:jc w:val="left"/>
              <w:rPr>
                <w:rFonts w:ascii="Times New Roman" w:hAnsi="Times New Roman" w:eastAsia="仿宋_GB2312" w:cs="Times New Roman"/>
                <w:kern w:val="0"/>
                <w:szCs w:val="21"/>
              </w:rPr>
            </w:pPr>
          </w:p>
        </w:tc>
        <w:tc>
          <w:tcPr>
            <w:tcW w:w="1857" w:type="dxa"/>
            <w:vMerge w:val="continue"/>
            <w:vAlign w:val="center"/>
          </w:tcPr>
          <w:p>
            <w:pPr>
              <w:widowControl/>
              <w:jc w:val="left"/>
              <w:rPr>
                <w:rFonts w:ascii="Times New Roman" w:hAnsi="Times New Roman" w:eastAsia="仿宋_GB2312" w:cs="Times New Roman"/>
                <w:kern w:val="0"/>
                <w:szCs w:val="21"/>
              </w:rPr>
            </w:pPr>
          </w:p>
        </w:tc>
        <w:tc>
          <w:tcPr>
            <w:tcW w:w="1898" w:type="dxa"/>
            <w:vMerge w:val="continue"/>
            <w:vAlign w:val="center"/>
          </w:tcPr>
          <w:p>
            <w:pPr>
              <w:widowControl/>
              <w:jc w:val="left"/>
              <w:rPr>
                <w:rFonts w:ascii="Times New Roman" w:hAnsi="Times New Roman" w:eastAsia="仿宋_GB2312" w:cs="Times New Roman"/>
                <w:kern w:val="0"/>
                <w:szCs w:val="21"/>
              </w:rPr>
            </w:pPr>
          </w:p>
        </w:tc>
        <w:tc>
          <w:tcPr>
            <w:tcW w:w="1857" w:type="dxa"/>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1936" w:type="dxa"/>
            <w:gridSpan w:val="2"/>
            <w:vMerge w:val="continue"/>
            <w:vAlign w:val="center"/>
          </w:tcPr>
          <w:p>
            <w:pPr>
              <w:widowControl/>
              <w:jc w:val="left"/>
              <w:rPr>
                <w:rFonts w:ascii="Times New Roman" w:hAnsi="Times New Roman" w:eastAsia="仿宋_GB2312" w:cs="Times New Roman"/>
                <w:kern w:val="0"/>
                <w:szCs w:val="21"/>
              </w:rPr>
            </w:pPr>
          </w:p>
        </w:tc>
        <w:tc>
          <w:tcPr>
            <w:tcW w:w="1239" w:type="dxa"/>
            <w:vMerge w:val="continue"/>
            <w:vAlign w:val="center"/>
          </w:tcPr>
          <w:p>
            <w:pPr>
              <w:widowControl/>
              <w:jc w:val="left"/>
              <w:rPr>
                <w:rFonts w:ascii="Times New Roman" w:hAnsi="Times New Roman" w:eastAsia="仿宋_GB2312" w:cs="Times New Roman"/>
                <w:kern w:val="0"/>
                <w:szCs w:val="21"/>
              </w:rPr>
            </w:pPr>
          </w:p>
        </w:tc>
        <w:tc>
          <w:tcPr>
            <w:tcW w:w="1857" w:type="dxa"/>
            <w:vMerge w:val="continue"/>
            <w:vAlign w:val="center"/>
          </w:tcPr>
          <w:p>
            <w:pPr>
              <w:widowControl/>
              <w:jc w:val="left"/>
              <w:rPr>
                <w:rFonts w:ascii="Times New Roman" w:hAnsi="Times New Roman" w:eastAsia="仿宋_GB2312" w:cs="Times New Roman"/>
                <w:kern w:val="0"/>
                <w:szCs w:val="21"/>
              </w:rPr>
            </w:pPr>
          </w:p>
        </w:tc>
        <w:tc>
          <w:tcPr>
            <w:tcW w:w="1898" w:type="dxa"/>
            <w:vMerge w:val="continue"/>
            <w:vAlign w:val="center"/>
          </w:tcPr>
          <w:p>
            <w:pPr>
              <w:widowControl/>
              <w:jc w:val="left"/>
              <w:rPr>
                <w:rFonts w:ascii="Times New Roman" w:hAnsi="Times New Roman" w:eastAsia="仿宋_GB2312" w:cs="Times New Roman"/>
                <w:kern w:val="0"/>
                <w:szCs w:val="21"/>
              </w:rPr>
            </w:pPr>
          </w:p>
        </w:tc>
        <w:tc>
          <w:tcPr>
            <w:tcW w:w="1898" w:type="dxa"/>
            <w:vMerge w:val="continue"/>
            <w:vAlign w:val="center"/>
          </w:tcPr>
          <w:p>
            <w:pPr>
              <w:widowControl/>
              <w:jc w:val="left"/>
              <w:rPr>
                <w:rFonts w:ascii="Times New Roman" w:hAnsi="Times New Roman" w:eastAsia="仿宋_GB2312" w:cs="Times New Roman"/>
                <w:kern w:val="0"/>
                <w:szCs w:val="21"/>
              </w:rPr>
            </w:pPr>
          </w:p>
        </w:tc>
        <w:tc>
          <w:tcPr>
            <w:tcW w:w="1857" w:type="dxa"/>
            <w:vMerge w:val="continue"/>
            <w:vAlign w:val="center"/>
          </w:tcPr>
          <w:p>
            <w:pPr>
              <w:widowControl/>
              <w:jc w:val="left"/>
              <w:rPr>
                <w:rFonts w:ascii="Times New Roman" w:hAnsi="Times New Roman" w:eastAsia="仿宋_GB2312" w:cs="Times New Roman"/>
                <w:kern w:val="0"/>
                <w:szCs w:val="21"/>
              </w:rPr>
            </w:pPr>
          </w:p>
        </w:tc>
        <w:tc>
          <w:tcPr>
            <w:tcW w:w="1898" w:type="dxa"/>
            <w:vMerge w:val="continue"/>
            <w:vAlign w:val="center"/>
          </w:tcPr>
          <w:p>
            <w:pPr>
              <w:widowControl/>
              <w:jc w:val="left"/>
              <w:rPr>
                <w:rFonts w:ascii="Times New Roman" w:hAnsi="Times New Roman" w:eastAsia="仿宋_GB2312" w:cs="Times New Roman"/>
                <w:kern w:val="0"/>
                <w:szCs w:val="21"/>
              </w:rPr>
            </w:pPr>
          </w:p>
        </w:tc>
        <w:tc>
          <w:tcPr>
            <w:tcW w:w="1857" w:type="dxa"/>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3175" w:type="dxa"/>
            <w:gridSpan w:val="3"/>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1857" w:type="dxa"/>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1898" w:type="dxa"/>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1898" w:type="dxa"/>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c>
          <w:tcPr>
            <w:tcW w:w="1857" w:type="dxa"/>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w:t>
            </w:r>
          </w:p>
        </w:tc>
        <w:tc>
          <w:tcPr>
            <w:tcW w:w="1898" w:type="dxa"/>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w:t>
            </w:r>
          </w:p>
        </w:tc>
        <w:tc>
          <w:tcPr>
            <w:tcW w:w="1857" w:type="dxa"/>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3175" w:type="dxa"/>
            <w:gridSpan w:val="3"/>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1857" w:type="dxa"/>
            <w:shd w:val="clear" w:color="auto" w:fill="auto"/>
            <w:vAlign w:val="center"/>
          </w:tcPr>
          <w:p>
            <w:pPr>
              <w:jc w:val="right"/>
              <w:rPr>
                <w:rFonts w:ascii="Times New Roman" w:hAnsi="Times New Roman" w:eastAsia="仿宋_GB2312" w:cs="Times New Roman"/>
                <w:kern w:val="0"/>
                <w:szCs w:val="21"/>
              </w:rPr>
            </w:pPr>
          </w:p>
        </w:tc>
        <w:tc>
          <w:tcPr>
            <w:tcW w:w="1898"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371.58</w:t>
            </w:r>
          </w:p>
        </w:tc>
        <w:tc>
          <w:tcPr>
            <w:tcW w:w="1898"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371.58</w:t>
            </w:r>
          </w:p>
        </w:tc>
        <w:tc>
          <w:tcPr>
            <w:tcW w:w="1857" w:type="dxa"/>
            <w:shd w:val="clear" w:color="auto" w:fill="auto"/>
            <w:vAlign w:val="center"/>
          </w:tcPr>
          <w:p>
            <w:pPr>
              <w:jc w:val="right"/>
              <w:rPr>
                <w:rFonts w:ascii="Times New Roman" w:hAnsi="Times New Roman" w:eastAsia="仿宋_GB2312" w:cs="Times New Roman"/>
                <w:kern w:val="0"/>
                <w:szCs w:val="21"/>
              </w:rPr>
            </w:pPr>
          </w:p>
        </w:tc>
        <w:tc>
          <w:tcPr>
            <w:tcW w:w="1898"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371.58</w:t>
            </w:r>
          </w:p>
        </w:tc>
        <w:tc>
          <w:tcPr>
            <w:tcW w:w="1857" w:type="dxa"/>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986" w:type="dxa"/>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w:t>
            </w:r>
          </w:p>
        </w:tc>
        <w:tc>
          <w:tcPr>
            <w:tcW w:w="2189" w:type="dxa"/>
            <w:gridSpan w:val="2"/>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城乡社区支出</w:t>
            </w:r>
          </w:p>
        </w:tc>
        <w:tc>
          <w:tcPr>
            <w:tcW w:w="1857" w:type="dxa"/>
            <w:shd w:val="clear" w:color="auto" w:fill="auto"/>
            <w:vAlign w:val="center"/>
          </w:tcPr>
          <w:p>
            <w:pPr>
              <w:jc w:val="right"/>
              <w:rPr>
                <w:rFonts w:ascii="Times New Roman" w:hAnsi="Times New Roman" w:eastAsia="仿宋_GB2312" w:cs="Times New Roman"/>
                <w:kern w:val="0"/>
                <w:szCs w:val="21"/>
              </w:rPr>
            </w:pPr>
          </w:p>
        </w:tc>
        <w:tc>
          <w:tcPr>
            <w:tcW w:w="1898"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371.58</w:t>
            </w:r>
          </w:p>
        </w:tc>
        <w:tc>
          <w:tcPr>
            <w:tcW w:w="1898"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371.58</w:t>
            </w:r>
          </w:p>
        </w:tc>
        <w:tc>
          <w:tcPr>
            <w:tcW w:w="1857" w:type="dxa"/>
            <w:shd w:val="clear" w:color="auto" w:fill="auto"/>
            <w:vAlign w:val="center"/>
          </w:tcPr>
          <w:p>
            <w:pPr>
              <w:jc w:val="right"/>
              <w:rPr>
                <w:rFonts w:ascii="Times New Roman" w:hAnsi="Times New Roman" w:eastAsia="仿宋_GB2312" w:cs="Times New Roman"/>
                <w:kern w:val="0"/>
                <w:szCs w:val="21"/>
              </w:rPr>
            </w:pPr>
          </w:p>
        </w:tc>
        <w:tc>
          <w:tcPr>
            <w:tcW w:w="1898"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371.58</w:t>
            </w:r>
          </w:p>
        </w:tc>
        <w:tc>
          <w:tcPr>
            <w:tcW w:w="1857" w:type="dxa"/>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986" w:type="dxa"/>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21208</w:t>
            </w:r>
          </w:p>
        </w:tc>
        <w:tc>
          <w:tcPr>
            <w:tcW w:w="2189" w:type="dxa"/>
            <w:gridSpan w:val="2"/>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1857" w:type="dxa"/>
            <w:shd w:val="clear" w:color="auto" w:fill="auto"/>
            <w:vAlign w:val="center"/>
          </w:tcPr>
          <w:p>
            <w:pPr>
              <w:jc w:val="right"/>
              <w:rPr>
                <w:rFonts w:ascii="Times New Roman" w:hAnsi="Times New Roman" w:eastAsia="仿宋_GB2312" w:cs="Times New Roman"/>
                <w:kern w:val="0"/>
                <w:szCs w:val="21"/>
              </w:rPr>
            </w:pPr>
          </w:p>
        </w:tc>
        <w:tc>
          <w:tcPr>
            <w:tcW w:w="1898"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371.58</w:t>
            </w:r>
          </w:p>
        </w:tc>
        <w:tc>
          <w:tcPr>
            <w:tcW w:w="1898"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371.58</w:t>
            </w:r>
          </w:p>
        </w:tc>
        <w:tc>
          <w:tcPr>
            <w:tcW w:w="1857" w:type="dxa"/>
            <w:shd w:val="clear" w:color="auto" w:fill="auto"/>
            <w:vAlign w:val="center"/>
          </w:tcPr>
          <w:p>
            <w:pPr>
              <w:jc w:val="right"/>
              <w:rPr>
                <w:rFonts w:ascii="Times New Roman" w:hAnsi="Times New Roman" w:eastAsia="仿宋_GB2312" w:cs="Times New Roman"/>
                <w:kern w:val="0"/>
                <w:szCs w:val="21"/>
              </w:rPr>
            </w:pPr>
          </w:p>
        </w:tc>
        <w:tc>
          <w:tcPr>
            <w:tcW w:w="1898"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371.58</w:t>
            </w:r>
          </w:p>
        </w:tc>
        <w:tc>
          <w:tcPr>
            <w:tcW w:w="1857" w:type="dxa"/>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4" w:hRule="atLeast"/>
          <w:jc w:val="center"/>
        </w:trPr>
        <w:tc>
          <w:tcPr>
            <w:tcW w:w="986" w:type="dxa"/>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2120802</w:t>
            </w:r>
          </w:p>
        </w:tc>
        <w:tc>
          <w:tcPr>
            <w:tcW w:w="2189" w:type="dxa"/>
            <w:gridSpan w:val="2"/>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土地开发支出</w:t>
            </w:r>
          </w:p>
        </w:tc>
        <w:tc>
          <w:tcPr>
            <w:tcW w:w="1857" w:type="dxa"/>
            <w:shd w:val="clear" w:color="auto" w:fill="auto"/>
            <w:vAlign w:val="center"/>
          </w:tcPr>
          <w:p>
            <w:pPr>
              <w:jc w:val="right"/>
              <w:rPr>
                <w:rFonts w:ascii="Times New Roman" w:hAnsi="Times New Roman" w:eastAsia="仿宋_GB2312" w:cs="Times New Roman"/>
                <w:kern w:val="0"/>
                <w:szCs w:val="21"/>
              </w:rPr>
            </w:pPr>
          </w:p>
        </w:tc>
        <w:tc>
          <w:tcPr>
            <w:tcW w:w="1898"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371.58</w:t>
            </w:r>
          </w:p>
        </w:tc>
        <w:tc>
          <w:tcPr>
            <w:tcW w:w="1898"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371.58</w:t>
            </w:r>
          </w:p>
        </w:tc>
        <w:tc>
          <w:tcPr>
            <w:tcW w:w="1857" w:type="dxa"/>
            <w:shd w:val="clear" w:color="auto" w:fill="auto"/>
            <w:vAlign w:val="center"/>
          </w:tcPr>
          <w:p>
            <w:pPr>
              <w:jc w:val="right"/>
              <w:rPr>
                <w:rFonts w:ascii="Times New Roman" w:hAnsi="Times New Roman" w:eastAsia="仿宋_GB2312" w:cs="Times New Roman"/>
                <w:kern w:val="0"/>
                <w:szCs w:val="21"/>
              </w:rPr>
            </w:pPr>
          </w:p>
        </w:tc>
        <w:tc>
          <w:tcPr>
            <w:tcW w:w="1898"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371.58</w:t>
            </w:r>
          </w:p>
        </w:tc>
        <w:tc>
          <w:tcPr>
            <w:tcW w:w="1857" w:type="dxa"/>
            <w:shd w:val="clear" w:color="auto" w:fill="auto"/>
            <w:vAlign w:val="center"/>
          </w:tcPr>
          <w:p>
            <w:pPr>
              <w:jc w:val="right"/>
              <w:rPr>
                <w:rFonts w:ascii="Times New Roman" w:hAnsi="Times New Roman" w:eastAsia="仿宋_GB2312" w:cs="Times New Roman"/>
                <w:kern w:val="0"/>
                <w:szCs w:val="21"/>
              </w:rPr>
            </w:pPr>
          </w:p>
        </w:tc>
      </w:tr>
    </w:tbl>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(若本单位无政府性基金收支</w:t>
      </w:r>
      <w:r>
        <w:rPr>
          <w:rFonts w:hint="eastAsia" w:ascii="Times New Roman" w:hAnsi="Times New Roman" w:eastAsia="仿宋_GB2312" w:cs="Times New Roman"/>
          <w:kern w:val="0"/>
          <w:szCs w:val="21"/>
        </w:rPr>
        <w:t>,请说明：XX单位没有政府性基金收入，也没有使用政府性基金安排的支出，故本表无数据</w:t>
      </w:r>
      <w:r>
        <w:rPr>
          <w:rFonts w:ascii="Times New Roman" w:hAnsi="Times New Roman" w:eastAsia="仿宋_GB2312" w:cs="Times New Roman"/>
          <w:kern w:val="0"/>
          <w:szCs w:val="21"/>
        </w:rPr>
        <w:t>)。</w:t>
      </w:r>
    </w:p>
    <w:p>
      <w:pPr>
        <w:widowControl/>
        <w:jc w:val="left"/>
        <w:rPr>
          <w:rFonts w:ascii="黑体" w:hAnsi="黑体" w:eastAsia="黑体"/>
          <w:szCs w:val="21"/>
        </w:rPr>
      </w:pPr>
      <w:r>
        <w:rPr>
          <w:rFonts w:ascii="黑体" w:hAnsi="黑体" w:eastAsia="黑体"/>
          <w:szCs w:val="21"/>
        </w:rPr>
        <w:br w:type="page"/>
      </w:r>
    </w:p>
    <w:tbl>
      <w:tblPr>
        <w:tblStyle w:val="9"/>
        <w:tblW w:w="14190" w:type="dxa"/>
        <w:tblInd w:w="93" w:type="dxa"/>
        <w:tblLayout w:type="fixed"/>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tblPrEx>
          <w:tblLayout w:type="fixed"/>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tblPrEx>
          <w:tblLayout w:type="fixed"/>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tblPrEx>
          <w:tblLayout w:type="fixed"/>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5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single" w:color="auto" w:sz="8" w:space="0"/>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Layout w:type="fixed"/>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tblPrEx>
          <w:tblLayout w:type="fixed"/>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tblPrEx>
          <w:tblLayout w:type="fixed"/>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tblPrEx>
          <w:tblLayout w:type="fixed"/>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tc>
      </w:tr>
    </w:tbl>
    <w:p>
      <w:pPr>
        <w:pStyle w:val="12"/>
        <w:rPr>
          <w:sz w:val="72"/>
          <w:szCs w:val="72"/>
        </w:rPr>
        <w:sectPr>
          <w:pgSz w:w="16838" w:h="11906" w:orient="landscape"/>
          <w:pgMar w:top="720" w:right="720" w:bottom="720" w:left="720" w:header="851" w:footer="992" w:gutter="0"/>
          <w:cols w:space="425" w:num="1"/>
          <w:docGrid w:type="lines" w:linePitch="312" w:charSpace="0"/>
        </w:sectPr>
      </w:pPr>
    </w:p>
    <w:p>
      <w:pPr>
        <w:pStyle w:val="12"/>
        <w:rPr>
          <w:sz w:val="72"/>
          <w:szCs w:val="72"/>
        </w:rPr>
      </w:pPr>
    </w:p>
    <w:p>
      <w:pPr>
        <w:pStyle w:val="12"/>
        <w:rPr>
          <w:sz w:val="72"/>
          <w:szCs w:val="72"/>
        </w:rPr>
      </w:pPr>
    </w:p>
    <w:p>
      <w:pPr>
        <w:pStyle w:val="12"/>
        <w:rPr>
          <w:sz w:val="72"/>
          <w:szCs w:val="72"/>
        </w:rPr>
      </w:pPr>
    </w:p>
    <w:p>
      <w:pPr>
        <w:pStyle w:val="12"/>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r>
        <w:rPr>
          <w:rFonts w:hint="eastAsia"/>
          <w:sz w:val="72"/>
          <w:szCs w:val="72"/>
        </w:rPr>
        <w:t>第三部分</w:t>
      </w:r>
    </w:p>
    <w:p>
      <w:pPr>
        <w:pStyle w:val="12"/>
        <w:jc w:val="center"/>
        <w:rPr>
          <w:sz w:val="70"/>
          <w:szCs w:val="70"/>
        </w:rPr>
      </w:pPr>
    </w:p>
    <w:p>
      <w:pPr>
        <w:pStyle w:val="12"/>
        <w:jc w:val="center"/>
        <w:rPr>
          <w:sz w:val="70"/>
          <w:szCs w:val="70"/>
        </w:rPr>
      </w:pPr>
      <w:r>
        <w:rPr>
          <w:sz w:val="70"/>
          <w:szCs w:val="70"/>
        </w:rPr>
        <w:t>20</w:t>
      </w:r>
      <w:r>
        <w:rPr>
          <w:rFonts w:hint="eastAsia"/>
          <w:sz w:val="70"/>
          <w:szCs w:val="70"/>
        </w:rPr>
        <w:t>21年度部门决算情况说明</w:t>
      </w:r>
    </w:p>
    <w:p>
      <w:pPr>
        <w:widowControl/>
        <w:jc w:val="left"/>
        <w:rPr>
          <w:rFonts w:ascii="黑体" w:eastAsia="黑体" w:cs="黑体"/>
          <w:color w:val="000000"/>
          <w:kern w:val="0"/>
          <w:sz w:val="70"/>
          <w:szCs w:val="70"/>
        </w:rPr>
      </w:pPr>
      <w:r>
        <w:rPr>
          <w:sz w:val="70"/>
          <w:szCs w:val="70"/>
        </w:rPr>
        <w:br w:type="page"/>
      </w:r>
    </w:p>
    <w:p>
      <w:pPr>
        <w:pStyle w:val="12"/>
        <w:rPr>
          <w:rFonts w:asciiTheme="minorEastAsia" w:hAnsiTheme="minorEastAsia" w:eastAsiaTheme="minorEastAsia"/>
          <w:sz w:val="32"/>
          <w:szCs w:val="32"/>
        </w:rPr>
      </w:pPr>
    </w:p>
    <w:p>
      <w:pPr>
        <w:pStyle w:val="12"/>
        <w:rPr>
          <w:rFonts w:hAnsi="黑体"/>
          <w:b/>
          <w:sz w:val="32"/>
          <w:szCs w:val="32"/>
        </w:rPr>
      </w:pPr>
      <w:r>
        <w:rPr>
          <w:rFonts w:hint="eastAsia" w:hAnsi="黑体"/>
          <w:b/>
          <w:sz w:val="32"/>
          <w:szCs w:val="32"/>
        </w:rPr>
        <w:t>一、收入支出决算总体情况说明</w:t>
      </w:r>
    </w:p>
    <w:p>
      <w:pPr>
        <w:pStyle w:val="12"/>
        <w:ind w:firstLine="640" w:firstLineChars="200"/>
        <w:rPr>
          <w:rFonts w:hint="eastAsia" w:eastAsia="黑体" w:asciiTheme="minorEastAsia" w:hAnsiTheme="minorEastAsia"/>
          <w:sz w:val="32"/>
          <w:szCs w:val="32"/>
          <w:lang w:eastAsia="zh-CN"/>
        </w:rPr>
      </w:pPr>
      <w:r>
        <w:rPr>
          <w:rFonts w:hint="eastAsia" w:asciiTheme="minorEastAsia" w:hAnsiTheme="minorEastAsia" w:eastAsiaTheme="minorEastAsia"/>
          <w:sz w:val="32"/>
          <w:szCs w:val="32"/>
        </w:rPr>
        <w:t>2021年度收、支总计</w:t>
      </w:r>
      <w:r>
        <w:rPr>
          <w:rFonts w:hint="eastAsia" w:ascii="仿宋_GB2312" w:hAnsi="黑体" w:eastAsia="仿宋_GB2312"/>
          <w:sz w:val="32"/>
          <w:szCs w:val="32"/>
          <w:lang w:val="en-US" w:eastAsia="zh-CN"/>
        </w:rPr>
        <w:t>1068.04</w:t>
      </w:r>
      <w:r>
        <w:rPr>
          <w:rFonts w:hint="eastAsia" w:asciiTheme="minorEastAsia" w:hAnsiTheme="minorEastAsia" w:eastAsiaTheme="minorEastAsia"/>
          <w:sz w:val="32"/>
          <w:szCs w:val="32"/>
        </w:rPr>
        <w:t>万元。与上年相比，</w:t>
      </w:r>
      <w:r>
        <w:rPr>
          <w:rFonts w:hint="eastAsia" w:ascii="宋体" w:hAnsi="宋体" w:cs="宋体"/>
          <w:color w:val="333333"/>
          <w:kern w:val="0"/>
          <w:sz w:val="32"/>
          <w:szCs w:val="32"/>
          <w:lang w:val="en-US" w:eastAsia="zh-CN"/>
        </w:rPr>
        <w:t>减少</w:t>
      </w:r>
      <w:r>
        <w:rPr>
          <w:rFonts w:hint="eastAsia" w:ascii="宋体" w:hAnsi="宋体" w:cs="宋体"/>
          <w:color w:val="333333"/>
          <w:kern w:val="0"/>
          <w:sz w:val="32"/>
          <w:szCs w:val="32"/>
        </w:rPr>
        <w:t>了</w:t>
      </w:r>
      <w:r>
        <w:rPr>
          <w:rFonts w:hint="eastAsia" w:ascii="宋体" w:hAnsi="宋体" w:cs="宋体"/>
          <w:color w:val="333333"/>
          <w:kern w:val="0"/>
          <w:sz w:val="32"/>
          <w:szCs w:val="32"/>
          <w:lang w:val="en-US" w:eastAsia="zh-CN"/>
        </w:rPr>
        <w:t>45.36</w:t>
      </w:r>
      <w:r>
        <w:rPr>
          <w:rFonts w:hint="eastAsia" w:ascii="宋体" w:hAnsi="宋体" w:cs="宋体"/>
          <w:color w:val="333333"/>
          <w:kern w:val="0"/>
          <w:sz w:val="32"/>
          <w:szCs w:val="32"/>
        </w:rPr>
        <w:t>万元</w:t>
      </w:r>
      <w:r>
        <w:rPr>
          <w:rFonts w:hint="eastAsia" w:ascii="Malgun Gothic Semilight" w:hAnsi="Malgun Gothic Semilight" w:eastAsia="Malgun Gothic Semilight" w:cs="Malgun Gothic Semilight"/>
          <w:color w:val="333333"/>
          <w:kern w:val="0"/>
          <w:sz w:val="32"/>
          <w:szCs w:val="32"/>
        </w:rPr>
        <w:t>，</w:t>
      </w:r>
      <w:r>
        <w:rPr>
          <w:rFonts w:hint="eastAsia" w:ascii="宋体" w:hAnsi="宋体" w:eastAsia="Malgun Gothic Semilight" w:cs="宋体"/>
          <w:color w:val="333333"/>
          <w:kern w:val="0"/>
          <w:sz w:val="32"/>
          <w:szCs w:val="32"/>
          <w:lang w:val="en-US" w:eastAsia="zh-CN"/>
        </w:rPr>
        <w:t>减少</w:t>
      </w:r>
      <w:r>
        <w:rPr>
          <w:rFonts w:hint="eastAsia" w:ascii="宋体" w:hAnsi="宋体" w:cs="宋体"/>
          <w:color w:val="333333"/>
          <w:kern w:val="0"/>
          <w:sz w:val="32"/>
          <w:szCs w:val="32"/>
          <w:lang w:val="en-US" w:eastAsia="zh-CN"/>
        </w:rPr>
        <w:t>4</w:t>
      </w:r>
      <w:r>
        <w:rPr>
          <w:rFonts w:hint="eastAsia" w:ascii="仿宋_GB2312" w:hAnsi="宋体" w:eastAsia="仿宋_GB2312" w:cs="宋体"/>
          <w:color w:val="333333"/>
          <w:kern w:val="0"/>
          <w:sz w:val="32"/>
          <w:szCs w:val="32"/>
        </w:rPr>
        <w:t>%，</w:t>
      </w:r>
      <w:r>
        <w:rPr>
          <w:rFonts w:hint="eastAsia" w:ascii="宋体" w:hAnsi="宋体" w:cs="宋体"/>
          <w:color w:val="333333"/>
          <w:kern w:val="0"/>
          <w:sz w:val="32"/>
          <w:szCs w:val="32"/>
        </w:rPr>
        <w:t>主要是</w:t>
      </w:r>
      <w:r>
        <w:rPr>
          <w:rFonts w:hint="eastAsia" w:ascii="宋体" w:hAnsi="宋体" w:cs="宋体"/>
          <w:color w:val="333333"/>
          <w:kern w:val="0"/>
          <w:sz w:val="32"/>
          <w:szCs w:val="32"/>
          <w:lang w:val="en-US" w:eastAsia="zh-CN"/>
        </w:rPr>
        <w:t>财政资金压缩支出</w:t>
      </w:r>
      <w:r>
        <w:rPr>
          <w:rFonts w:hint="eastAsia" w:ascii="仿宋_GB2312" w:hAnsi="宋体" w:eastAsia="仿宋_GB2312" w:cs="宋体"/>
          <w:color w:val="333333"/>
          <w:kern w:val="0"/>
          <w:sz w:val="32"/>
          <w:szCs w:val="32"/>
        </w:rPr>
        <w:t>。</w:t>
      </w:r>
    </w:p>
    <w:p>
      <w:pPr>
        <w:pStyle w:val="12"/>
        <w:rPr>
          <w:rFonts w:hAnsi="黑体"/>
          <w:b/>
          <w:sz w:val="32"/>
          <w:szCs w:val="32"/>
        </w:rPr>
      </w:pPr>
      <w:r>
        <w:rPr>
          <w:rFonts w:hint="eastAsia" w:hAnsi="黑体"/>
          <w:b/>
          <w:sz w:val="32"/>
          <w:szCs w:val="32"/>
        </w:rPr>
        <w:t>二、收入决算情况说明</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2021年度收入合计</w:t>
      </w:r>
      <w:r>
        <w:rPr>
          <w:rFonts w:hint="eastAsia" w:ascii="仿宋_GB2312" w:eastAsia="仿宋_GB2312"/>
          <w:sz w:val="30"/>
          <w:szCs w:val="30"/>
          <w:lang w:val="en-US" w:eastAsia="zh-CN"/>
        </w:rPr>
        <w:t>1068.04</w:t>
      </w:r>
      <w:r>
        <w:rPr>
          <w:rFonts w:hint="eastAsia" w:asciiTheme="minorEastAsia" w:hAnsiTheme="minorEastAsia" w:eastAsiaTheme="minorEastAsia"/>
          <w:sz w:val="32"/>
          <w:szCs w:val="32"/>
        </w:rPr>
        <w:t>万元，其中：财政拨款收入</w:t>
      </w:r>
      <w:r>
        <w:rPr>
          <w:rFonts w:hint="eastAsia" w:ascii="仿宋_GB2312" w:eastAsia="仿宋_GB2312"/>
          <w:sz w:val="30"/>
          <w:szCs w:val="30"/>
          <w:lang w:val="en-US" w:eastAsia="zh-CN"/>
        </w:rPr>
        <w:t>1068.04</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%；上级补助收入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%；事业收入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%；附属单位上缴收入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%；其他收入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pPr>
        <w:pStyle w:val="12"/>
        <w:rPr>
          <w:rFonts w:hAnsi="黑体"/>
          <w:b/>
          <w:sz w:val="32"/>
          <w:szCs w:val="32"/>
        </w:rPr>
      </w:pPr>
      <w:r>
        <w:rPr>
          <w:rFonts w:hint="eastAsia" w:hAnsi="黑体"/>
          <w:b/>
          <w:sz w:val="32"/>
          <w:szCs w:val="32"/>
        </w:rPr>
        <w:t>三、支出决算情况说明</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2021年度支出合计</w:t>
      </w:r>
      <w:r>
        <w:rPr>
          <w:rFonts w:hint="eastAsia" w:ascii="仿宋_GB2312" w:eastAsia="仿宋_GB2312"/>
          <w:sz w:val="30"/>
          <w:szCs w:val="30"/>
          <w:lang w:val="en-US" w:eastAsia="zh-CN"/>
        </w:rPr>
        <w:t>1068.04</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666.46</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62.4</w:t>
      </w:r>
      <w:r>
        <w:rPr>
          <w:rFonts w:hint="eastAsia" w:asciiTheme="minorEastAsia" w:hAnsiTheme="minorEastAsia" w:eastAsiaTheme="minorEastAsia"/>
          <w:sz w:val="32"/>
          <w:szCs w:val="32"/>
        </w:rPr>
        <w:t>%；项目支出</w:t>
      </w:r>
      <w:r>
        <w:rPr>
          <w:rFonts w:hint="eastAsia" w:asciiTheme="minorEastAsia" w:hAnsiTheme="minorEastAsia" w:eastAsiaTheme="minorEastAsia"/>
          <w:sz w:val="32"/>
          <w:szCs w:val="32"/>
          <w:lang w:val="en-US" w:eastAsia="zh-CN"/>
        </w:rPr>
        <w:t>401.58</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37.6</w:t>
      </w:r>
      <w:r>
        <w:rPr>
          <w:rFonts w:hint="eastAsia" w:asciiTheme="minorEastAsia" w:hAnsiTheme="minorEastAsia" w:eastAsiaTheme="minorEastAsia"/>
          <w:sz w:val="32"/>
          <w:szCs w:val="32"/>
        </w:rPr>
        <w:t>%；上缴上级支出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%；对附属单位补助支出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pPr>
        <w:pStyle w:val="12"/>
        <w:rPr>
          <w:rFonts w:hAnsi="黑体"/>
          <w:b/>
          <w:sz w:val="32"/>
          <w:szCs w:val="32"/>
        </w:rPr>
      </w:pPr>
      <w:r>
        <w:rPr>
          <w:rFonts w:hint="eastAsia" w:hAnsi="黑体"/>
          <w:b/>
          <w:sz w:val="32"/>
          <w:szCs w:val="32"/>
        </w:rPr>
        <w:t>四、财政拨款收入支出决算总体情况说明</w:t>
      </w:r>
    </w:p>
    <w:p>
      <w:pPr>
        <w:pStyle w:val="12"/>
        <w:rPr>
          <w:rFonts w:hint="eastAsia" w:eastAsia="黑体" w:asciiTheme="minorEastAsia" w:hAnsiTheme="minorEastAsia"/>
          <w:sz w:val="32"/>
          <w:szCs w:val="32"/>
          <w:lang w:eastAsia="zh-CN"/>
        </w:rPr>
      </w:pPr>
      <w:r>
        <w:rPr>
          <w:rFonts w:hint="eastAsia" w:asciiTheme="minorEastAsia" w:hAnsiTheme="minorEastAsia" w:eastAsiaTheme="minorEastAsia"/>
          <w:sz w:val="32"/>
          <w:szCs w:val="32"/>
        </w:rPr>
        <w:t xml:space="preserve">    2021年度财政拨款收、支总计</w:t>
      </w:r>
      <w:r>
        <w:rPr>
          <w:rFonts w:hint="eastAsia" w:ascii="仿宋_GB2312" w:eastAsia="仿宋_GB2312"/>
          <w:sz w:val="30"/>
          <w:szCs w:val="30"/>
          <w:lang w:val="en-US" w:eastAsia="zh-CN"/>
        </w:rPr>
        <w:t>1068.04</w:t>
      </w:r>
      <w:r>
        <w:rPr>
          <w:rFonts w:hint="eastAsia" w:asciiTheme="minorEastAsia" w:hAnsiTheme="minorEastAsia" w:eastAsiaTheme="minorEastAsia"/>
          <w:sz w:val="32"/>
          <w:szCs w:val="32"/>
        </w:rPr>
        <w:t>万元，与上年相比，</w:t>
      </w:r>
      <w:r>
        <w:rPr>
          <w:rFonts w:hint="eastAsia" w:ascii="宋体" w:hAnsi="宋体" w:eastAsia="Malgun Gothic Semilight" w:cs="宋体"/>
          <w:color w:val="333333"/>
          <w:kern w:val="0"/>
          <w:sz w:val="32"/>
          <w:szCs w:val="32"/>
          <w:lang w:val="en-US" w:eastAsia="zh-CN"/>
        </w:rPr>
        <w:t>减少</w:t>
      </w:r>
      <w:r>
        <w:rPr>
          <w:rFonts w:hint="eastAsia" w:ascii="宋体" w:hAnsi="宋体" w:cs="宋体"/>
          <w:color w:val="333333"/>
          <w:kern w:val="0"/>
          <w:sz w:val="32"/>
          <w:szCs w:val="32"/>
          <w:lang w:val="en-US" w:eastAsia="zh-CN"/>
        </w:rPr>
        <w:t>4</w:t>
      </w:r>
      <w:r>
        <w:rPr>
          <w:rFonts w:hint="eastAsia" w:ascii="仿宋_GB2312" w:hAnsi="宋体" w:eastAsia="仿宋_GB2312" w:cs="宋体"/>
          <w:color w:val="333333"/>
          <w:kern w:val="0"/>
          <w:sz w:val="32"/>
          <w:szCs w:val="32"/>
        </w:rPr>
        <w:t>%，</w:t>
      </w:r>
      <w:r>
        <w:rPr>
          <w:rFonts w:hint="eastAsia" w:ascii="宋体" w:hAnsi="宋体" w:cs="宋体"/>
          <w:color w:val="333333"/>
          <w:kern w:val="0"/>
          <w:sz w:val="32"/>
          <w:szCs w:val="32"/>
        </w:rPr>
        <w:t>主要是</w:t>
      </w:r>
      <w:r>
        <w:rPr>
          <w:rFonts w:hint="eastAsia" w:ascii="宋体" w:hAnsi="宋体" w:cs="宋体"/>
          <w:color w:val="333333"/>
          <w:kern w:val="0"/>
          <w:sz w:val="32"/>
          <w:szCs w:val="32"/>
          <w:lang w:val="en-US" w:eastAsia="zh-CN"/>
        </w:rPr>
        <w:t>财政资金压缩支出</w:t>
      </w:r>
      <w:r>
        <w:rPr>
          <w:rFonts w:hint="eastAsia" w:ascii="仿宋_GB2312" w:hAnsi="宋体" w:eastAsia="仿宋_GB2312" w:cs="宋体"/>
          <w:color w:val="333333"/>
          <w:kern w:val="0"/>
          <w:sz w:val="32"/>
          <w:szCs w:val="32"/>
        </w:rPr>
        <w:t>。</w:t>
      </w:r>
    </w:p>
    <w:p>
      <w:pPr>
        <w:pStyle w:val="12"/>
        <w:rPr>
          <w:rFonts w:hAnsi="黑体"/>
          <w:b/>
          <w:sz w:val="32"/>
          <w:szCs w:val="32"/>
        </w:rPr>
      </w:pPr>
      <w:r>
        <w:rPr>
          <w:rFonts w:hint="eastAsia" w:hAnsi="黑体"/>
          <w:b/>
          <w:sz w:val="32"/>
          <w:szCs w:val="32"/>
        </w:rPr>
        <w:t>五、一般公共预算财政拨款支出决算情况说明</w:t>
      </w:r>
    </w:p>
    <w:p>
      <w:pPr>
        <w:pStyle w:val="12"/>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pPr>
        <w:pStyle w:val="12"/>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2021年度财政拨款支出</w:t>
      </w:r>
      <w:r>
        <w:rPr>
          <w:rFonts w:hint="eastAsia" w:asciiTheme="minorEastAsia" w:hAnsiTheme="minorEastAsia" w:eastAsiaTheme="minorEastAsia"/>
          <w:sz w:val="32"/>
          <w:szCs w:val="32"/>
          <w:lang w:val="en-US" w:eastAsia="zh-CN"/>
        </w:rPr>
        <w:t>1068.04</w:t>
      </w:r>
      <w:r>
        <w:rPr>
          <w:rFonts w:hint="eastAsia" w:asciiTheme="minorEastAsia" w:hAnsiTheme="minorEastAsia" w:eastAsiaTheme="minorEastAsia"/>
          <w:sz w:val="32"/>
          <w:szCs w:val="32"/>
        </w:rPr>
        <w:t>万元，占本年支出合计的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%，与上年相比，与上年相比，</w:t>
      </w:r>
      <w:r>
        <w:rPr>
          <w:rFonts w:hint="eastAsia" w:ascii="宋体" w:hAnsi="宋体" w:cs="宋体"/>
          <w:color w:val="333333"/>
          <w:kern w:val="0"/>
          <w:sz w:val="32"/>
          <w:szCs w:val="32"/>
          <w:lang w:val="en-US" w:eastAsia="zh-CN"/>
        </w:rPr>
        <w:t>减少</w:t>
      </w:r>
      <w:r>
        <w:rPr>
          <w:rFonts w:hint="eastAsia" w:ascii="宋体" w:hAnsi="宋体" w:cs="宋体"/>
          <w:color w:val="333333"/>
          <w:kern w:val="0"/>
          <w:sz w:val="32"/>
          <w:szCs w:val="32"/>
        </w:rPr>
        <w:t>了</w:t>
      </w:r>
      <w:r>
        <w:rPr>
          <w:rFonts w:hint="eastAsia" w:ascii="宋体" w:hAnsi="宋体" w:cs="宋体"/>
          <w:color w:val="333333"/>
          <w:kern w:val="0"/>
          <w:sz w:val="32"/>
          <w:szCs w:val="32"/>
          <w:lang w:val="en-US" w:eastAsia="zh-CN"/>
        </w:rPr>
        <w:t>45.36</w:t>
      </w:r>
      <w:r>
        <w:rPr>
          <w:rFonts w:hint="eastAsia" w:ascii="宋体" w:hAnsi="宋体" w:cs="宋体"/>
          <w:color w:val="333333"/>
          <w:kern w:val="0"/>
          <w:sz w:val="32"/>
          <w:szCs w:val="32"/>
        </w:rPr>
        <w:t>万元</w:t>
      </w:r>
      <w:r>
        <w:rPr>
          <w:rFonts w:hint="eastAsia" w:ascii="Malgun Gothic Semilight" w:hAnsi="Malgun Gothic Semilight" w:eastAsia="Malgun Gothic Semilight" w:cs="Malgun Gothic Semilight"/>
          <w:color w:val="333333"/>
          <w:kern w:val="0"/>
          <w:sz w:val="32"/>
          <w:szCs w:val="32"/>
        </w:rPr>
        <w:t>，</w:t>
      </w:r>
      <w:r>
        <w:rPr>
          <w:rFonts w:hint="eastAsia" w:ascii="宋体" w:hAnsi="宋体" w:eastAsia="Malgun Gothic Semilight" w:cs="宋体"/>
          <w:color w:val="333333"/>
          <w:kern w:val="0"/>
          <w:sz w:val="32"/>
          <w:szCs w:val="32"/>
          <w:lang w:val="en-US" w:eastAsia="zh-CN"/>
        </w:rPr>
        <w:t>减少</w:t>
      </w:r>
      <w:r>
        <w:rPr>
          <w:rFonts w:hint="eastAsia" w:ascii="宋体" w:hAnsi="宋体" w:cs="宋体"/>
          <w:color w:val="333333"/>
          <w:kern w:val="0"/>
          <w:sz w:val="32"/>
          <w:szCs w:val="32"/>
          <w:lang w:val="en-US" w:eastAsia="zh-CN"/>
        </w:rPr>
        <w:t>4</w:t>
      </w:r>
      <w:r>
        <w:rPr>
          <w:rFonts w:hint="eastAsia" w:ascii="仿宋_GB2312" w:hAnsi="宋体" w:eastAsia="仿宋_GB2312" w:cs="宋体"/>
          <w:color w:val="333333"/>
          <w:kern w:val="0"/>
          <w:sz w:val="32"/>
          <w:szCs w:val="32"/>
        </w:rPr>
        <w:t>%，</w:t>
      </w:r>
      <w:r>
        <w:rPr>
          <w:rFonts w:hint="eastAsia" w:ascii="宋体" w:hAnsi="宋体" w:cs="宋体"/>
          <w:color w:val="333333"/>
          <w:kern w:val="0"/>
          <w:sz w:val="32"/>
          <w:szCs w:val="32"/>
        </w:rPr>
        <w:t>主要是</w:t>
      </w:r>
      <w:r>
        <w:rPr>
          <w:rFonts w:hint="eastAsia" w:ascii="宋体" w:hAnsi="宋体" w:cs="宋体"/>
          <w:color w:val="333333"/>
          <w:kern w:val="0"/>
          <w:sz w:val="32"/>
          <w:szCs w:val="32"/>
          <w:lang w:val="en-US" w:eastAsia="zh-CN"/>
        </w:rPr>
        <w:t>财政资金压缩支出</w:t>
      </w:r>
      <w:r>
        <w:rPr>
          <w:rFonts w:hint="eastAsia" w:ascii="仿宋_GB2312" w:hAnsi="宋体" w:eastAsia="仿宋_GB2312" w:cs="宋体"/>
          <w:color w:val="333333"/>
          <w:kern w:val="0"/>
          <w:sz w:val="32"/>
          <w:szCs w:val="32"/>
        </w:rPr>
        <w:t>。</w:t>
      </w:r>
    </w:p>
    <w:p>
      <w:pPr>
        <w:pStyle w:val="12"/>
        <w:ind w:firstLine="480" w:firstLineChars="15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pPr>
        <w:pStyle w:val="12"/>
        <w:ind w:firstLine="640" w:firstLineChars="200"/>
        <w:rPr>
          <w:rFonts w:hint="default"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2021年度财政拨款支出</w:t>
      </w:r>
      <w:r>
        <w:rPr>
          <w:rFonts w:hint="eastAsia" w:asciiTheme="minorEastAsia" w:hAnsiTheme="minorEastAsia" w:eastAsiaTheme="minorEastAsia"/>
          <w:sz w:val="32"/>
          <w:szCs w:val="32"/>
          <w:lang w:val="en-US" w:eastAsia="zh-CN"/>
        </w:rPr>
        <w:t>1068.04</w:t>
      </w:r>
      <w:r>
        <w:rPr>
          <w:rFonts w:hint="eastAsia" w:asciiTheme="minorEastAsia" w:hAnsiTheme="minorEastAsia" w:eastAsiaTheme="minorEastAsia"/>
          <w:sz w:val="32"/>
          <w:szCs w:val="32"/>
        </w:rPr>
        <w:t>万元，主要用于以下方面：一般公共服务（类）支出</w:t>
      </w:r>
      <w:r>
        <w:rPr>
          <w:rFonts w:hint="eastAsia" w:asciiTheme="minorEastAsia" w:hAnsiTheme="minorEastAsia" w:eastAsiaTheme="minorEastAsia"/>
          <w:sz w:val="32"/>
          <w:szCs w:val="32"/>
          <w:lang w:val="en-US" w:eastAsia="zh-CN"/>
        </w:rPr>
        <w:t>696.46</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65.2</w:t>
      </w:r>
      <w:r>
        <w:rPr>
          <w:rFonts w:hint="eastAsia" w:asciiTheme="minorEastAsia" w:hAnsiTheme="minorEastAsia" w:eastAsiaTheme="minorEastAsia"/>
          <w:sz w:val="32"/>
          <w:szCs w:val="32"/>
        </w:rPr>
        <w:t>%；教育（类）支出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社会保障和就业支出</w:t>
      </w:r>
      <w:r>
        <w:rPr>
          <w:rFonts w:hint="eastAsia" w:asciiTheme="minorEastAsia" w:hAnsiTheme="minorEastAsia" w:eastAsiaTheme="minorEastAsia"/>
          <w:sz w:val="32"/>
          <w:szCs w:val="32"/>
          <w:lang w:val="en-US" w:eastAsia="zh-CN"/>
        </w:rPr>
        <w:t>11.63万元，占1%；卫生健康支出3.63万元，占0.33%；城乡社区支出371.58万元，占33.4%；农林水支出30万元，占2.7%。</w:t>
      </w:r>
    </w:p>
    <w:p>
      <w:pPr>
        <w:pStyle w:val="12"/>
        <w:ind w:firstLine="640" w:firstLineChars="200"/>
        <w:rPr>
          <w:rFonts w:asciiTheme="minorEastAsia" w:hAnsiTheme="minorEastAsia" w:eastAsiaTheme="minorEastAsia"/>
          <w:sz w:val="32"/>
          <w:szCs w:val="32"/>
        </w:rPr>
      </w:pPr>
    </w:p>
    <w:p>
      <w:pPr>
        <w:pStyle w:val="12"/>
        <w:ind w:firstLine="800" w:firstLineChars="25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2021年度财政拨款支出年初预算数为</w:t>
      </w:r>
      <w:r>
        <w:rPr>
          <w:rFonts w:hint="eastAsia" w:ascii="仿宋_GB2312" w:hAnsi="宋体" w:eastAsia="仿宋_GB2312" w:cs="宋体"/>
          <w:color w:val="333333"/>
          <w:kern w:val="0"/>
          <w:sz w:val="32"/>
          <w:szCs w:val="32"/>
          <w:lang w:val="en-US" w:eastAsia="zh-CN"/>
        </w:rPr>
        <w:t>1113.4</w:t>
      </w:r>
      <w:r>
        <w:rPr>
          <w:rFonts w:hint="eastAsia" w:asciiTheme="minorEastAsia" w:hAnsiTheme="minorEastAsia" w:eastAsiaTheme="minorEastAsia"/>
          <w:sz w:val="32"/>
          <w:szCs w:val="32"/>
        </w:rPr>
        <w:t>万元，支出决算数为</w:t>
      </w:r>
      <w:r>
        <w:rPr>
          <w:rFonts w:hint="eastAsia" w:ascii="仿宋_GB2312" w:hAnsi="黑体" w:eastAsia="仿宋_GB2312"/>
          <w:sz w:val="32"/>
          <w:szCs w:val="32"/>
          <w:lang w:val="en-US" w:eastAsia="zh-CN"/>
        </w:rPr>
        <w:t>1068.04</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96</w:t>
      </w:r>
      <w:r>
        <w:rPr>
          <w:rFonts w:hint="eastAsia" w:asciiTheme="minorEastAsia" w:hAnsiTheme="minorEastAsia" w:eastAsiaTheme="minorEastAsia"/>
          <w:sz w:val="32"/>
          <w:szCs w:val="32"/>
        </w:rPr>
        <w:t>%，其中：</w:t>
      </w:r>
    </w:p>
    <w:p>
      <w:pPr>
        <w:pStyle w:val="12"/>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1、一般公共服务支出</w:t>
      </w:r>
    </w:p>
    <w:p>
      <w:pPr>
        <w:pStyle w:val="12"/>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696.46</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651.2</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93.5</w:t>
      </w:r>
      <w:r>
        <w:rPr>
          <w:rFonts w:hint="eastAsia" w:asciiTheme="minorEastAsia" w:hAnsiTheme="minorEastAsia" w:eastAsiaTheme="minorEastAsia"/>
          <w:sz w:val="32"/>
          <w:szCs w:val="32"/>
        </w:rPr>
        <w:t>%，决算数小于年初预算数的主要原因是：</w:t>
      </w:r>
      <w:r>
        <w:rPr>
          <w:rFonts w:hint="eastAsia" w:asciiTheme="minorEastAsia" w:hAnsiTheme="minorEastAsia" w:eastAsiaTheme="minorEastAsia"/>
          <w:sz w:val="32"/>
          <w:szCs w:val="32"/>
          <w:lang w:val="en-US" w:eastAsia="zh-CN"/>
        </w:rPr>
        <w:t>财政资金压缩支出。</w:t>
      </w:r>
    </w:p>
    <w:p>
      <w:pPr>
        <w:pStyle w:val="12"/>
        <w:rPr>
          <w:rFonts w:hAnsi="黑体"/>
          <w:b/>
          <w:sz w:val="32"/>
          <w:szCs w:val="32"/>
        </w:rPr>
      </w:pPr>
      <w:r>
        <w:rPr>
          <w:rFonts w:hint="eastAsia" w:hAnsi="黑体"/>
          <w:b/>
          <w:sz w:val="32"/>
          <w:szCs w:val="32"/>
        </w:rPr>
        <w:t>六、一般公共预算财政拨款基本支出决算情况说明</w:t>
      </w:r>
    </w:p>
    <w:p>
      <w:pPr>
        <w:pStyle w:val="12"/>
        <w:ind w:firstLine="640" w:firstLineChars="200"/>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rPr>
        <w:t>2021年度财政拨款基本支出万元，其中：人员经费</w:t>
      </w:r>
      <w:r>
        <w:rPr>
          <w:rFonts w:hint="eastAsia" w:asciiTheme="minorEastAsia" w:hAnsiTheme="minorEastAsia" w:eastAsiaTheme="minorEastAsia"/>
          <w:sz w:val="32"/>
          <w:szCs w:val="32"/>
          <w:lang w:val="en-US" w:eastAsia="zh-CN"/>
        </w:rPr>
        <w:t>304.9</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28.5</w:t>
      </w:r>
      <w:r>
        <w:rPr>
          <w:rFonts w:hint="eastAsia" w:asciiTheme="minorEastAsia" w:hAnsiTheme="minorEastAsia" w:eastAsiaTheme="minorEastAsia"/>
          <w:sz w:val="32"/>
          <w:szCs w:val="32"/>
        </w:rPr>
        <w:t>%,主要包括基本工资、津贴补贴、奖金、伙食补助费</w:t>
      </w:r>
      <w:r>
        <w:rPr>
          <w:rFonts w:hint="eastAsia" w:asciiTheme="minorEastAsia" w:hAnsiTheme="minorEastAsia" w:eastAsiaTheme="minorEastAsia"/>
          <w:sz w:val="32"/>
          <w:szCs w:val="32"/>
          <w:lang w:val="en-US" w:eastAsia="zh-CN"/>
        </w:rPr>
        <w:t>283.3万元</w:t>
      </w:r>
      <w:r>
        <w:rPr>
          <w:rFonts w:hint="eastAsia" w:asciiTheme="minorEastAsia" w:hAnsiTheme="minorEastAsia" w:eastAsiaTheme="minorEastAsia"/>
          <w:sz w:val="32"/>
          <w:szCs w:val="32"/>
        </w:rPr>
        <w:t>；公用经费万元</w:t>
      </w:r>
      <w:r>
        <w:rPr>
          <w:rFonts w:hint="eastAsia" w:asciiTheme="minorEastAsia" w:hAnsiTheme="minorEastAsia" w:eastAsiaTheme="minorEastAsia"/>
          <w:sz w:val="32"/>
          <w:szCs w:val="32"/>
          <w:lang w:val="en-US" w:eastAsia="zh-CN"/>
        </w:rPr>
        <w:t>361.5万元</w:t>
      </w:r>
      <w:r>
        <w:rPr>
          <w:rFonts w:hint="eastAsia" w:asciiTheme="minorEastAsia" w:hAnsiTheme="minorEastAsia" w:eastAsiaTheme="minorEastAsia"/>
          <w:sz w:val="32"/>
          <w:szCs w:val="32"/>
        </w:rPr>
        <w:t>，占基本支出的</w:t>
      </w:r>
      <w:r>
        <w:rPr>
          <w:rFonts w:hint="eastAsia" w:asciiTheme="minorEastAsia" w:hAnsiTheme="minorEastAsia" w:eastAsiaTheme="minorEastAsia"/>
          <w:sz w:val="32"/>
          <w:szCs w:val="32"/>
          <w:lang w:val="en-US" w:eastAsia="zh-CN"/>
        </w:rPr>
        <w:t>33.8</w:t>
      </w:r>
      <w:r>
        <w:rPr>
          <w:rFonts w:hint="eastAsia" w:asciiTheme="minorEastAsia" w:hAnsiTheme="minorEastAsia" w:eastAsiaTheme="minorEastAsia"/>
          <w:sz w:val="32"/>
          <w:szCs w:val="32"/>
        </w:rPr>
        <w:t>%，主要包括办公费、印刷费、咨询费、手续费</w:t>
      </w:r>
      <w:r>
        <w:rPr>
          <w:rFonts w:hint="eastAsia" w:asciiTheme="minorEastAsia" w:hAnsiTheme="minorEastAsia" w:eastAsiaTheme="minorEastAsia"/>
          <w:sz w:val="32"/>
          <w:szCs w:val="32"/>
          <w:lang w:val="en-US" w:eastAsia="zh-CN"/>
        </w:rPr>
        <w:t>174万元</w:t>
      </w:r>
      <w:r>
        <w:rPr>
          <w:rFonts w:hint="eastAsia" w:asciiTheme="minorEastAsia" w:hAnsiTheme="minorEastAsia" w:eastAsiaTheme="minorEastAsia"/>
          <w:sz w:val="32"/>
          <w:szCs w:val="32"/>
        </w:rPr>
        <w:t>。</w:t>
      </w:r>
    </w:p>
    <w:p>
      <w:pPr>
        <w:pStyle w:val="12"/>
        <w:rPr>
          <w:rFonts w:hAnsi="黑体"/>
          <w:b/>
          <w:sz w:val="32"/>
          <w:szCs w:val="32"/>
        </w:rPr>
      </w:pPr>
      <w:r>
        <w:rPr>
          <w:rFonts w:hint="eastAsia" w:hAnsi="黑体"/>
          <w:b/>
          <w:sz w:val="32"/>
          <w:szCs w:val="32"/>
        </w:rPr>
        <w:t>七、一般公共预算财政拨款“三公”经费支出决算情况说明</w:t>
      </w:r>
    </w:p>
    <w:p>
      <w:pPr>
        <w:pStyle w:val="12"/>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2021年度“三公”经费财政拨款支出预算为</w:t>
      </w:r>
      <w:r>
        <w:rPr>
          <w:rFonts w:hint="eastAsia" w:asciiTheme="minorEastAsia" w:hAnsiTheme="minorEastAsia" w:eastAsiaTheme="minorEastAsia"/>
          <w:sz w:val="32"/>
          <w:szCs w:val="32"/>
          <w:lang w:val="en-US" w:eastAsia="zh-CN"/>
        </w:rPr>
        <w:t>8.91</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8.91</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%，其中：</w:t>
      </w:r>
    </w:p>
    <w:p>
      <w:pPr>
        <w:pStyle w:val="12"/>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因公出国（境）费支出预算为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eastAsia="zh-CN"/>
        </w:rPr>
        <w:t>等于</w:t>
      </w:r>
      <w:r>
        <w:rPr>
          <w:rFonts w:hint="eastAsia" w:asciiTheme="minorEastAsia" w:hAnsiTheme="minorEastAsia" w:eastAsiaTheme="minorEastAsia"/>
          <w:sz w:val="32"/>
          <w:szCs w:val="32"/>
        </w:rPr>
        <w:t>预算数的主要原因是</w:t>
      </w:r>
      <w:r>
        <w:rPr>
          <w:rFonts w:hint="eastAsia" w:asciiTheme="minorEastAsia" w:hAnsiTheme="minorEastAsia" w:eastAsiaTheme="minorEastAsia"/>
          <w:sz w:val="32"/>
          <w:szCs w:val="32"/>
          <w:lang w:eastAsia="zh-CN"/>
        </w:rPr>
        <w:t>我单位没有出国（境）需求。</w:t>
      </w:r>
    </w:p>
    <w:p>
      <w:pPr>
        <w:pStyle w:val="12"/>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公务接待费支出预算为</w:t>
      </w:r>
      <w:r>
        <w:rPr>
          <w:rFonts w:hint="eastAsia" w:asciiTheme="minorEastAsia" w:hAnsiTheme="minorEastAsia" w:eastAsiaTheme="minorEastAsia"/>
          <w:sz w:val="32"/>
          <w:szCs w:val="32"/>
          <w:lang w:val="en-US" w:eastAsia="zh-CN"/>
        </w:rPr>
        <w:t>8.91</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8.91</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公务用车购置费支出预算为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万元，决算数</w:t>
      </w:r>
      <w:r>
        <w:rPr>
          <w:rFonts w:hint="eastAsia" w:asciiTheme="minorEastAsia" w:hAnsiTheme="minorEastAsia" w:eastAsiaTheme="minorEastAsia"/>
          <w:sz w:val="32"/>
          <w:szCs w:val="32"/>
          <w:lang w:eastAsia="zh-CN"/>
        </w:rPr>
        <w:t>等于</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的主要原因是</w:t>
      </w:r>
      <w:r>
        <w:rPr>
          <w:rFonts w:hint="eastAsia" w:asciiTheme="minorEastAsia" w:hAnsiTheme="minorEastAsia" w:eastAsiaTheme="minorEastAsia"/>
          <w:sz w:val="32"/>
          <w:szCs w:val="32"/>
          <w:lang w:eastAsia="zh-CN"/>
        </w:rPr>
        <w:t>我单位没有公务用车。</w:t>
      </w:r>
    </w:p>
    <w:p>
      <w:pPr>
        <w:pStyle w:val="12"/>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公务用车运行维护费支出预算为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eastAsia="zh-CN"/>
        </w:rPr>
        <w:t>等于</w:t>
      </w:r>
      <w:r>
        <w:rPr>
          <w:rFonts w:hint="eastAsia" w:asciiTheme="minorEastAsia" w:hAnsiTheme="minorEastAsia" w:eastAsiaTheme="minorEastAsia"/>
          <w:sz w:val="32"/>
          <w:szCs w:val="32"/>
        </w:rPr>
        <w:t>预算数的主要原因是</w:t>
      </w:r>
      <w:r>
        <w:rPr>
          <w:rFonts w:hint="eastAsia" w:asciiTheme="minorEastAsia" w:hAnsiTheme="minorEastAsia" w:eastAsiaTheme="minorEastAsia"/>
          <w:sz w:val="32"/>
          <w:szCs w:val="32"/>
          <w:lang w:eastAsia="zh-CN"/>
        </w:rPr>
        <w:t>我单位没有公务用车。</w:t>
      </w:r>
    </w:p>
    <w:p>
      <w:pPr>
        <w:pStyle w:val="12"/>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2021年度“三公”经费财政拨款支出决算中，公务接待费支出决算</w:t>
      </w:r>
      <w:r>
        <w:rPr>
          <w:rFonts w:hint="eastAsia" w:asciiTheme="minorEastAsia" w:hAnsiTheme="minorEastAsia" w:eastAsiaTheme="minorEastAsia"/>
          <w:sz w:val="32"/>
          <w:szCs w:val="32"/>
          <w:lang w:val="en-US" w:eastAsia="zh-CN"/>
        </w:rPr>
        <w:t>8.91</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%,因公出国（境）费支出决算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%,公务用车购置费及运行维护费支出决算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%。其中：</w:t>
      </w:r>
    </w:p>
    <w:p>
      <w:pPr>
        <w:pStyle w:val="12"/>
        <w:ind w:firstLine="640" w:firstLineChars="200"/>
        <w:rPr>
          <w:rFonts w:hint="eastAsia" w:asciiTheme="minorEastAsia" w:hAnsiTheme="minorEastAsia" w:eastAsiaTheme="minorEastAsia"/>
          <w:b/>
          <w:sz w:val="32"/>
          <w:szCs w:val="32"/>
          <w:lang w:eastAsia="zh-CN"/>
        </w:rPr>
      </w:pPr>
      <w:r>
        <w:rPr>
          <w:rFonts w:hint="eastAsia" w:asciiTheme="minorEastAsia" w:hAnsiTheme="minorEastAsia" w:eastAsiaTheme="minorEastAsia"/>
          <w:sz w:val="32"/>
          <w:szCs w:val="32"/>
        </w:rPr>
        <w:t>1、因公出国（境）费支出决算为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万元，全年安排因公出国（境）团组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个，累计</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人次</w:t>
      </w:r>
      <w:r>
        <w:rPr>
          <w:rFonts w:hint="eastAsia" w:asciiTheme="minorEastAsia" w:hAnsiTheme="minorEastAsia" w:eastAsiaTheme="minorEastAsia"/>
          <w:sz w:val="32"/>
          <w:szCs w:val="32"/>
          <w:lang w:eastAsia="zh-CN"/>
        </w:rPr>
        <w:t>。</w:t>
      </w:r>
    </w:p>
    <w:p>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w:t>
      </w:r>
      <w:r>
        <w:rPr>
          <w:rFonts w:hint="eastAsia" w:ascii="宋体" w:hAnsi="宋体" w:eastAsia="宋体" w:cs="宋体"/>
          <w:sz w:val="32"/>
          <w:szCs w:val="32"/>
        </w:rPr>
        <w:t>公务接待费支出决算为</w:t>
      </w:r>
      <w:r>
        <w:rPr>
          <w:rFonts w:hint="eastAsia" w:ascii="宋体" w:hAnsi="宋体" w:eastAsia="宋体" w:cs="宋体"/>
          <w:sz w:val="32"/>
          <w:szCs w:val="32"/>
          <w:lang w:val="en-US" w:eastAsia="zh-CN"/>
        </w:rPr>
        <w:t>8.91</w:t>
      </w:r>
      <w:r>
        <w:rPr>
          <w:rFonts w:hint="eastAsia" w:ascii="宋体" w:hAnsi="宋体" w:eastAsia="宋体" w:cs="宋体"/>
          <w:sz w:val="32"/>
          <w:szCs w:val="32"/>
        </w:rPr>
        <w:t>万元，国内公务接待</w:t>
      </w:r>
      <w:r>
        <w:rPr>
          <w:rFonts w:hint="eastAsia" w:ascii="宋体" w:hAnsi="宋体" w:eastAsia="宋体" w:cs="宋体"/>
          <w:sz w:val="32"/>
          <w:szCs w:val="32"/>
          <w:lang w:val="en-US" w:eastAsia="zh-CN"/>
        </w:rPr>
        <w:t>174</w:t>
      </w:r>
      <w:r>
        <w:rPr>
          <w:rFonts w:hint="eastAsia" w:ascii="宋体" w:hAnsi="宋体" w:eastAsia="宋体" w:cs="宋体"/>
          <w:sz w:val="32"/>
          <w:szCs w:val="32"/>
        </w:rPr>
        <w:t>批次，接待人数</w:t>
      </w:r>
      <w:r>
        <w:rPr>
          <w:rFonts w:hint="eastAsia" w:ascii="宋体" w:hAnsi="宋体" w:eastAsia="宋体" w:cs="宋体"/>
          <w:sz w:val="32"/>
          <w:szCs w:val="32"/>
          <w:lang w:val="en-US" w:eastAsia="zh-CN"/>
        </w:rPr>
        <w:t>638</w:t>
      </w:r>
      <w:r>
        <w:rPr>
          <w:rFonts w:hint="eastAsia" w:ascii="宋体" w:hAnsi="宋体" w:eastAsia="宋体" w:cs="宋体"/>
          <w:sz w:val="32"/>
          <w:szCs w:val="32"/>
        </w:rPr>
        <w:t>人。主要是</w:t>
      </w:r>
      <w:r>
        <w:rPr>
          <w:rFonts w:hint="eastAsia" w:ascii="宋体" w:hAnsi="宋体" w:eastAsia="宋体" w:cs="宋体"/>
          <w:sz w:val="32"/>
          <w:szCs w:val="32"/>
          <w:lang w:eastAsia="zh-CN"/>
        </w:rPr>
        <w:t>接待市行政审批局的考察和周边县区的学习交流</w:t>
      </w:r>
      <w:r>
        <w:rPr>
          <w:rFonts w:hint="eastAsia" w:ascii="宋体" w:hAnsi="宋体" w:eastAsia="宋体" w:cs="宋体"/>
          <w:sz w:val="32"/>
          <w:szCs w:val="32"/>
        </w:rPr>
        <w:t>发生的接待支出。</w:t>
      </w:r>
    </w:p>
    <w:p>
      <w:pPr>
        <w:ind w:firstLine="800" w:firstLineChars="250"/>
        <w:rPr>
          <w:rFonts w:cs="黑体" w:asciiTheme="minorEastAsia" w:hAnsiTheme="minorEastAsia"/>
          <w:color w:val="000000"/>
          <w:kern w:val="0"/>
          <w:sz w:val="32"/>
          <w:szCs w:val="32"/>
        </w:rPr>
      </w:pPr>
      <w:r>
        <w:rPr>
          <w:rFonts w:hint="eastAsia" w:asciiTheme="minorEastAsia" w:hAnsiTheme="minorEastAsia"/>
          <w:sz w:val="32"/>
          <w:szCs w:val="32"/>
        </w:rPr>
        <w:t>3、公务用车购置费及运行维护费支出决算为</w:t>
      </w:r>
      <w:r>
        <w:rPr>
          <w:rFonts w:hint="eastAsia" w:asciiTheme="minorEastAsia" w:hAnsiTheme="minorEastAsia"/>
          <w:sz w:val="32"/>
          <w:szCs w:val="32"/>
          <w:lang w:val="en-US" w:eastAsia="zh-CN"/>
        </w:rPr>
        <w:t>0</w:t>
      </w:r>
      <w:r>
        <w:rPr>
          <w:rFonts w:hint="eastAsia" w:asciiTheme="minorEastAsia" w:hAnsiTheme="minorEastAsia"/>
          <w:sz w:val="32"/>
          <w:szCs w:val="32"/>
        </w:rPr>
        <w:t>万元，其中：公务用车购置费</w:t>
      </w:r>
      <w:r>
        <w:rPr>
          <w:rFonts w:hint="eastAsia" w:asciiTheme="minorEastAsia" w:hAnsiTheme="minorEastAsia"/>
          <w:sz w:val="32"/>
          <w:szCs w:val="32"/>
          <w:lang w:val="en-US" w:eastAsia="zh-CN"/>
        </w:rPr>
        <w:t>0</w:t>
      </w:r>
      <w:r>
        <w:rPr>
          <w:rFonts w:hint="eastAsia" w:asciiTheme="minorEastAsia" w:hAnsiTheme="minorEastAsia"/>
          <w:sz w:val="32"/>
          <w:szCs w:val="32"/>
        </w:rPr>
        <w:t>万元，更新公务用车</w:t>
      </w:r>
      <w:r>
        <w:rPr>
          <w:rFonts w:hint="eastAsia" w:asciiTheme="minorEastAsia" w:hAnsiTheme="minorEastAsia"/>
          <w:sz w:val="32"/>
          <w:szCs w:val="32"/>
          <w:lang w:val="en-US" w:eastAsia="zh-CN"/>
        </w:rPr>
        <w:t>0</w:t>
      </w:r>
      <w:r>
        <w:rPr>
          <w:rFonts w:hint="eastAsia" w:asciiTheme="minorEastAsia" w:hAnsiTheme="minorEastAsia"/>
          <w:sz w:val="32"/>
          <w:szCs w:val="32"/>
        </w:rPr>
        <w:t>辆</w:t>
      </w:r>
      <w:r>
        <w:rPr>
          <w:rFonts w:hint="eastAsia" w:asciiTheme="minorEastAsia" w:hAnsiTheme="minorEastAsia"/>
          <w:color w:val="000000" w:themeColor="text1"/>
          <w:sz w:val="32"/>
          <w:szCs w:val="32"/>
          <w14:textFill>
            <w14:solidFill>
              <w14:schemeClr w14:val="tx1"/>
            </w14:solidFill>
          </w14:textFill>
        </w:rPr>
        <w:t>。</w:t>
      </w:r>
      <w:r>
        <w:rPr>
          <w:rFonts w:hint="eastAsia" w:asciiTheme="minorEastAsia" w:hAnsiTheme="minorEastAsia"/>
          <w:sz w:val="32"/>
          <w:szCs w:val="32"/>
        </w:rPr>
        <w:t>公务用车运行维护费</w:t>
      </w:r>
      <w:r>
        <w:rPr>
          <w:rFonts w:hint="eastAsia" w:asciiTheme="minorEastAsia" w:hAnsiTheme="minorEastAsia"/>
          <w:sz w:val="32"/>
          <w:szCs w:val="32"/>
          <w:lang w:val="en-US" w:eastAsia="zh-CN"/>
        </w:rPr>
        <w:t>0</w:t>
      </w:r>
      <w:r>
        <w:rPr>
          <w:rFonts w:hint="eastAsia" w:asciiTheme="minorEastAsia" w:hAnsiTheme="minorEastAsia"/>
          <w:sz w:val="32"/>
          <w:szCs w:val="32"/>
        </w:rPr>
        <w:t>万元</w:t>
      </w:r>
      <w:r>
        <w:rPr>
          <w:rFonts w:hint="eastAsia" w:asciiTheme="minorEastAsia" w:hAnsiTheme="minorEastAsia"/>
          <w:sz w:val="32"/>
          <w:szCs w:val="32"/>
          <w:lang w:eastAsia="zh-CN"/>
        </w:rPr>
        <w:t>，</w:t>
      </w:r>
      <w:r>
        <w:rPr>
          <w:rFonts w:hint="eastAsia" w:asciiTheme="minorEastAsia" w:hAnsiTheme="minorEastAsia"/>
          <w:sz w:val="32"/>
          <w:szCs w:val="32"/>
          <w:lang w:val="en-US" w:eastAsia="zh-CN"/>
        </w:rPr>
        <w:t>0</w:t>
      </w:r>
      <w:r>
        <w:rPr>
          <w:rFonts w:hint="eastAsia" w:asciiTheme="minorEastAsia" w:hAnsiTheme="minorEastAsia"/>
          <w:sz w:val="32"/>
          <w:szCs w:val="32"/>
        </w:rPr>
        <w:t>截止2021年12月31日，我单位开支财政拨款的公务用车保有量为</w:t>
      </w:r>
      <w:r>
        <w:rPr>
          <w:rFonts w:hint="eastAsia" w:asciiTheme="minorEastAsia" w:hAnsiTheme="minorEastAsia"/>
          <w:sz w:val="32"/>
          <w:szCs w:val="32"/>
          <w:lang w:val="en-US" w:eastAsia="zh-CN"/>
        </w:rPr>
        <w:t>0</w:t>
      </w:r>
      <w:r>
        <w:rPr>
          <w:rFonts w:hint="eastAsia" w:asciiTheme="minorEastAsia" w:hAnsiTheme="minorEastAsia"/>
          <w:sz w:val="32"/>
          <w:szCs w:val="32"/>
        </w:rPr>
        <w:t>辆。</w:t>
      </w:r>
    </w:p>
    <w:p>
      <w:pPr>
        <w:pStyle w:val="12"/>
        <w:rPr>
          <w:rFonts w:hAnsi="黑体"/>
          <w:b/>
          <w:sz w:val="32"/>
          <w:szCs w:val="32"/>
        </w:rPr>
      </w:pPr>
      <w:r>
        <w:rPr>
          <w:rFonts w:hint="eastAsia" w:hAnsi="黑体"/>
          <w:b/>
          <w:sz w:val="32"/>
          <w:szCs w:val="32"/>
        </w:rPr>
        <w:t>八、政府性基金预算收入支出决算情况</w:t>
      </w:r>
    </w:p>
    <w:p>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 2021年度政府性基金预算财政拨款收入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万元；年初结转和结余</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万元，项目支出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万元；年末结转和结余</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p>
    <w:p>
      <w:pPr>
        <w:pStyle w:val="12"/>
        <w:rPr>
          <w:rFonts w:hAnsi="黑体"/>
          <w:b/>
          <w:sz w:val="32"/>
          <w:szCs w:val="32"/>
        </w:rPr>
      </w:pPr>
      <w:r>
        <w:rPr>
          <w:rFonts w:hint="eastAsia" w:hAnsi="黑体"/>
          <w:b/>
          <w:sz w:val="32"/>
          <w:szCs w:val="32"/>
        </w:rPr>
        <w:t>九、机关运行经费支出说明</w:t>
      </w:r>
    </w:p>
    <w:p>
      <w:pPr>
        <w:pStyle w:val="12"/>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本部门2021年度机关运行经费支出</w:t>
      </w:r>
      <w:r>
        <w:rPr>
          <w:rFonts w:hint="eastAsia" w:asciiTheme="minorEastAsia" w:hAnsiTheme="minorEastAsia" w:eastAsiaTheme="minorEastAsia"/>
          <w:sz w:val="32"/>
          <w:szCs w:val="32"/>
          <w:lang w:val="en-US" w:eastAsia="zh-CN"/>
        </w:rPr>
        <w:t>361.55</w:t>
      </w:r>
      <w:r>
        <w:rPr>
          <w:rFonts w:hint="eastAsia" w:asciiTheme="minorEastAsia" w:hAnsiTheme="minorEastAsia" w:eastAsiaTheme="minorEastAsia"/>
          <w:sz w:val="32"/>
          <w:szCs w:val="32"/>
        </w:rPr>
        <w:t>万元，</w:t>
      </w:r>
      <w:r>
        <w:rPr>
          <w:rFonts w:hint="eastAsia" w:ascii="仿宋_GB2312" w:hAnsi="仿宋" w:eastAsia="仿宋_GB2312" w:cs="仿宋"/>
          <w:bCs/>
          <w:color w:val="000000"/>
          <w:sz w:val="32"/>
          <w:szCs w:val="32"/>
        </w:rPr>
        <w:t>与上年数据</w:t>
      </w:r>
      <w:r>
        <w:rPr>
          <w:rFonts w:hint="eastAsia" w:ascii="仿宋_GB2312" w:hAnsi="仿宋" w:eastAsia="仿宋_GB2312" w:cs="仿宋"/>
          <w:bCs/>
          <w:color w:val="000000"/>
          <w:sz w:val="32"/>
          <w:szCs w:val="32"/>
          <w:lang w:val="en-US" w:eastAsia="zh-CN"/>
        </w:rPr>
        <w:t>109.92</w:t>
      </w:r>
      <w:r>
        <w:rPr>
          <w:rFonts w:hint="eastAsia" w:ascii="仿宋_GB2312" w:hAnsi="仿宋" w:eastAsia="仿宋_GB2312" w:cs="仿宋"/>
          <w:bCs/>
          <w:color w:val="000000"/>
          <w:sz w:val="32"/>
          <w:szCs w:val="32"/>
        </w:rPr>
        <w:t>万元相比，</w:t>
      </w:r>
      <w:r>
        <w:rPr>
          <w:rFonts w:hint="eastAsia" w:ascii="宋体" w:hAnsi="宋体" w:eastAsia="仿宋_GB2312" w:cs="宋体"/>
          <w:bCs/>
          <w:color w:val="000000"/>
          <w:sz w:val="32"/>
          <w:szCs w:val="32"/>
          <w:lang w:val="en-US" w:eastAsia="zh-CN"/>
        </w:rPr>
        <w:t>增加</w:t>
      </w:r>
      <w:r>
        <w:rPr>
          <w:rFonts w:hint="eastAsia" w:ascii="宋体" w:hAnsi="宋体" w:cs="宋体"/>
          <w:bCs/>
          <w:color w:val="000000"/>
          <w:sz w:val="32"/>
          <w:szCs w:val="32"/>
        </w:rPr>
        <w:t>了</w:t>
      </w:r>
      <w:r>
        <w:rPr>
          <w:rFonts w:hint="eastAsia" w:ascii="宋体" w:hAnsi="宋体" w:cs="宋体"/>
          <w:bCs/>
          <w:color w:val="000000"/>
          <w:sz w:val="32"/>
          <w:szCs w:val="32"/>
          <w:lang w:val="en-US" w:eastAsia="zh-CN"/>
        </w:rPr>
        <w:t>251.63</w:t>
      </w:r>
      <w:r>
        <w:rPr>
          <w:rFonts w:hint="eastAsia" w:ascii="宋体" w:hAnsi="宋体" w:cs="宋体"/>
          <w:bCs/>
          <w:color w:val="000000"/>
          <w:sz w:val="32"/>
          <w:szCs w:val="32"/>
        </w:rPr>
        <w:t>万元</w:t>
      </w:r>
      <w:r>
        <w:rPr>
          <w:rFonts w:hint="eastAsia" w:ascii="仿宋_GB2312" w:hAnsi="仿宋" w:eastAsia="仿宋_GB2312" w:cs="仿宋"/>
          <w:bCs/>
          <w:color w:val="000000"/>
          <w:sz w:val="32"/>
          <w:szCs w:val="32"/>
        </w:rPr>
        <w:t>，主要是</w:t>
      </w:r>
      <w:r>
        <w:rPr>
          <w:rFonts w:hint="eastAsia" w:ascii="仿宋_GB2312" w:hAnsi="仿宋" w:eastAsia="仿宋_GB2312" w:cs="仿宋"/>
          <w:bCs/>
          <w:color w:val="000000"/>
          <w:sz w:val="32"/>
          <w:szCs w:val="32"/>
          <w:lang w:val="en-US" w:eastAsia="zh-CN"/>
        </w:rPr>
        <w:t>去年决算把水电费、物业管理费单列到项目支出里面了。</w:t>
      </w:r>
    </w:p>
    <w:p>
      <w:pPr>
        <w:pStyle w:val="12"/>
        <w:rPr>
          <w:rFonts w:hAnsi="黑体"/>
          <w:b/>
          <w:sz w:val="32"/>
          <w:szCs w:val="32"/>
        </w:rPr>
      </w:pPr>
      <w:r>
        <w:rPr>
          <w:rFonts w:hint="eastAsia" w:hAnsi="黑体"/>
          <w:b/>
          <w:sz w:val="32"/>
          <w:szCs w:val="32"/>
        </w:rPr>
        <w:t>十、一般性支出情况说明</w:t>
      </w:r>
    </w:p>
    <w:p>
      <w:pPr>
        <w:pStyle w:val="12"/>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2021年本部门开支会议费</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万元，用于召开</w:t>
      </w:r>
      <w:r>
        <w:rPr>
          <w:rFonts w:hint="eastAsia" w:asciiTheme="minorEastAsia" w:hAnsiTheme="minorEastAsia" w:eastAsiaTheme="minorEastAsia"/>
          <w:sz w:val="32"/>
          <w:szCs w:val="32"/>
          <w:lang w:eastAsia="zh-CN"/>
        </w:rPr>
        <w:t>单位的工作安排和相关培训</w:t>
      </w:r>
      <w:r>
        <w:rPr>
          <w:rFonts w:hint="eastAsia" w:asciiTheme="minorEastAsia" w:hAnsiTheme="minorEastAsia" w:eastAsiaTheme="minorEastAsia"/>
          <w:sz w:val="32"/>
          <w:szCs w:val="32"/>
        </w:rPr>
        <w:t>会议，人数</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人，内容为</w:t>
      </w:r>
      <w:r>
        <w:rPr>
          <w:rFonts w:hint="eastAsia" w:asciiTheme="minorEastAsia" w:hAnsiTheme="minorEastAsia" w:eastAsiaTheme="minorEastAsia"/>
          <w:sz w:val="32"/>
          <w:szCs w:val="32"/>
          <w:lang w:eastAsia="zh-CN"/>
        </w:rPr>
        <w:t>工作的安排和相关业务培训</w:t>
      </w:r>
      <w:r>
        <w:rPr>
          <w:rFonts w:hint="eastAsia" w:asciiTheme="minorEastAsia" w:hAnsiTheme="minorEastAsia" w:eastAsiaTheme="minorEastAsia"/>
          <w:sz w:val="32"/>
          <w:szCs w:val="32"/>
        </w:rPr>
        <w:t>；开支培训费</w:t>
      </w:r>
      <w:r>
        <w:rPr>
          <w:rFonts w:hint="eastAsia" w:asciiTheme="minorEastAsia" w:hAnsiTheme="minorEastAsia" w:eastAsiaTheme="minorEastAsia"/>
          <w:sz w:val="32"/>
          <w:szCs w:val="32"/>
          <w:lang w:val="en-US" w:eastAsia="zh-CN"/>
        </w:rPr>
        <w:t>0万元</w:t>
      </w:r>
      <w:r>
        <w:rPr>
          <w:rFonts w:hint="eastAsia" w:asciiTheme="minorEastAsia" w:hAnsiTheme="minorEastAsia" w:eastAsiaTheme="minorEastAsia"/>
          <w:sz w:val="32"/>
          <w:szCs w:val="32"/>
        </w:rPr>
        <w:t>万元，用于开展</w:t>
      </w:r>
      <w:r>
        <w:rPr>
          <w:rFonts w:hint="eastAsia" w:asciiTheme="minorEastAsia" w:hAnsiTheme="minorEastAsia" w:eastAsiaTheme="minorEastAsia"/>
          <w:sz w:val="32"/>
          <w:szCs w:val="32"/>
          <w:lang w:eastAsia="zh-CN"/>
        </w:rPr>
        <w:t>优化营商环境、湘易办等业务</w:t>
      </w:r>
      <w:r>
        <w:rPr>
          <w:rFonts w:hint="eastAsia" w:asciiTheme="minorEastAsia" w:hAnsiTheme="minorEastAsia" w:eastAsiaTheme="minorEastAsia"/>
          <w:sz w:val="32"/>
          <w:szCs w:val="32"/>
        </w:rPr>
        <w:t>培训，人数</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w:t>
      </w:r>
      <w:r>
        <w:rPr>
          <w:rFonts w:hint="eastAsia" w:asciiTheme="minorEastAsia" w:hAnsiTheme="minorEastAsia" w:eastAsiaTheme="minorEastAsia"/>
          <w:sz w:val="32"/>
          <w:szCs w:val="32"/>
          <w:lang w:eastAsia="zh-CN"/>
        </w:rPr>
        <w:t>。</w:t>
      </w:r>
    </w:p>
    <w:p>
      <w:pPr>
        <w:pStyle w:val="12"/>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举办</w:t>
      </w:r>
      <w:r>
        <w:rPr>
          <w:rFonts w:hint="eastAsia" w:asciiTheme="minorEastAsia" w:hAnsiTheme="minorEastAsia" w:eastAsiaTheme="minorEastAsia"/>
          <w:sz w:val="32"/>
          <w:szCs w:val="32"/>
          <w:lang w:eastAsia="zh-CN"/>
        </w:rPr>
        <w:t>五一、中秋、国庆</w:t>
      </w:r>
      <w:r>
        <w:rPr>
          <w:rFonts w:hint="eastAsia" w:asciiTheme="minorEastAsia" w:hAnsiTheme="minorEastAsia" w:eastAsiaTheme="minorEastAsia"/>
          <w:sz w:val="32"/>
          <w:szCs w:val="32"/>
        </w:rPr>
        <w:t>等节庆、晚会、论坛、赛事活动，开支</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。没有举行类似活动，没有开支。</w:t>
      </w:r>
    </w:p>
    <w:p>
      <w:pPr>
        <w:pStyle w:val="12"/>
        <w:rPr>
          <w:rFonts w:hAnsi="黑体"/>
          <w:b/>
          <w:sz w:val="32"/>
          <w:szCs w:val="32"/>
        </w:rPr>
      </w:pPr>
      <w:r>
        <w:rPr>
          <w:rFonts w:hint="eastAsia" w:hAnsi="黑体"/>
          <w:b/>
          <w:sz w:val="32"/>
          <w:szCs w:val="32"/>
        </w:rPr>
        <w:t>十一、政府采购支出说明</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本部门2021年度政府采购支出总额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万元，其中：政府采购货物支出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 xml:space="preserve"> 万元、政府采购工程支出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 xml:space="preserve"> 万元、政府采购服务支出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万元。授予中小企业合同金额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万元，占政府采购支出总额的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%，其中：授予小微企业合同金额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万元，占授予中小企业合同金额的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%；货物采购授予中小企业合同金额占货物支出金额的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%，工程采购授予中小企业合同金额占工程支出金额的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%，服务采购授予中小企业合同金额占服务支出金额的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pPr>
        <w:pStyle w:val="12"/>
        <w:rPr>
          <w:rFonts w:hAnsi="黑体"/>
          <w:b/>
          <w:sz w:val="32"/>
          <w:szCs w:val="32"/>
        </w:rPr>
      </w:pPr>
      <w:r>
        <w:rPr>
          <w:rFonts w:hint="eastAsia" w:hAnsi="黑体"/>
          <w:b/>
          <w:sz w:val="32"/>
          <w:szCs w:val="32"/>
        </w:rPr>
        <w:t>十二、国有资产占用情况说明</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截至2021年12月31日，部门（单位）共有车辆</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辆，其中，主要领导干部用车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辆，机要通信用车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辆、应急保障用车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辆、执法执勤用车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辆、特种专业技术用车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辆、其他用车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辆，其他用车主要是</w:t>
      </w:r>
      <w:r>
        <w:rPr>
          <w:rFonts w:hint="eastAsia" w:asciiTheme="minorEastAsia" w:hAnsiTheme="minorEastAsia" w:eastAsiaTheme="minorEastAsia"/>
          <w:sz w:val="32"/>
          <w:szCs w:val="32"/>
          <w:lang w:eastAsia="zh-CN"/>
        </w:rPr>
        <w:t>网租车</w:t>
      </w:r>
      <w:r>
        <w:rPr>
          <w:rFonts w:hint="eastAsia" w:asciiTheme="minorEastAsia" w:hAnsiTheme="minorEastAsia" w:eastAsiaTheme="minorEastAsia"/>
          <w:sz w:val="32"/>
          <w:szCs w:val="32"/>
        </w:rPr>
        <w:t>；单位价值50万元以上通用设备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台（套）；单位价值100万元以上专用设备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w:t>
      </w:r>
    </w:p>
    <w:p>
      <w:pPr>
        <w:pStyle w:val="12"/>
        <w:rPr>
          <w:rFonts w:hAnsi="黑体"/>
          <w:b/>
          <w:sz w:val="32"/>
          <w:szCs w:val="32"/>
        </w:rPr>
      </w:pPr>
      <w:r>
        <w:rPr>
          <w:rFonts w:hint="eastAsia" w:hAnsi="黑体"/>
          <w:b/>
          <w:sz w:val="32"/>
          <w:szCs w:val="32"/>
        </w:rPr>
        <w:t>十三、2021年度预算绩效情况说明</w:t>
      </w:r>
    </w:p>
    <w:p>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b/>
          <w:color w:val="000000"/>
          <w:kern w:val="0"/>
          <w:sz w:val="32"/>
          <w:szCs w:val="32"/>
        </w:rPr>
        <w:t>（1）绩效管理评价工作开展情况</w:t>
      </w:r>
      <w:r>
        <w:rPr>
          <w:rFonts w:hint="eastAsia" w:cs="黑体" w:asciiTheme="minorEastAsia" w:hAnsiTheme="minorEastAsia"/>
          <w:color w:val="000000"/>
          <w:kern w:val="0"/>
          <w:sz w:val="32"/>
          <w:szCs w:val="32"/>
        </w:rPr>
        <w:t>。</w:t>
      </w:r>
    </w:p>
    <w:p>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根据预算绩效管理要求，我部门组织对</w:t>
      </w:r>
      <w:r>
        <w:rPr>
          <w:rFonts w:cs="黑体" w:asciiTheme="minorEastAsia" w:hAnsiTheme="minorEastAsia"/>
          <w:color w:val="000000"/>
          <w:kern w:val="0"/>
          <w:sz w:val="32"/>
          <w:szCs w:val="32"/>
        </w:rPr>
        <w:t xml:space="preserve">2021 </w:t>
      </w:r>
      <w:r>
        <w:rPr>
          <w:rFonts w:hint="eastAsia" w:cs="黑体" w:asciiTheme="minorEastAsia" w:hAnsiTheme="minorEastAsia"/>
          <w:color w:val="000000"/>
          <w:kern w:val="0"/>
          <w:sz w:val="32"/>
          <w:szCs w:val="32"/>
        </w:rPr>
        <w:t>年度一般公共预算项目支出全面开展绩效自评，组织对</w:t>
      </w:r>
      <w:r>
        <w:rPr>
          <w:rFonts w:cs="黑体" w:asciiTheme="minorEastAsia" w:hAnsiTheme="minorEastAsia"/>
          <w:color w:val="000000"/>
          <w:kern w:val="0"/>
          <w:sz w:val="32"/>
          <w:szCs w:val="32"/>
        </w:rPr>
        <w:t>2021</w:t>
      </w:r>
      <w:r>
        <w:rPr>
          <w:rFonts w:hint="eastAsia" w:cs="黑体" w:asciiTheme="minorEastAsia" w:hAnsiTheme="minorEastAsia"/>
          <w:color w:val="000000"/>
          <w:kern w:val="0"/>
          <w:sz w:val="32"/>
          <w:szCs w:val="32"/>
        </w:rPr>
        <w:t>年度政府性基金预算项目支出开展绩效自评，共涉及资金</w:t>
      </w:r>
      <w:r>
        <w:rPr>
          <w:rFonts w:hint="eastAsia" w:cs="黑体" w:asciiTheme="minorEastAsia" w:hAnsiTheme="minorEastAsia"/>
          <w:color w:val="000000"/>
          <w:kern w:val="0"/>
          <w:sz w:val="32"/>
          <w:szCs w:val="32"/>
          <w:lang w:val="en-US" w:eastAsia="zh-CN"/>
        </w:rPr>
        <w:t>0</w:t>
      </w:r>
      <w:r>
        <w:rPr>
          <w:rFonts w:cs="黑体" w:asciiTheme="minorEastAsia" w:hAnsiTheme="minorEastAsia"/>
          <w:color w:val="000000"/>
          <w:kern w:val="0"/>
          <w:sz w:val="32"/>
          <w:szCs w:val="32"/>
        </w:rPr>
        <w:t xml:space="preserve"> </w:t>
      </w:r>
      <w:r>
        <w:rPr>
          <w:rFonts w:hint="eastAsia" w:cs="黑体" w:asciiTheme="minorEastAsia" w:hAnsiTheme="minorEastAsia"/>
          <w:color w:val="000000"/>
          <w:kern w:val="0"/>
          <w:sz w:val="32"/>
          <w:szCs w:val="32"/>
        </w:rPr>
        <w:t>万元，占政府性基金预算项目支出总额的</w:t>
      </w:r>
      <w:r>
        <w:rPr>
          <w:rFonts w:hint="eastAsia" w:cs="黑体" w:asciiTheme="minorEastAsia" w:hAnsiTheme="minorEastAsia"/>
          <w:color w:val="000000"/>
          <w:kern w:val="0"/>
          <w:sz w:val="32"/>
          <w:szCs w:val="32"/>
          <w:lang w:val="en-US" w:eastAsia="zh-CN"/>
        </w:rPr>
        <w:t>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。组织对</w:t>
      </w:r>
      <w:r>
        <w:rPr>
          <w:rFonts w:cs="黑体" w:asciiTheme="minorEastAsia" w:hAnsiTheme="minorEastAsia"/>
          <w:color w:val="000000"/>
          <w:kern w:val="0"/>
          <w:sz w:val="32"/>
          <w:szCs w:val="32"/>
        </w:rPr>
        <w:t xml:space="preserve">2021 </w:t>
      </w:r>
      <w:r>
        <w:rPr>
          <w:rFonts w:hint="eastAsia" w:cs="黑体" w:asciiTheme="minorEastAsia" w:hAnsiTheme="minorEastAsia"/>
          <w:color w:val="000000"/>
          <w:kern w:val="0"/>
          <w:sz w:val="32"/>
          <w:szCs w:val="32"/>
        </w:rPr>
        <w:t>年度国有资本经营预算项目支出开展绩效自评，共涉及资金</w:t>
      </w:r>
      <w:r>
        <w:rPr>
          <w:rFonts w:hint="eastAsia" w:cs="黑体" w:asciiTheme="minorEastAsia" w:hAnsiTheme="minorEastAsia"/>
          <w:color w:val="000000"/>
          <w:kern w:val="0"/>
          <w:sz w:val="32"/>
          <w:szCs w:val="32"/>
          <w:lang w:val="en-US" w:eastAsia="zh-CN"/>
        </w:rPr>
        <w:t>0</w:t>
      </w:r>
      <w:r>
        <w:rPr>
          <w:rFonts w:hint="eastAsia" w:cs="黑体" w:asciiTheme="minorEastAsia" w:hAnsiTheme="minorEastAsia"/>
          <w:color w:val="000000"/>
          <w:kern w:val="0"/>
          <w:sz w:val="32"/>
          <w:szCs w:val="32"/>
        </w:rPr>
        <w:t>万元，占国有资本经营预算项目支出总额的</w:t>
      </w:r>
      <w:r>
        <w:rPr>
          <w:rFonts w:hint="eastAsia" w:cs="黑体" w:asciiTheme="minorEastAsia" w:hAnsiTheme="minorEastAsia"/>
          <w:color w:val="000000"/>
          <w:kern w:val="0"/>
          <w:sz w:val="32"/>
          <w:szCs w:val="32"/>
          <w:lang w:val="en-US" w:eastAsia="zh-CN"/>
        </w:rPr>
        <w:t>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w:t>
      </w:r>
    </w:p>
    <w:p>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组织对</w:t>
      </w:r>
      <w:r>
        <w:rPr>
          <w:rFonts w:hint="eastAsia" w:cs="黑体" w:asciiTheme="minorEastAsia" w:hAnsiTheme="minorEastAsia"/>
          <w:color w:val="000000"/>
          <w:kern w:val="0"/>
          <w:sz w:val="32"/>
          <w:szCs w:val="32"/>
          <w:lang w:eastAsia="zh-CN"/>
        </w:rPr>
        <w:t>一般公共服务、社会保障和就业、卫生健康、城乡社区、农林水支出</w:t>
      </w:r>
      <w:r>
        <w:rPr>
          <w:rFonts w:hint="eastAsia" w:cs="黑体" w:asciiTheme="minorEastAsia" w:hAnsiTheme="minorEastAsia"/>
          <w:color w:val="000000"/>
          <w:kern w:val="0"/>
          <w:sz w:val="32"/>
          <w:szCs w:val="32"/>
        </w:rPr>
        <w:t>等</w:t>
      </w:r>
      <w:r>
        <w:rPr>
          <w:rFonts w:hint="eastAsia" w:cs="黑体" w:asciiTheme="minorEastAsia" w:hAnsiTheme="minorEastAsia"/>
          <w:color w:val="000000"/>
          <w:kern w:val="0"/>
          <w:sz w:val="32"/>
          <w:szCs w:val="32"/>
          <w:lang w:val="en-US" w:eastAsia="zh-CN"/>
        </w:rPr>
        <w:t>5</w:t>
      </w:r>
      <w:r>
        <w:rPr>
          <w:rFonts w:hint="eastAsia" w:cs="黑体" w:asciiTheme="minorEastAsia" w:hAnsiTheme="minorEastAsia"/>
          <w:color w:val="000000"/>
          <w:kern w:val="0"/>
          <w:sz w:val="32"/>
          <w:szCs w:val="32"/>
        </w:rPr>
        <w:t>个项目开展了部门评价，涉及一般公共预算支出</w:t>
      </w:r>
      <w:r>
        <w:rPr>
          <w:rFonts w:hint="eastAsia" w:cs="黑体" w:asciiTheme="minorEastAsia" w:hAnsiTheme="minorEastAsia"/>
          <w:color w:val="000000"/>
          <w:kern w:val="0"/>
          <w:sz w:val="32"/>
          <w:szCs w:val="32"/>
          <w:lang w:val="en-US" w:eastAsia="zh-CN"/>
        </w:rPr>
        <w:t>1068.4</w:t>
      </w:r>
      <w:r>
        <w:rPr>
          <w:rFonts w:hint="eastAsia" w:cs="黑体" w:asciiTheme="minorEastAsia" w:hAnsiTheme="minorEastAsia"/>
          <w:color w:val="000000"/>
          <w:kern w:val="0"/>
          <w:sz w:val="32"/>
          <w:szCs w:val="32"/>
        </w:rPr>
        <w:t>万元，政府性基金预算支出</w:t>
      </w:r>
      <w:r>
        <w:rPr>
          <w:rFonts w:hint="eastAsia" w:cs="黑体" w:asciiTheme="minorEastAsia" w:hAnsiTheme="minorEastAsia"/>
          <w:color w:val="000000"/>
          <w:kern w:val="0"/>
          <w:sz w:val="32"/>
          <w:szCs w:val="32"/>
          <w:lang w:val="en-US" w:eastAsia="zh-CN"/>
        </w:rPr>
        <w:t>0</w:t>
      </w:r>
      <w:r>
        <w:rPr>
          <w:rFonts w:cs="黑体" w:asciiTheme="minorEastAsia" w:hAnsiTheme="minorEastAsia"/>
          <w:color w:val="000000"/>
          <w:kern w:val="0"/>
          <w:sz w:val="32"/>
          <w:szCs w:val="32"/>
        </w:rPr>
        <w:t xml:space="preserve"> </w:t>
      </w:r>
      <w:r>
        <w:rPr>
          <w:rFonts w:hint="eastAsia" w:cs="黑体" w:asciiTheme="minorEastAsia" w:hAnsiTheme="minorEastAsia"/>
          <w:color w:val="000000"/>
          <w:kern w:val="0"/>
          <w:sz w:val="32"/>
          <w:szCs w:val="32"/>
        </w:rPr>
        <w:t>万元，国有资本经营预算支出</w:t>
      </w:r>
      <w:r>
        <w:rPr>
          <w:rFonts w:hint="eastAsia" w:cs="黑体" w:asciiTheme="minorEastAsia" w:hAnsiTheme="minorEastAsia"/>
          <w:color w:val="000000"/>
          <w:kern w:val="0"/>
          <w:sz w:val="32"/>
          <w:szCs w:val="32"/>
          <w:lang w:val="en-US" w:eastAsia="zh-CN"/>
        </w:rPr>
        <w:t>0</w:t>
      </w:r>
      <w:r>
        <w:rPr>
          <w:rFonts w:hint="eastAsia" w:cs="黑体" w:asciiTheme="minorEastAsia" w:hAnsiTheme="minorEastAsia"/>
          <w:color w:val="000000"/>
          <w:kern w:val="0"/>
          <w:sz w:val="32"/>
          <w:szCs w:val="32"/>
        </w:rPr>
        <w:t>万元。</w:t>
      </w: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p>
    <w:p>
      <w:pPr>
        <w:pStyle w:val="12"/>
        <w:rPr>
          <w:sz w:val="72"/>
          <w:szCs w:val="72"/>
        </w:rPr>
      </w:pPr>
    </w:p>
    <w:p>
      <w:pPr>
        <w:pStyle w:val="12"/>
        <w:rPr>
          <w:sz w:val="72"/>
          <w:szCs w:val="72"/>
        </w:rPr>
      </w:pPr>
    </w:p>
    <w:p>
      <w:pPr>
        <w:pStyle w:val="12"/>
        <w:jc w:val="both"/>
        <w:rPr>
          <w:rFonts w:hint="eastAsia"/>
          <w:sz w:val="72"/>
          <w:szCs w:val="72"/>
        </w:rPr>
      </w:pPr>
    </w:p>
    <w:p>
      <w:pPr>
        <w:pStyle w:val="12"/>
        <w:ind w:firstLine="3600" w:firstLineChars="500"/>
        <w:jc w:val="both"/>
        <w:rPr>
          <w:rFonts w:hint="eastAsia"/>
          <w:sz w:val="72"/>
          <w:szCs w:val="72"/>
        </w:rPr>
      </w:pPr>
      <w:r>
        <w:rPr>
          <w:rFonts w:hint="eastAsia"/>
          <w:sz w:val="72"/>
          <w:szCs w:val="72"/>
        </w:rPr>
        <w:t>第四部分</w:t>
      </w:r>
    </w:p>
    <w:p>
      <w:pPr>
        <w:pStyle w:val="12"/>
        <w:jc w:val="center"/>
        <w:rPr>
          <w:rFonts w:hint="eastAsia"/>
          <w:sz w:val="72"/>
          <w:szCs w:val="72"/>
        </w:rPr>
      </w:pPr>
    </w:p>
    <w:p>
      <w:pPr>
        <w:pStyle w:val="12"/>
        <w:ind w:firstLine="3500" w:firstLineChars="500"/>
        <w:jc w:val="both"/>
        <w:rPr>
          <w:rFonts w:ascii="黑体" w:eastAsia="黑体" w:cs="黑体"/>
          <w:color w:val="000000"/>
          <w:kern w:val="0"/>
          <w:sz w:val="70"/>
          <w:szCs w:val="70"/>
        </w:rPr>
      </w:pPr>
      <w:r>
        <w:rPr>
          <w:rFonts w:hint="eastAsia" w:ascii="黑体" w:eastAsia="黑体" w:cs="黑体"/>
          <w:color w:val="000000"/>
          <w:kern w:val="0"/>
          <w:sz w:val="70"/>
          <w:szCs w:val="70"/>
        </w:rPr>
        <w:t>名词解释</w:t>
      </w:r>
    </w:p>
    <w:p>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pPr>
        <w:ind w:firstLine="640" w:firstLineChars="200"/>
        <w:jc w:val="left"/>
        <w:rPr>
          <w:rFonts w:cs="黑体" w:asciiTheme="minorEastAsia" w:hAnsiTheme="minorEastAsia"/>
          <w:color w:val="000000"/>
          <w:kern w:val="0"/>
          <w:sz w:val="32"/>
          <w:szCs w:val="32"/>
        </w:rPr>
      </w:pPr>
    </w:p>
    <w:p>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一、</w:t>
      </w:r>
      <w:r>
        <w:rPr>
          <w:rFonts w:hint="eastAsia" w:ascii="宋体" w:hAnsi="宋体" w:cs="宋体"/>
          <w:color w:val="333333"/>
          <w:kern w:val="0"/>
          <w:sz w:val="32"/>
          <w:szCs w:val="32"/>
          <w:lang w:val="en-US" w:eastAsia="zh-CN"/>
        </w:rPr>
        <w:t>财政资金压缩支出：指单位本年度从同级财政部门取得的各类财政拨款。</w:t>
      </w:r>
    </w:p>
    <w:p>
      <w:pPr>
        <w:ind w:firstLine="640" w:firstLineChars="200"/>
        <w:jc w:val="left"/>
        <w:rPr>
          <w:rFonts w:hint="eastAsia" w:cs="黑体" w:asciiTheme="minorEastAsia" w:hAnsiTheme="minorEastAsia" w:eastAsiaTheme="minorEastAsia"/>
          <w:color w:val="000000"/>
          <w:kern w:val="0"/>
          <w:sz w:val="32"/>
          <w:szCs w:val="32"/>
          <w:lang w:val="en-US" w:eastAsia="zh-CN"/>
        </w:rPr>
      </w:pPr>
      <w:r>
        <w:rPr>
          <w:rFonts w:hint="eastAsia" w:cs="黑体" w:asciiTheme="minorEastAsia" w:hAnsiTheme="minorEastAsia"/>
          <w:color w:val="000000"/>
          <w:kern w:val="0"/>
          <w:sz w:val="32"/>
          <w:szCs w:val="32"/>
        </w:rPr>
        <w:t>二、上级补助收入</w:t>
      </w:r>
      <w:r>
        <w:rPr>
          <w:rFonts w:hint="eastAsia" w:cs="黑体" w:asciiTheme="minorEastAsia" w:hAnsiTheme="minorEastAsia"/>
          <w:color w:val="000000"/>
          <w:kern w:val="0"/>
          <w:sz w:val="32"/>
          <w:szCs w:val="32"/>
          <w:lang w:eastAsia="zh-CN"/>
        </w:rPr>
        <w:t>：指事业单位从主管部门和上级单位取得的非财政补助收入。</w:t>
      </w:r>
    </w:p>
    <w:p>
      <w:pPr>
        <w:widowControl/>
        <w:jc w:val="left"/>
        <w:rPr>
          <w:rFonts w:hint="eastAsia" w:cs="黑体" w:asciiTheme="minorEastAsia" w:hAnsiTheme="minorEastAsia"/>
          <w:color w:val="000000"/>
          <w:kern w:val="0"/>
          <w:sz w:val="32"/>
          <w:szCs w:val="32"/>
          <w:lang w:eastAsia="zh-CN"/>
        </w:rPr>
      </w:pPr>
      <w:r>
        <w:rPr>
          <w:rFonts w:hint="eastAsia" w:cs="黑体" w:asciiTheme="minorEastAsia" w:hAnsiTheme="minorEastAsia"/>
          <w:color w:val="000000"/>
          <w:kern w:val="0"/>
          <w:sz w:val="32"/>
          <w:szCs w:val="32"/>
        </w:rPr>
        <w:t>三、机关运行经费</w:t>
      </w:r>
      <w:r>
        <w:rPr>
          <w:rFonts w:hint="eastAsia" w:cs="黑体" w:asciiTheme="minorEastAsia" w:hAnsiTheme="minorEastAsia"/>
          <w:color w:val="000000"/>
          <w:kern w:val="0"/>
          <w:sz w:val="32"/>
          <w:szCs w:val="32"/>
          <w:lang w:eastAsia="zh-CN"/>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widowControl/>
        <w:jc w:val="left"/>
        <w:rPr>
          <w:rFonts w:hint="eastAsia" w:cs="黑体" w:asciiTheme="minorEastAsia" w:hAnsiTheme="minorEastAsia"/>
          <w:color w:val="000000"/>
          <w:kern w:val="0"/>
          <w:sz w:val="32"/>
          <w:szCs w:val="32"/>
          <w:lang w:eastAsia="zh-CN"/>
        </w:rPr>
      </w:pPr>
      <w:r>
        <w:rPr>
          <w:rFonts w:hint="eastAsia" w:cs="黑体" w:asciiTheme="minorEastAsia" w:hAnsiTheme="minorEastAsia"/>
          <w:color w:val="000000"/>
          <w:kern w:val="0"/>
          <w:sz w:val="32"/>
          <w:szCs w:val="32"/>
          <w:lang w:eastAsia="zh-CN"/>
        </w:rPr>
        <w:t>四、“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widowControl/>
        <w:jc w:val="left"/>
        <w:rPr>
          <w:rFonts w:hint="eastAsia" w:cs="黑体" w:asciiTheme="minorEastAsia" w:hAnsiTheme="minorEastAsia"/>
          <w:color w:val="000000"/>
          <w:kern w:val="0"/>
          <w:sz w:val="32"/>
          <w:szCs w:val="32"/>
          <w:lang w:eastAsia="zh-CN"/>
        </w:rPr>
      </w:pPr>
      <w:r>
        <w:rPr>
          <w:rFonts w:hint="eastAsia" w:cs="黑体" w:asciiTheme="minorEastAsia" w:hAnsiTheme="minorEastAsia"/>
          <w:color w:val="000000"/>
          <w:kern w:val="0"/>
          <w:sz w:val="32"/>
          <w:szCs w:val="32"/>
          <w:lang w:eastAsia="zh-CN"/>
        </w:rPr>
        <w:t>五、基本支出：指为保障机构正常运转、完成日常工作任务而发生的支出，包括人员经费和公用经费。</w:t>
      </w: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p>
    <w:p>
      <w:pPr>
        <w:pStyle w:val="12"/>
        <w:jc w:val="both"/>
        <w:rPr>
          <w:sz w:val="72"/>
          <w:szCs w:val="72"/>
        </w:rPr>
      </w:pPr>
    </w:p>
    <w:p>
      <w:pPr>
        <w:pStyle w:val="12"/>
        <w:jc w:val="center"/>
        <w:rPr>
          <w:sz w:val="72"/>
          <w:szCs w:val="72"/>
        </w:rPr>
      </w:pPr>
    </w:p>
    <w:p>
      <w:pPr>
        <w:pStyle w:val="12"/>
        <w:jc w:val="center"/>
        <w:rPr>
          <w:sz w:val="72"/>
          <w:szCs w:val="72"/>
        </w:rPr>
      </w:pPr>
      <w:r>
        <w:rPr>
          <w:rFonts w:hint="eastAsia"/>
          <w:sz w:val="72"/>
          <w:szCs w:val="72"/>
        </w:rPr>
        <w:t>第五部分</w:t>
      </w:r>
    </w:p>
    <w:p>
      <w:pPr>
        <w:jc w:val="center"/>
        <w:rPr>
          <w:rFonts w:ascii="黑体" w:eastAsia="黑体" w:cs="黑体"/>
          <w:color w:val="000000"/>
          <w:kern w:val="0"/>
          <w:sz w:val="70"/>
          <w:szCs w:val="70"/>
        </w:rPr>
      </w:pPr>
    </w:p>
    <w:p>
      <w:pPr>
        <w:jc w:val="center"/>
        <w:rPr>
          <w:rFonts w:ascii="黑体" w:eastAsia="黑体" w:cs="黑体"/>
          <w:color w:val="000000"/>
          <w:kern w:val="0"/>
          <w:sz w:val="70"/>
          <w:szCs w:val="70"/>
        </w:rPr>
      </w:pPr>
      <w:r>
        <w:rPr>
          <w:rFonts w:hint="eastAsia" w:ascii="黑体" w:eastAsia="黑体" w:cs="黑体"/>
          <w:color w:val="000000"/>
          <w:kern w:val="0"/>
          <w:sz w:val="70"/>
          <w:szCs w:val="70"/>
        </w:rPr>
        <w:t>附件</w:t>
      </w:r>
    </w:p>
    <w:p>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pPr>
        <w:jc w:val="center"/>
        <w:rPr>
          <w:rFonts w:ascii="黑体" w:eastAsia="黑体" w:cs="黑体"/>
          <w:color w:val="000000"/>
          <w:kern w:val="0"/>
          <w:sz w:val="70"/>
          <w:szCs w:val="70"/>
        </w:rPr>
      </w:pPr>
    </w:p>
    <w:p>
      <w:pPr>
        <w:ind w:firstLine="640" w:firstLineChars="200"/>
        <w:jc w:val="center"/>
        <w:rPr>
          <w:rFonts w:cs="黑体" w:asciiTheme="minorEastAsia" w:hAnsiTheme="minorEastAsia"/>
          <w:b/>
          <w:color w:val="000000"/>
          <w:kern w:val="0"/>
          <w:sz w:val="32"/>
          <w:szCs w:val="32"/>
        </w:rPr>
      </w:pPr>
      <w:r>
        <w:rPr>
          <w:rFonts w:hint="eastAsia" w:cs="黑体" w:asciiTheme="minorEastAsia" w:hAnsiTheme="minorEastAsia"/>
          <w:b/>
          <w:color w:val="000000"/>
          <w:kern w:val="0"/>
          <w:sz w:val="32"/>
          <w:szCs w:val="32"/>
        </w:rPr>
        <w:t>2021年度部门整体支出绩效评价报告</w:t>
      </w:r>
    </w:p>
    <w:p>
      <w:pPr>
        <w:pStyle w:val="6"/>
        <w:keepNext w:val="0"/>
        <w:keepLines w:val="0"/>
        <w:pageBreakBefore w:val="0"/>
        <w:widowControl/>
        <w:suppressLineNumbers w:val="0"/>
        <w:kinsoku/>
        <w:wordWrap/>
        <w:overflowPunct/>
        <w:topLinePunct w:val="0"/>
        <w:autoSpaceDE/>
        <w:autoSpaceDN/>
        <w:bidi w:val="0"/>
        <w:spacing w:beforeAutospacing="0" w:after="0" w:afterAutospacing="0" w:line="520" w:lineRule="exact"/>
        <w:ind w:left="0" w:firstLine="600" w:firstLineChars="200"/>
        <w:jc w:val="left"/>
        <w:textAlignment w:val="auto"/>
        <w:rPr>
          <w:rFonts w:hint="eastAsia" w:ascii="仿宋" w:hAnsi="仿宋" w:eastAsia="仿宋" w:cs="仿宋"/>
          <w:b/>
          <w:bCs/>
          <w:sz w:val="30"/>
          <w:szCs w:val="30"/>
        </w:rPr>
      </w:pPr>
      <w:r>
        <w:rPr>
          <w:rFonts w:hint="eastAsia" w:ascii="仿宋" w:hAnsi="仿宋" w:eastAsia="仿宋" w:cs="仿宋"/>
          <w:b/>
          <w:bCs/>
          <w:sz w:val="30"/>
          <w:szCs w:val="30"/>
        </w:rPr>
        <w:t>一、部门概况</w:t>
      </w:r>
    </w:p>
    <w:p>
      <w:pPr>
        <w:keepNext w:val="0"/>
        <w:keepLines w:val="0"/>
        <w:pageBreakBefore w:val="0"/>
        <w:kinsoku/>
        <w:wordWrap/>
        <w:overflowPunct/>
        <w:topLinePunct w:val="0"/>
        <w:autoSpaceDE/>
        <w:autoSpaceDN/>
        <w:bidi w:val="0"/>
        <w:spacing w:beforeAutospacing="0" w:line="520" w:lineRule="exact"/>
        <w:ind w:firstLine="600" w:firstLineChars="200"/>
        <w:jc w:val="left"/>
        <w:textAlignment w:val="auto"/>
        <w:rPr>
          <w:rFonts w:hint="eastAsia" w:ascii="仿宋" w:hAnsi="仿宋" w:eastAsia="仿宋" w:cs="仿宋"/>
          <w:sz w:val="30"/>
          <w:szCs w:val="30"/>
        </w:rPr>
      </w:pPr>
      <w:r>
        <w:rPr>
          <w:rFonts w:hint="eastAsia" w:ascii="仿宋" w:hAnsi="仿宋" w:eastAsia="仿宋" w:cs="仿宋"/>
          <w:b/>
          <w:sz w:val="30"/>
          <w:szCs w:val="30"/>
          <w:lang w:val="en-US" w:eastAsia="zh-CN"/>
        </w:rPr>
        <w:t xml:space="preserve"> </w:t>
      </w:r>
      <w:r>
        <w:rPr>
          <w:rFonts w:hint="eastAsia" w:ascii="仿宋" w:hAnsi="仿宋" w:eastAsia="仿宋" w:cs="仿宋"/>
          <w:sz w:val="30"/>
          <w:szCs w:val="30"/>
        </w:rPr>
        <w:t>（一）部门基本情况。</w:t>
      </w:r>
    </w:p>
    <w:p>
      <w:pPr>
        <w:keepNext w:val="0"/>
        <w:keepLines w:val="0"/>
        <w:pageBreakBefore w:val="0"/>
        <w:kinsoku/>
        <w:wordWrap/>
        <w:overflowPunct/>
        <w:topLinePunct w:val="0"/>
        <w:autoSpaceDE/>
        <w:autoSpaceDN/>
        <w:bidi w:val="0"/>
        <w:spacing w:beforeAutospacing="0" w:line="520" w:lineRule="exact"/>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道县行政审批局为县政府正科级直属全额拨款单位，现内设综合办公室、政工财务股、政务联动处置股、政务公开和服务管理股（加挂县政务公开政务服务领导小组办公室牌子）、行政审批制度改革股、大数据建设管理股（电子政务室）、社会信用体系建设管理股、优化营商环境工作办公室（政策法规股）8个管理机构。202</w:t>
      </w:r>
      <w:r>
        <w:rPr>
          <w:rFonts w:hint="eastAsia" w:ascii="仿宋" w:hAnsi="仿宋" w:eastAsia="仿宋" w:cs="仿宋"/>
          <w:sz w:val="30"/>
          <w:szCs w:val="30"/>
          <w:lang w:val="en-US" w:eastAsia="zh-CN"/>
        </w:rPr>
        <w:t>1</w:t>
      </w:r>
      <w:r>
        <w:rPr>
          <w:rFonts w:hint="eastAsia" w:ascii="仿宋" w:hAnsi="仿宋" w:eastAsia="仿宋" w:cs="仿宋"/>
          <w:sz w:val="30"/>
          <w:szCs w:val="30"/>
        </w:rPr>
        <w:t>年编制人数</w:t>
      </w:r>
      <w:r>
        <w:rPr>
          <w:rFonts w:hint="eastAsia" w:ascii="仿宋" w:hAnsi="仿宋" w:eastAsia="仿宋" w:cs="仿宋"/>
          <w:sz w:val="30"/>
          <w:szCs w:val="30"/>
          <w:lang w:val="en-US" w:eastAsia="zh-CN"/>
        </w:rPr>
        <w:t>38</w:t>
      </w:r>
      <w:r>
        <w:rPr>
          <w:rFonts w:hint="eastAsia" w:ascii="仿宋" w:hAnsi="仿宋" w:eastAsia="仿宋" w:cs="仿宋"/>
          <w:sz w:val="30"/>
          <w:szCs w:val="30"/>
        </w:rPr>
        <w:t>名，实际在编人员3</w:t>
      </w:r>
      <w:r>
        <w:rPr>
          <w:rFonts w:hint="eastAsia" w:ascii="仿宋" w:hAnsi="仿宋" w:eastAsia="仿宋" w:cs="仿宋"/>
          <w:sz w:val="30"/>
          <w:szCs w:val="30"/>
          <w:lang w:val="en-US" w:eastAsia="zh-CN"/>
        </w:rPr>
        <w:t>6</w:t>
      </w:r>
      <w:r>
        <w:rPr>
          <w:rFonts w:hint="eastAsia" w:ascii="仿宋" w:hAnsi="仿宋" w:eastAsia="仿宋" w:cs="仿宋"/>
          <w:sz w:val="30"/>
          <w:szCs w:val="30"/>
        </w:rPr>
        <w:t>名，其中行政编7人，参照公务员法管理人员5人，事业编制21人，工勤</w:t>
      </w:r>
      <w:r>
        <w:rPr>
          <w:rFonts w:hint="eastAsia" w:ascii="仿宋" w:hAnsi="仿宋" w:eastAsia="仿宋" w:cs="仿宋"/>
          <w:sz w:val="30"/>
          <w:szCs w:val="30"/>
          <w:lang w:val="en-US" w:eastAsia="zh-CN"/>
        </w:rPr>
        <w:t>3</w:t>
      </w:r>
      <w:r>
        <w:rPr>
          <w:rFonts w:hint="eastAsia" w:ascii="仿宋" w:hAnsi="仿宋" w:eastAsia="仿宋" w:cs="仿宋"/>
          <w:sz w:val="30"/>
          <w:szCs w:val="30"/>
        </w:rPr>
        <w:t>人。</w:t>
      </w:r>
    </w:p>
    <w:p>
      <w:pPr>
        <w:keepNext w:val="0"/>
        <w:keepLines w:val="0"/>
        <w:pageBreakBefore w:val="0"/>
        <w:kinsoku/>
        <w:wordWrap/>
        <w:overflowPunct/>
        <w:topLinePunct w:val="0"/>
        <w:autoSpaceDE/>
        <w:autoSpaceDN/>
        <w:bidi w:val="0"/>
        <w:spacing w:beforeAutospacing="0" w:line="520" w:lineRule="exact"/>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(二）</w:t>
      </w:r>
      <w:r>
        <w:rPr>
          <w:rFonts w:hint="eastAsia" w:ascii="仿宋" w:hAnsi="仿宋" w:eastAsia="仿宋" w:cs="仿宋"/>
          <w:sz w:val="30"/>
          <w:szCs w:val="30"/>
        </w:rPr>
        <w:t>主要职能</w:t>
      </w:r>
      <w:r>
        <w:rPr>
          <w:rFonts w:hint="eastAsia" w:ascii="仿宋" w:hAnsi="仿宋" w:eastAsia="仿宋" w:cs="仿宋"/>
          <w:sz w:val="30"/>
          <w:szCs w:val="30"/>
          <w:lang w:eastAsia="zh-CN"/>
        </w:rPr>
        <w:t>：</w:t>
      </w:r>
    </w:p>
    <w:p>
      <w:pPr>
        <w:keepNext w:val="0"/>
        <w:keepLines w:val="0"/>
        <w:pageBreakBefore w:val="0"/>
        <w:kinsoku/>
        <w:wordWrap/>
        <w:overflowPunct/>
        <w:topLinePunct w:val="0"/>
        <w:autoSpaceDE/>
        <w:autoSpaceDN/>
        <w:bidi w:val="0"/>
        <w:spacing w:beforeAutospacing="0" w:line="520" w:lineRule="exact"/>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1.</w:t>
      </w:r>
      <w:r>
        <w:rPr>
          <w:rFonts w:hint="eastAsia" w:ascii="仿宋" w:hAnsi="仿宋" w:eastAsia="仿宋" w:cs="仿宋"/>
          <w:sz w:val="30"/>
          <w:szCs w:val="30"/>
          <w:lang w:eastAsia="zh-CN"/>
        </w:rPr>
        <w:t>推进、指导、协调、监督全县政务公开(政府信息公开、办事公开)和政务服务体系建设。承担县政务公开政务服务领导 小组办公室的日常工作；拟订全县政务公开、政务服务工作发展 规划和年度计划，建立和完善相应工作机制。</w:t>
      </w:r>
    </w:p>
    <w:p>
      <w:pPr>
        <w:keepNext w:val="0"/>
        <w:keepLines w:val="0"/>
        <w:pageBreakBefore w:val="0"/>
        <w:kinsoku/>
        <w:wordWrap/>
        <w:overflowPunct/>
        <w:topLinePunct w:val="0"/>
        <w:autoSpaceDE/>
        <w:autoSpaceDN/>
        <w:bidi w:val="0"/>
        <w:spacing w:beforeAutospacing="0" w:line="520" w:lineRule="exact"/>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2.</w:t>
      </w:r>
      <w:r>
        <w:rPr>
          <w:rFonts w:hint="eastAsia" w:ascii="仿宋" w:hAnsi="仿宋" w:eastAsia="仿宋" w:cs="仿宋"/>
          <w:sz w:val="30"/>
          <w:szCs w:val="30"/>
          <w:lang w:eastAsia="zh-CN"/>
        </w:rPr>
        <w:t>指导、协调、推进全县行政审批制度改革工作。承担县行政审批制度改革领导小组办公室的日常工作；拟订行政审批服务有关规章制度及管理办法并组织监督实施；牵头负责县“放管服”改革工作。</w:t>
      </w:r>
    </w:p>
    <w:p>
      <w:pPr>
        <w:keepNext w:val="0"/>
        <w:keepLines w:val="0"/>
        <w:pageBreakBefore w:val="0"/>
        <w:kinsoku/>
        <w:wordWrap/>
        <w:overflowPunct/>
        <w:topLinePunct w:val="0"/>
        <w:autoSpaceDE/>
        <w:autoSpaceDN/>
        <w:bidi w:val="0"/>
        <w:spacing w:beforeAutospacing="0" w:line="520" w:lineRule="exact"/>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3.</w:t>
      </w:r>
      <w:r>
        <w:rPr>
          <w:rFonts w:hint="eastAsia" w:ascii="仿宋" w:hAnsi="仿宋" w:eastAsia="仿宋" w:cs="仿宋"/>
          <w:sz w:val="30"/>
          <w:szCs w:val="30"/>
          <w:lang w:eastAsia="zh-CN"/>
        </w:rPr>
        <w:t>统筹协调、规划指导、监督评估全县电子政务等工作；统筹推进、协调监督全县“互联网+政务服务”工作。统筹规划、监督考核全县电子政务网络和政府系统网站。</w:t>
      </w:r>
    </w:p>
    <w:p>
      <w:pPr>
        <w:keepNext w:val="0"/>
        <w:keepLines w:val="0"/>
        <w:pageBreakBefore w:val="0"/>
        <w:kinsoku/>
        <w:wordWrap/>
        <w:overflowPunct/>
        <w:topLinePunct w:val="0"/>
        <w:autoSpaceDE/>
        <w:autoSpaceDN/>
        <w:bidi w:val="0"/>
        <w:spacing w:beforeAutospacing="0" w:line="520" w:lineRule="exact"/>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4.</w:t>
      </w:r>
      <w:r>
        <w:rPr>
          <w:rFonts w:hint="eastAsia" w:ascii="仿宋" w:hAnsi="仿宋" w:eastAsia="仿宋" w:cs="仿宋"/>
          <w:sz w:val="30"/>
          <w:szCs w:val="30"/>
          <w:lang w:eastAsia="zh-CN"/>
        </w:rPr>
        <w:t>统筹协调、规划指导、监督评估全县政务信息化、大数据建设管理和应用等工作；组织协调推进政务数据资源共享和开放工作，统筹政务数据资源的采集、分类、管理、分析和应用工作。</w:t>
      </w:r>
    </w:p>
    <w:p>
      <w:pPr>
        <w:keepNext w:val="0"/>
        <w:keepLines w:val="0"/>
        <w:pageBreakBefore w:val="0"/>
        <w:kinsoku/>
        <w:wordWrap/>
        <w:overflowPunct/>
        <w:topLinePunct w:val="0"/>
        <w:autoSpaceDE/>
        <w:autoSpaceDN/>
        <w:bidi w:val="0"/>
        <w:spacing w:beforeAutospacing="0" w:line="520" w:lineRule="exact"/>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5.</w:t>
      </w:r>
      <w:r>
        <w:rPr>
          <w:rFonts w:hint="eastAsia" w:ascii="仿宋" w:hAnsi="仿宋" w:eastAsia="仿宋" w:cs="仿宋"/>
          <w:sz w:val="30"/>
          <w:szCs w:val="30"/>
          <w:lang w:eastAsia="zh-CN"/>
        </w:rPr>
        <w:t>承担县优化营商环境联席会议办公室的日常工作。负责全县优化营商环境工作的组织实施和监督、检查、考核；维护营商政务、法制、信用等环境；协调推进全县行政效能工作。</w:t>
      </w:r>
    </w:p>
    <w:p>
      <w:pPr>
        <w:keepNext w:val="0"/>
        <w:keepLines w:val="0"/>
        <w:pageBreakBefore w:val="0"/>
        <w:kinsoku/>
        <w:wordWrap/>
        <w:overflowPunct/>
        <w:topLinePunct w:val="0"/>
        <w:autoSpaceDE/>
        <w:autoSpaceDN/>
        <w:bidi w:val="0"/>
        <w:spacing w:beforeAutospacing="0" w:line="520" w:lineRule="exact"/>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6.</w:t>
      </w:r>
      <w:r>
        <w:rPr>
          <w:rFonts w:hint="eastAsia" w:ascii="仿宋" w:hAnsi="仿宋" w:eastAsia="仿宋" w:cs="仿宋"/>
          <w:sz w:val="30"/>
          <w:szCs w:val="30"/>
          <w:lang w:eastAsia="zh-CN"/>
        </w:rPr>
        <w:t>承担县社会诚信体系建设领导小组办公室的日常工作。组织协调、监督推进全县有关中央、省社会信用体系建设的法律 法规、决策部署的贯彻落实。拟订并组织实施全县社会信用体系 建设的总体规划和政策措施；统筹推进统一的信用信息平台建设，促进信用信息资源的整合与运用，协调社会信用体系建设的重大问题；拟订守信联合激励和失信联合惩戒制度，牵头组织对重点领域和严重失信行为实施联合惩戒。</w:t>
      </w:r>
    </w:p>
    <w:p>
      <w:pPr>
        <w:keepNext w:val="0"/>
        <w:keepLines w:val="0"/>
        <w:pageBreakBefore w:val="0"/>
        <w:kinsoku/>
        <w:wordWrap/>
        <w:overflowPunct/>
        <w:topLinePunct w:val="0"/>
        <w:autoSpaceDE/>
        <w:autoSpaceDN/>
        <w:bidi w:val="0"/>
        <w:spacing w:beforeAutospacing="0" w:line="520" w:lineRule="exact"/>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7.</w:t>
      </w:r>
      <w:r>
        <w:rPr>
          <w:rFonts w:hint="eastAsia" w:ascii="仿宋" w:hAnsi="仿宋" w:eastAsia="仿宋" w:cs="仿宋"/>
          <w:sz w:val="30"/>
          <w:szCs w:val="30"/>
          <w:lang w:eastAsia="zh-CN"/>
        </w:rPr>
        <w:t>承担县政务联动处置领导小组办公室的日常工作。负责 拟订全县政务联动处置和城乡网格化建设管理工作规则；统筹规划、指挥协调、管理督导全县12345公共服务热线、政务联动处 置和城乡网格化建设管理。</w:t>
      </w:r>
    </w:p>
    <w:p>
      <w:pPr>
        <w:keepNext w:val="0"/>
        <w:keepLines w:val="0"/>
        <w:pageBreakBefore w:val="0"/>
        <w:kinsoku/>
        <w:wordWrap/>
        <w:overflowPunct/>
        <w:topLinePunct w:val="0"/>
        <w:autoSpaceDE/>
        <w:autoSpaceDN/>
        <w:bidi w:val="0"/>
        <w:spacing w:beforeAutospacing="0" w:line="520" w:lineRule="exact"/>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8.</w:t>
      </w:r>
      <w:r>
        <w:rPr>
          <w:rFonts w:hint="eastAsia" w:ascii="仿宋" w:hAnsi="仿宋" w:eastAsia="仿宋" w:cs="仿宋"/>
          <w:sz w:val="30"/>
          <w:szCs w:val="30"/>
          <w:lang w:eastAsia="zh-CN"/>
        </w:rPr>
        <w:t>承办县委、县政府交办的其他事项，承办县人大建议、县政协提案等事宜。</w:t>
      </w:r>
    </w:p>
    <w:p>
      <w:pPr>
        <w:keepNext w:val="0"/>
        <w:keepLines w:val="0"/>
        <w:pageBreakBefore w:val="0"/>
        <w:kinsoku/>
        <w:wordWrap/>
        <w:overflowPunct/>
        <w:topLinePunct w:val="0"/>
        <w:autoSpaceDE/>
        <w:autoSpaceDN/>
        <w:bidi w:val="0"/>
        <w:adjustRightInd w:val="0"/>
        <w:snapToGrid w:val="0"/>
        <w:spacing w:beforeAutospacing="0" w:line="520" w:lineRule="exact"/>
        <w:ind w:firstLine="600" w:firstLineChars="200"/>
        <w:jc w:val="left"/>
        <w:textAlignment w:val="auto"/>
        <w:rPr>
          <w:rFonts w:hint="eastAsia" w:ascii="仿宋" w:hAnsi="仿宋" w:eastAsia="仿宋" w:cs="仿宋"/>
          <w:b/>
          <w:bCs/>
          <w:sz w:val="30"/>
          <w:szCs w:val="30"/>
        </w:rPr>
      </w:pPr>
      <w:r>
        <w:rPr>
          <w:rFonts w:hint="eastAsia" w:ascii="仿宋" w:hAnsi="仿宋" w:eastAsia="仿宋" w:cs="仿宋"/>
          <w:b/>
          <w:bCs/>
          <w:sz w:val="30"/>
          <w:szCs w:val="30"/>
        </w:rPr>
        <w:t>二、部门整体支出使用情况</w:t>
      </w:r>
    </w:p>
    <w:p>
      <w:pPr>
        <w:pStyle w:val="6"/>
        <w:keepNext w:val="0"/>
        <w:keepLines w:val="0"/>
        <w:pageBreakBefore w:val="0"/>
        <w:widowControl/>
        <w:suppressLineNumbers w:val="0"/>
        <w:kinsoku/>
        <w:wordWrap/>
        <w:overflowPunct/>
        <w:topLinePunct w:val="0"/>
        <w:autoSpaceDE/>
        <w:autoSpaceDN/>
        <w:bidi w:val="0"/>
        <w:spacing w:beforeAutospacing="0" w:after="0" w:afterAutospacing="0" w:line="520" w:lineRule="exact"/>
        <w:ind w:left="0"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2021</w:t>
      </w:r>
      <w:r>
        <w:rPr>
          <w:rFonts w:hint="eastAsia" w:ascii="仿宋" w:hAnsi="仿宋" w:eastAsia="仿宋" w:cs="仿宋"/>
          <w:sz w:val="30"/>
          <w:szCs w:val="30"/>
        </w:rPr>
        <w:t>年本单位收支预算整体情况说明。</w:t>
      </w:r>
      <w:r>
        <w:rPr>
          <w:rFonts w:hint="eastAsia" w:ascii="仿宋" w:hAnsi="仿宋" w:eastAsia="仿宋" w:cs="仿宋"/>
          <w:sz w:val="30"/>
          <w:szCs w:val="30"/>
          <w:lang w:val="en-US" w:eastAsia="zh-CN"/>
        </w:rPr>
        <w:t>2021</w:t>
      </w:r>
      <w:r>
        <w:rPr>
          <w:rFonts w:hint="eastAsia" w:ascii="仿宋" w:hAnsi="仿宋" w:eastAsia="仿宋" w:cs="仿宋"/>
          <w:sz w:val="30"/>
          <w:szCs w:val="30"/>
        </w:rPr>
        <w:t>年本单位收入预算</w:t>
      </w:r>
      <w:r>
        <w:rPr>
          <w:rFonts w:hint="eastAsia" w:ascii="仿宋" w:hAnsi="仿宋" w:eastAsia="仿宋" w:cs="仿宋"/>
          <w:sz w:val="30"/>
          <w:szCs w:val="30"/>
          <w:lang w:val="en-US" w:eastAsia="zh-CN"/>
        </w:rPr>
        <w:t>1068.04</w:t>
      </w:r>
      <w:r>
        <w:rPr>
          <w:rFonts w:hint="eastAsia" w:ascii="仿宋" w:hAnsi="仿宋" w:eastAsia="仿宋" w:cs="仿宋"/>
          <w:sz w:val="30"/>
          <w:szCs w:val="30"/>
        </w:rPr>
        <w:t>万元，支出预算</w:t>
      </w:r>
      <w:r>
        <w:rPr>
          <w:rFonts w:hint="eastAsia" w:ascii="仿宋" w:hAnsi="仿宋" w:eastAsia="仿宋" w:cs="仿宋"/>
          <w:sz w:val="30"/>
          <w:szCs w:val="30"/>
          <w:lang w:val="en-US" w:eastAsia="zh-CN"/>
        </w:rPr>
        <w:t>1068.04</w:t>
      </w:r>
      <w:r>
        <w:rPr>
          <w:rFonts w:hint="eastAsia" w:ascii="仿宋" w:hAnsi="仿宋" w:eastAsia="仿宋" w:cs="仿宋"/>
          <w:sz w:val="30"/>
          <w:szCs w:val="30"/>
        </w:rPr>
        <w:t>万元。</w:t>
      </w:r>
    </w:p>
    <w:p>
      <w:pPr>
        <w:keepNext w:val="0"/>
        <w:keepLines w:val="0"/>
        <w:pageBreakBefore w:val="0"/>
        <w:kinsoku/>
        <w:wordWrap/>
        <w:overflowPunct/>
        <w:topLinePunct w:val="0"/>
        <w:autoSpaceDE/>
        <w:autoSpaceDN/>
        <w:bidi w:val="0"/>
        <w:adjustRightInd w:val="0"/>
        <w:snapToGrid w:val="0"/>
        <w:spacing w:beforeAutospacing="0" w:line="520" w:lineRule="exact"/>
        <w:ind w:firstLine="600" w:firstLineChars="200"/>
        <w:jc w:val="left"/>
        <w:textAlignment w:val="auto"/>
        <w:rPr>
          <w:rFonts w:hint="eastAsia" w:ascii="仿宋" w:hAnsi="仿宋" w:eastAsia="仿宋" w:cs="仿宋"/>
          <w:b/>
          <w:sz w:val="30"/>
          <w:szCs w:val="30"/>
        </w:rPr>
      </w:pPr>
      <w:r>
        <w:rPr>
          <w:rFonts w:hint="eastAsia" w:ascii="仿宋" w:hAnsi="仿宋" w:eastAsia="仿宋" w:cs="仿宋"/>
          <w:b/>
          <w:sz w:val="30"/>
          <w:szCs w:val="30"/>
        </w:rPr>
        <w:t>（一）基本支出</w:t>
      </w:r>
    </w:p>
    <w:p>
      <w:pPr>
        <w:keepNext w:val="0"/>
        <w:keepLines w:val="0"/>
        <w:pageBreakBefore w:val="0"/>
        <w:kinsoku/>
        <w:wordWrap/>
        <w:overflowPunct/>
        <w:topLinePunct w:val="0"/>
        <w:autoSpaceDE/>
        <w:autoSpaceDN/>
        <w:bidi w:val="0"/>
        <w:spacing w:beforeAutospacing="0" w:line="52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eastAsia="zh-CN"/>
        </w:rPr>
        <w:t>2021</w:t>
      </w:r>
      <w:r>
        <w:rPr>
          <w:rFonts w:hint="eastAsia" w:ascii="仿宋" w:hAnsi="仿宋" w:eastAsia="仿宋" w:cs="仿宋"/>
          <w:sz w:val="32"/>
          <w:szCs w:val="32"/>
        </w:rPr>
        <w:t>年一般公共预算拨款支出</w:t>
      </w:r>
      <w:r>
        <w:rPr>
          <w:rFonts w:hint="eastAsia" w:ascii="仿宋" w:hAnsi="仿宋" w:eastAsia="仿宋" w:cs="仿宋"/>
          <w:sz w:val="32"/>
          <w:szCs w:val="32"/>
          <w:lang w:val="en-US" w:eastAsia="zh-CN"/>
        </w:rPr>
        <w:t>1068.04</w:t>
      </w:r>
      <w:r>
        <w:rPr>
          <w:rFonts w:hint="eastAsia" w:ascii="仿宋" w:hAnsi="仿宋" w:eastAsia="仿宋" w:cs="仿宋"/>
          <w:sz w:val="32"/>
          <w:szCs w:val="32"/>
        </w:rPr>
        <w:t>万元，具体安排情况如下：</w:t>
      </w:r>
    </w:p>
    <w:p>
      <w:pPr>
        <w:keepNext w:val="0"/>
        <w:keepLines w:val="0"/>
        <w:pageBreakBefore w:val="0"/>
        <w:numPr>
          <w:ilvl w:val="0"/>
          <w:numId w:val="2"/>
        </w:numPr>
        <w:kinsoku/>
        <w:wordWrap/>
        <w:overflowPunct/>
        <w:topLinePunct w:val="0"/>
        <w:autoSpaceDE/>
        <w:autoSpaceDN/>
        <w:bidi w:val="0"/>
        <w:spacing w:beforeAutospacing="0" w:line="52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基本支出：</w:t>
      </w:r>
      <w:r>
        <w:rPr>
          <w:rFonts w:hint="eastAsia" w:ascii="仿宋" w:hAnsi="仿宋" w:eastAsia="仿宋" w:cs="仿宋"/>
          <w:sz w:val="32"/>
          <w:szCs w:val="32"/>
          <w:lang w:val="en-US" w:eastAsia="zh-CN"/>
        </w:rPr>
        <w:t>666.46</w:t>
      </w:r>
      <w:r>
        <w:rPr>
          <w:rFonts w:hint="eastAsia" w:ascii="仿宋" w:hAnsi="仿宋" w:eastAsia="仿宋" w:cs="仿宋"/>
          <w:sz w:val="32"/>
          <w:szCs w:val="32"/>
        </w:rPr>
        <w:t>万元。</w:t>
      </w:r>
    </w:p>
    <w:p>
      <w:pPr>
        <w:keepNext w:val="0"/>
        <w:keepLines w:val="0"/>
        <w:pageBreakBefore w:val="0"/>
        <w:kinsoku/>
        <w:wordWrap/>
        <w:overflowPunct/>
        <w:topLinePunct w:val="0"/>
        <w:autoSpaceDE/>
        <w:autoSpaceDN/>
        <w:bidi w:val="0"/>
        <w:spacing w:beforeAutospacing="0" w:line="52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2、项目支出：</w:t>
      </w:r>
      <w:r>
        <w:rPr>
          <w:rFonts w:hint="eastAsia" w:ascii="仿宋" w:hAnsi="仿宋" w:eastAsia="仿宋" w:cs="仿宋"/>
          <w:sz w:val="32"/>
          <w:szCs w:val="32"/>
          <w:lang w:val="en-US" w:eastAsia="zh-CN"/>
        </w:rPr>
        <w:t>401.58</w:t>
      </w:r>
      <w:r>
        <w:rPr>
          <w:rFonts w:hint="eastAsia" w:ascii="仿宋" w:hAnsi="仿宋" w:eastAsia="仿宋" w:cs="仿宋"/>
          <w:sz w:val="32"/>
          <w:szCs w:val="32"/>
        </w:rPr>
        <w:t>万元。</w:t>
      </w:r>
    </w:p>
    <w:p>
      <w:pPr>
        <w:keepNext w:val="0"/>
        <w:keepLines w:val="0"/>
        <w:pageBreakBefore w:val="0"/>
        <w:kinsoku/>
        <w:wordWrap/>
        <w:overflowPunct/>
        <w:topLinePunct w:val="0"/>
        <w:autoSpaceDE/>
        <w:autoSpaceDN/>
        <w:bidi w:val="0"/>
        <w:spacing w:beforeAutospacing="0" w:line="52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3、机关运行经费情况：办公费</w:t>
      </w:r>
      <w:r>
        <w:rPr>
          <w:rFonts w:hint="eastAsia" w:ascii="仿宋" w:hAnsi="仿宋" w:eastAsia="仿宋" w:cs="仿宋"/>
          <w:sz w:val="32"/>
          <w:szCs w:val="32"/>
          <w:lang w:val="en-US" w:eastAsia="zh-CN"/>
        </w:rPr>
        <w:t>22.1</w:t>
      </w:r>
      <w:r>
        <w:rPr>
          <w:rFonts w:hint="eastAsia" w:ascii="仿宋" w:hAnsi="仿宋" w:eastAsia="仿宋" w:cs="仿宋"/>
          <w:sz w:val="32"/>
          <w:szCs w:val="32"/>
        </w:rPr>
        <w:t>万元，印刷费</w:t>
      </w:r>
      <w:r>
        <w:rPr>
          <w:rFonts w:hint="eastAsia" w:ascii="仿宋" w:hAnsi="仿宋" w:eastAsia="仿宋" w:cs="仿宋"/>
          <w:sz w:val="32"/>
          <w:szCs w:val="32"/>
          <w:lang w:val="en-US" w:eastAsia="zh-CN"/>
        </w:rPr>
        <w:t>36.1</w:t>
      </w:r>
      <w:r>
        <w:rPr>
          <w:rFonts w:hint="eastAsia" w:ascii="仿宋" w:hAnsi="仿宋" w:eastAsia="仿宋" w:cs="仿宋"/>
          <w:sz w:val="32"/>
          <w:szCs w:val="32"/>
        </w:rPr>
        <w:t>万元，</w:t>
      </w:r>
      <w:r>
        <w:rPr>
          <w:rFonts w:hint="eastAsia" w:ascii="仿宋" w:hAnsi="仿宋" w:eastAsia="仿宋" w:cs="仿宋"/>
          <w:sz w:val="32"/>
          <w:szCs w:val="32"/>
          <w:lang w:val="en-US" w:eastAsia="zh-CN"/>
        </w:rPr>
        <w:t>手续费0.05万元，</w:t>
      </w:r>
      <w:r>
        <w:rPr>
          <w:rFonts w:hint="eastAsia" w:ascii="仿宋" w:hAnsi="仿宋" w:eastAsia="仿宋" w:cs="仿宋"/>
          <w:sz w:val="32"/>
          <w:szCs w:val="32"/>
        </w:rPr>
        <w:t>水费</w:t>
      </w:r>
      <w:r>
        <w:rPr>
          <w:rFonts w:hint="eastAsia" w:ascii="仿宋" w:hAnsi="仿宋" w:eastAsia="仿宋" w:cs="仿宋"/>
          <w:sz w:val="32"/>
          <w:szCs w:val="32"/>
          <w:lang w:val="en-US" w:eastAsia="zh-CN"/>
        </w:rPr>
        <w:t>5.23</w:t>
      </w:r>
      <w:r>
        <w:rPr>
          <w:rFonts w:hint="eastAsia" w:ascii="仿宋" w:hAnsi="仿宋" w:eastAsia="仿宋" w:cs="仿宋"/>
          <w:sz w:val="32"/>
          <w:szCs w:val="32"/>
        </w:rPr>
        <w:t>万元，电费</w:t>
      </w:r>
      <w:r>
        <w:rPr>
          <w:rFonts w:hint="eastAsia" w:ascii="仿宋" w:hAnsi="仿宋" w:eastAsia="仿宋" w:cs="仿宋"/>
          <w:sz w:val="32"/>
          <w:szCs w:val="32"/>
          <w:lang w:val="en-US" w:eastAsia="zh-CN"/>
        </w:rPr>
        <w:t>49.17</w:t>
      </w:r>
      <w:r>
        <w:rPr>
          <w:rFonts w:hint="eastAsia" w:ascii="仿宋" w:hAnsi="仿宋" w:eastAsia="仿宋" w:cs="仿宋"/>
          <w:sz w:val="32"/>
          <w:szCs w:val="32"/>
        </w:rPr>
        <w:t>万元，邮电费</w:t>
      </w:r>
      <w:r>
        <w:rPr>
          <w:rFonts w:hint="eastAsia" w:ascii="仿宋" w:hAnsi="仿宋" w:eastAsia="仿宋" w:cs="仿宋"/>
          <w:sz w:val="32"/>
          <w:szCs w:val="32"/>
          <w:lang w:val="en-US" w:eastAsia="zh-CN"/>
        </w:rPr>
        <w:t>2.31</w:t>
      </w:r>
      <w:r>
        <w:rPr>
          <w:rFonts w:hint="eastAsia" w:ascii="仿宋" w:hAnsi="仿宋" w:eastAsia="仿宋" w:cs="仿宋"/>
          <w:sz w:val="32"/>
          <w:szCs w:val="32"/>
        </w:rPr>
        <w:t>万元，</w:t>
      </w:r>
      <w:r>
        <w:rPr>
          <w:rFonts w:hint="eastAsia" w:ascii="仿宋" w:hAnsi="仿宋" w:eastAsia="仿宋" w:cs="仿宋"/>
          <w:sz w:val="32"/>
          <w:szCs w:val="32"/>
          <w:lang w:val="en-US" w:eastAsia="zh-CN"/>
        </w:rPr>
        <w:t>物业管理费22.58万元，</w:t>
      </w:r>
      <w:r>
        <w:rPr>
          <w:rFonts w:hint="eastAsia" w:ascii="仿宋" w:hAnsi="仿宋" w:eastAsia="仿宋" w:cs="仿宋"/>
          <w:sz w:val="32"/>
          <w:szCs w:val="32"/>
        </w:rPr>
        <w:t>差旅费</w:t>
      </w:r>
      <w:r>
        <w:rPr>
          <w:rFonts w:hint="eastAsia" w:ascii="仿宋" w:hAnsi="仿宋" w:eastAsia="仿宋" w:cs="仿宋"/>
          <w:sz w:val="32"/>
          <w:szCs w:val="32"/>
          <w:lang w:val="en-US" w:eastAsia="zh-CN"/>
        </w:rPr>
        <w:t>2.01</w:t>
      </w:r>
      <w:r>
        <w:rPr>
          <w:rFonts w:hint="eastAsia" w:ascii="仿宋" w:hAnsi="仿宋" w:eastAsia="仿宋" w:cs="仿宋"/>
          <w:sz w:val="32"/>
          <w:szCs w:val="32"/>
        </w:rPr>
        <w:t>万元，维修费</w:t>
      </w:r>
      <w:r>
        <w:rPr>
          <w:rFonts w:hint="eastAsia" w:ascii="仿宋" w:hAnsi="仿宋" w:eastAsia="仿宋" w:cs="仿宋"/>
          <w:sz w:val="32"/>
          <w:szCs w:val="32"/>
          <w:lang w:val="en-US" w:eastAsia="zh-CN"/>
        </w:rPr>
        <w:t>25.42</w:t>
      </w:r>
      <w:r>
        <w:rPr>
          <w:rFonts w:hint="eastAsia" w:ascii="仿宋" w:hAnsi="仿宋" w:eastAsia="仿宋" w:cs="仿宋"/>
          <w:sz w:val="32"/>
          <w:szCs w:val="32"/>
        </w:rPr>
        <w:t>万元，</w:t>
      </w:r>
      <w:r>
        <w:rPr>
          <w:rFonts w:hint="eastAsia" w:ascii="仿宋" w:hAnsi="仿宋" w:eastAsia="仿宋" w:cs="仿宋"/>
          <w:sz w:val="32"/>
          <w:szCs w:val="32"/>
          <w:lang w:val="en-US" w:eastAsia="zh-CN"/>
        </w:rPr>
        <w:t>租赁费0.27万元，</w:t>
      </w:r>
      <w:r>
        <w:rPr>
          <w:rFonts w:hint="eastAsia" w:ascii="仿宋" w:hAnsi="仿宋" w:eastAsia="仿宋" w:cs="仿宋"/>
          <w:sz w:val="32"/>
          <w:szCs w:val="32"/>
        </w:rPr>
        <w:t>会议费</w:t>
      </w:r>
      <w:r>
        <w:rPr>
          <w:rFonts w:hint="eastAsia" w:ascii="仿宋" w:hAnsi="仿宋" w:eastAsia="仿宋" w:cs="仿宋"/>
          <w:sz w:val="32"/>
          <w:szCs w:val="32"/>
          <w:lang w:val="en-US" w:eastAsia="zh-CN"/>
        </w:rPr>
        <w:t>0.88</w:t>
      </w:r>
      <w:r>
        <w:rPr>
          <w:rFonts w:hint="eastAsia" w:ascii="仿宋" w:hAnsi="仿宋" w:eastAsia="仿宋" w:cs="仿宋"/>
          <w:sz w:val="32"/>
          <w:szCs w:val="32"/>
        </w:rPr>
        <w:t>万元，培训费</w:t>
      </w:r>
      <w:r>
        <w:rPr>
          <w:rFonts w:hint="eastAsia" w:ascii="仿宋" w:hAnsi="仿宋" w:eastAsia="仿宋" w:cs="仿宋"/>
          <w:sz w:val="32"/>
          <w:szCs w:val="32"/>
          <w:lang w:val="en-US" w:eastAsia="zh-CN"/>
        </w:rPr>
        <w:t>1.07</w:t>
      </w:r>
      <w:r>
        <w:rPr>
          <w:rFonts w:hint="eastAsia" w:ascii="仿宋" w:hAnsi="仿宋" w:eastAsia="仿宋" w:cs="仿宋"/>
          <w:sz w:val="32"/>
          <w:szCs w:val="32"/>
        </w:rPr>
        <w:t>万元，公务接待费</w:t>
      </w:r>
      <w:r>
        <w:rPr>
          <w:rFonts w:hint="eastAsia" w:ascii="仿宋" w:hAnsi="仿宋" w:eastAsia="仿宋" w:cs="仿宋"/>
          <w:sz w:val="32"/>
          <w:szCs w:val="32"/>
          <w:lang w:val="en-US" w:eastAsia="zh-CN"/>
        </w:rPr>
        <w:t>8.91</w:t>
      </w:r>
      <w:r>
        <w:rPr>
          <w:rFonts w:hint="eastAsia" w:ascii="仿宋" w:hAnsi="仿宋" w:eastAsia="仿宋" w:cs="仿宋"/>
          <w:sz w:val="32"/>
          <w:szCs w:val="32"/>
        </w:rPr>
        <w:t>万元，劳务费</w:t>
      </w:r>
      <w:r>
        <w:rPr>
          <w:rFonts w:hint="eastAsia" w:ascii="仿宋" w:hAnsi="仿宋" w:eastAsia="仿宋" w:cs="仿宋"/>
          <w:sz w:val="32"/>
          <w:szCs w:val="32"/>
          <w:lang w:val="en-US" w:eastAsia="zh-CN"/>
        </w:rPr>
        <w:t>43.71</w:t>
      </w:r>
      <w:r>
        <w:rPr>
          <w:rFonts w:hint="eastAsia" w:ascii="仿宋" w:hAnsi="仿宋" w:eastAsia="仿宋" w:cs="仿宋"/>
          <w:sz w:val="32"/>
          <w:szCs w:val="32"/>
        </w:rPr>
        <w:t>万元，工会经费</w:t>
      </w:r>
      <w:r>
        <w:rPr>
          <w:rFonts w:hint="eastAsia" w:ascii="仿宋" w:hAnsi="仿宋" w:eastAsia="仿宋" w:cs="仿宋"/>
          <w:sz w:val="32"/>
          <w:szCs w:val="32"/>
          <w:lang w:val="en-US" w:eastAsia="zh-CN"/>
        </w:rPr>
        <w:t>19.11</w:t>
      </w:r>
      <w:r>
        <w:rPr>
          <w:rFonts w:hint="eastAsia" w:ascii="仿宋" w:hAnsi="仿宋" w:eastAsia="仿宋" w:cs="仿宋"/>
          <w:sz w:val="32"/>
          <w:szCs w:val="32"/>
        </w:rPr>
        <w:t>万元，福利费</w:t>
      </w:r>
      <w:r>
        <w:rPr>
          <w:rFonts w:hint="eastAsia" w:ascii="仿宋" w:hAnsi="仿宋" w:eastAsia="仿宋" w:cs="仿宋"/>
          <w:sz w:val="32"/>
          <w:szCs w:val="32"/>
          <w:lang w:val="en-US" w:eastAsia="zh-CN"/>
        </w:rPr>
        <w:t>88.68</w:t>
      </w:r>
      <w:r>
        <w:rPr>
          <w:rFonts w:hint="eastAsia" w:ascii="仿宋" w:hAnsi="仿宋" w:eastAsia="仿宋" w:cs="仿宋"/>
          <w:sz w:val="32"/>
          <w:szCs w:val="32"/>
        </w:rPr>
        <w:t>万元，其他交通费用</w:t>
      </w:r>
      <w:r>
        <w:rPr>
          <w:rFonts w:hint="eastAsia" w:ascii="仿宋" w:hAnsi="仿宋" w:eastAsia="仿宋" w:cs="仿宋"/>
          <w:sz w:val="32"/>
          <w:szCs w:val="32"/>
          <w:lang w:val="en-US" w:eastAsia="zh-CN"/>
        </w:rPr>
        <w:t>31.66</w:t>
      </w:r>
      <w:r>
        <w:rPr>
          <w:rFonts w:hint="eastAsia" w:ascii="仿宋" w:hAnsi="仿宋" w:eastAsia="仿宋" w:cs="仿宋"/>
          <w:sz w:val="32"/>
          <w:szCs w:val="32"/>
        </w:rPr>
        <w:t>万元，其他商品和服务支出</w:t>
      </w:r>
      <w:r>
        <w:rPr>
          <w:rFonts w:hint="eastAsia" w:ascii="仿宋" w:hAnsi="仿宋" w:eastAsia="仿宋" w:cs="仿宋"/>
          <w:sz w:val="32"/>
          <w:szCs w:val="32"/>
          <w:lang w:val="en-US" w:eastAsia="zh-CN"/>
        </w:rPr>
        <w:t>2.29</w:t>
      </w:r>
      <w:r>
        <w:rPr>
          <w:rFonts w:hint="eastAsia" w:ascii="仿宋" w:hAnsi="仿宋" w:eastAsia="仿宋" w:cs="仿宋"/>
          <w:sz w:val="32"/>
          <w:szCs w:val="32"/>
        </w:rPr>
        <w:t>万元。</w:t>
      </w:r>
    </w:p>
    <w:p>
      <w:pPr>
        <w:keepNext w:val="0"/>
        <w:keepLines w:val="0"/>
        <w:pageBreakBefore w:val="0"/>
        <w:kinsoku/>
        <w:wordWrap/>
        <w:overflowPunct/>
        <w:topLinePunct w:val="0"/>
        <w:autoSpaceDE/>
        <w:autoSpaceDN/>
        <w:bidi w:val="0"/>
        <w:spacing w:beforeAutospacing="0" w:line="520" w:lineRule="exact"/>
        <w:ind w:right="11" w:firstLine="600" w:firstLineChars="200"/>
        <w:jc w:val="left"/>
        <w:textAlignment w:val="auto"/>
        <w:rPr>
          <w:rFonts w:hint="eastAsia" w:ascii="仿宋" w:hAnsi="仿宋" w:eastAsia="仿宋" w:cs="仿宋"/>
          <w:color w:val="000000"/>
          <w:sz w:val="32"/>
          <w:szCs w:val="32"/>
        </w:rPr>
      </w:pPr>
      <w:r>
        <w:rPr>
          <w:rFonts w:hint="eastAsia" w:ascii="仿宋" w:hAnsi="仿宋" w:eastAsia="仿宋" w:cs="仿宋"/>
          <w:sz w:val="30"/>
          <w:szCs w:val="30"/>
        </w:rPr>
        <w:t>（三）</w:t>
      </w:r>
      <w:r>
        <w:rPr>
          <w:rFonts w:hint="eastAsia" w:ascii="仿宋" w:hAnsi="仿宋" w:eastAsia="仿宋" w:cs="仿宋"/>
          <w:sz w:val="30"/>
          <w:szCs w:val="30"/>
          <w:lang w:eastAsia="zh-CN"/>
        </w:rPr>
        <w:t>“三公”经费</w:t>
      </w:r>
      <w:r>
        <w:rPr>
          <w:rFonts w:hint="eastAsia" w:ascii="仿宋" w:hAnsi="仿宋" w:eastAsia="仿宋" w:cs="仿宋"/>
          <w:sz w:val="30"/>
          <w:szCs w:val="30"/>
        </w:rPr>
        <w:t>预算与支出</w:t>
      </w:r>
    </w:p>
    <w:p>
      <w:pPr>
        <w:keepNext w:val="0"/>
        <w:keepLines w:val="0"/>
        <w:pageBreakBefore w:val="0"/>
        <w:kinsoku/>
        <w:wordWrap/>
        <w:overflowPunct/>
        <w:topLinePunct w:val="0"/>
        <w:autoSpaceDE/>
        <w:autoSpaceDN/>
        <w:bidi w:val="0"/>
        <w:spacing w:beforeAutospacing="0" w:line="520" w:lineRule="exact"/>
        <w:ind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1.</w:t>
      </w:r>
      <w:r>
        <w:rPr>
          <w:rFonts w:hint="eastAsia" w:ascii="仿宋" w:hAnsi="仿宋" w:eastAsia="仿宋" w:cs="仿宋"/>
          <w:color w:val="000000"/>
          <w:sz w:val="32"/>
          <w:szCs w:val="32"/>
          <w:lang w:eastAsia="zh-CN"/>
        </w:rPr>
        <w:t>2021</w:t>
      </w:r>
      <w:r>
        <w:rPr>
          <w:rFonts w:hint="eastAsia" w:ascii="仿宋" w:hAnsi="仿宋" w:eastAsia="仿宋" w:cs="仿宋"/>
          <w:color w:val="000000"/>
          <w:sz w:val="32"/>
          <w:szCs w:val="32"/>
        </w:rPr>
        <w:t>年度本单位“三公”经费总额为</w:t>
      </w:r>
      <w:r>
        <w:rPr>
          <w:rFonts w:hint="eastAsia" w:ascii="仿宋" w:hAnsi="仿宋" w:eastAsia="仿宋" w:cs="仿宋"/>
          <w:color w:val="000000"/>
          <w:sz w:val="32"/>
          <w:szCs w:val="32"/>
          <w:lang w:val="en-US" w:eastAsia="zh-CN"/>
        </w:rPr>
        <w:t>8.91</w:t>
      </w:r>
      <w:r>
        <w:rPr>
          <w:rFonts w:hint="eastAsia" w:ascii="仿宋" w:hAnsi="仿宋" w:eastAsia="仿宋" w:cs="仿宋"/>
          <w:color w:val="000000"/>
          <w:sz w:val="32"/>
          <w:szCs w:val="32"/>
        </w:rPr>
        <w:t>万元，其中公务用车运行及维护费用</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万元，公务接待费</w:t>
      </w:r>
      <w:r>
        <w:rPr>
          <w:rFonts w:hint="eastAsia" w:ascii="仿宋" w:hAnsi="仿宋" w:eastAsia="仿宋" w:cs="仿宋"/>
          <w:color w:val="000000"/>
          <w:sz w:val="32"/>
          <w:szCs w:val="32"/>
          <w:lang w:val="en-US" w:eastAsia="zh-CN"/>
        </w:rPr>
        <w:t>8.91</w:t>
      </w:r>
      <w:r>
        <w:rPr>
          <w:rFonts w:hint="eastAsia" w:ascii="仿宋" w:hAnsi="仿宋" w:eastAsia="仿宋" w:cs="仿宋"/>
          <w:color w:val="000000"/>
          <w:sz w:val="32"/>
          <w:szCs w:val="32"/>
        </w:rPr>
        <w:t>万元。</w:t>
      </w:r>
      <w:r>
        <w:rPr>
          <w:rFonts w:hint="eastAsia" w:ascii="仿宋" w:hAnsi="仿宋" w:eastAsia="仿宋" w:cs="仿宋"/>
          <w:sz w:val="30"/>
          <w:szCs w:val="30"/>
        </w:rPr>
        <w:t>与预算相比</w:t>
      </w:r>
      <w:r>
        <w:rPr>
          <w:rFonts w:hint="eastAsia" w:ascii="仿宋" w:hAnsi="仿宋" w:eastAsia="仿宋" w:cs="仿宋"/>
          <w:sz w:val="30"/>
          <w:szCs w:val="30"/>
          <w:lang w:eastAsia="zh-CN"/>
        </w:rPr>
        <w:t>增加</w:t>
      </w:r>
      <w:r>
        <w:rPr>
          <w:rFonts w:hint="eastAsia" w:ascii="仿宋" w:hAnsi="仿宋" w:eastAsia="仿宋" w:cs="仿宋"/>
          <w:sz w:val="30"/>
          <w:szCs w:val="30"/>
        </w:rPr>
        <w:t>了</w:t>
      </w:r>
      <w:r>
        <w:rPr>
          <w:rFonts w:hint="eastAsia" w:ascii="仿宋" w:hAnsi="仿宋" w:eastAsia="仿宋" w:cs="仿宋"/>
          <w:color w:val="000000"/>
          <w:sz w:val="32"/>
          <w:szCs w:val="32"/>
          <w:lang w:val="en-US" w:eastAsia="zh-CN"/>
        </w:rPr>
        <w:t>1.91</w:t>
      </w:r>
      <w:r>
        <w:rPr>
          <w:rFonts w:hint="eastAsia" w:ascii="仿宋" w:hAnsi="仿宋" w:eastAsia="仿宋" w:cs="仿宋"/>
          <w:sz w:val="30"/>
          <w:szCs w:val="30"/>
        </w:rPr>
        <w:t>万元</w:t>
      </w:r>
      <w:r>
        <w:rPr>
          <w:rFonts w:hint="eastAsia" w:ascii="仿宋" w:hAnsi="仿宋" w:eastAsia="仿宋" w:cs="仿宋"/>
          <w:color w:val="000000"/>
          <w:sz w:val="32"/>
          <w:szCs w:val="32"/>
        </w:rPr>
        <w:t>。</w:t>
      </w:r>
      <w:r>
        <w:rPr>
          <w:rFonts w:hint="eastAsia" w:ascii="仿宋" w:hAnsi="仿宋" w:eastAsia="仿宋" w:cs="仿宋"/>
          <w:sz w:val="32"/>
          <w:szCs w:val="32"/>
          <w:lang w:eastAsia="zh-CN"/>
        </w:rPr>
        <w:t>2021</w:t>
      </w:r>
      <w:r>
        <w:rPr>
          <w:rFonts w:hint="eastAsia" w:ascii="仿宋" w:hAnsi="仿宋" w:eastAsia="仿宋" w:cs="仿宋"/>
          <w:sz w:val="32"/>
          <w:szCs w:val="32"/>
        </w:rPr>
        <w:t>年公务用车购置数0台，车辆保有量1台，国内公务接待</w:t>
      </w:r>
      <w:r>
        <w:rPr>
          <w:rFonts w:hint="eastAsia" w:ascii="仿宋" w:hAnsi="仿宋" w:eastAsia="仿宋" w:cs="仿宋"/>
          <w:sz w:val="32"/>
          <w:szCs w:val="32"/>
          <w:lang w:val="en-US" w:eastAsia="zh-CN"/>
        </w:rPr>
        <w:t>174</w:t>
      </w:r>
      <w:r>
        <w:rPr>
          <w:rFonts w:hint="eastAsia" w:ascii="仿宋" w:hAnsi="仿宋" w:eastAsia="仿宋" w:cs="仿宋"/>
          <w:sz w:val="32"/>
          <w:szCs w:val="32"/>
        </w:rPr>
        <w:t>批次，接待人数</w:t>
      </w:r>
      <w:r>
        <w:rPr>
          <w:rFonts w:hint="eastAsia" w:ascii="仿宋" w:hAnsi="仿宋" w:eastAsia="仿宋" w:cs="仿宋"/>
          <w:sz w:val="32"/>
          <w:szCs w:val="32"/>
          <w:lang w:val="en-US" w:eastAsia="zh-CN"/>
        </w:rPr>
        <w:t>638</w:t>
      </w:r>
      <w:r>
        <w:rPr>
          <w:rFonts w:hint="eastAsia" w:ascii="仿宋" w:hAnsi="仿宋" w:eastAsia="仿宋" w:cs="仿宋"/>
          <w:sz w:val="32"/>
          <w:szCs w:val="32"/>
        </w:rPr>
        <w:t>人。</w:t>
      </w:r>
    </w:p>
    <w:p>
      <w:pPr>
        <w:pStyle w:val="6"/>
        <w:keepNext w:val="0"/>
        <w:keepLines w:val="0"/>
        <w:pageBreakBefore w:val="0"/>
        <w:widowControl/>
        <w:kinsoku/>
        <w:wordWrap/>
        <w:overflowPunct/>
        <w:topLinePunct w:val="0"/>
        <w:autoSpaceDE/>
        <w:autoSpaceDN/>
        <w:bidi w:val="0"/>
        <w:spacing w:before="0" w:beforeAutospacing="0" w:after="0" w:afterAutospacing="0" w:line="520" w:lineRule="exact"/>
        <w:ind w:right="11" w:firstLine="600" w:firstLineChars="200"/>
        <w:jc w:val="left"/>
        <w:textAlignment w:val="auto"/>
        <w:rPr>
          <w:rFonts w:hint="eastAsia" w:ascii="仿宋" w:hAnsi="仿宋" w:eastAsia="仿宋" w:cs="仿宋"/>
          <w:b/>
          <w:bCs/>
          <w:color w:val="010101"/>
          <w:sz w:val="30"/>
          <w:szCs w:val="30"/>
        </w:rPr>
      </w:pPr>
      <w:r>
        <w:rPr>
          <w:rFonts w:hint="eastAsia" w:ascii="仿宋" w:hAnsi="仿宋" w:eastAsia="仿宋" w:cs="仿宋"/>
          <w:b/>
          <w:bCs/>
          <w:color w:val="010101"/>
          <w:sz w:val="30"/>
          <w:szCs w:val="30"/>
        </w:rPr>
        <w:t>三、政府性基金预算支出情况</w:t>
      </w:r>
    </w:p>
    <w:p>
      <w:pPr>
        <w:keepNext w:val="0"/>
        <w:keepLines w:val="0"/>
        <w:pageBreakBefore w:val="0"/>
        <w:kinsoku/>
        <w:wordWrap/>
        <w:overflowPunct/>
        <w:topLinePunct w:val="0"/>
        <w:autoSpaceDE/>
        <w:autoSpaceDN/>
        <w:bidi w:val="0"/>
        <w:spacing w:beforeAutospacing="0" w:line="520" w:lineRule="exact"/>
        <w:ind w:right="11" w:firstLine="600" w:firstLineChars="200"/>
        <w:jc w:val="left"/>
        <w:textAlignment w:val="auto"/>
        <w:rPr>
          <w:rFonts w:hint="eastAsia" w:ascii="仿宋" w:hAnsi="仿宋" w:eastAsia="仿宋" w:cs="仿宋"/>
          <w:b/>
          <w:bCs/>
          <w:color w:val="010101"/>
          <w:sz w:val="30"/>
          <w:szCs w:val="30"/>
        </w:rPr>
      </w:pPr>
      <w:r>
        <w:rPr>
          <w:rFonts w:hint="eastAsia" w:ascii="仿宋" w:hAnsi="仿宋" w:eastAsia="仿宋" w:cs="仿宋"/>
          <w:color w:val="010101"/>
          <w:sz w:val="30"/>
          <w:szCs w:val="30"/>
        </w:rPr>
        <w:t>道县</w:t>
      </w:r>
      <w:r>
        <w:rPr>
          <w:rFonts w:hint="eastAsia" w:ascii="仿宋" w:hAnsi="仿宋" w:eastAsia="仿宋" w:cs="仿宋"/>
          <w:color w:val="010101"/>
          <w:sz w:val="30"/>
          <w:szCs w:val="30"/>
          <w:lang w:eastAsia="zh-CN"/>
        </w:rPr>
        <w:t>行政审批服务局2021</w:t>
      </w:r>
      <w:r>
        <w:rPr>
          <w:rFonts w:hint="eastAsia" w:ascii="仿宋" w:hAnsi="仿宋" w:eastAsia="仿宋" w:cs="仿宋"/>
          <w:color w:val="010101"/>
          <w:sz w:val="30"/>
          <w:szCs w:val="30"/>
        </w:rPr>
        <w:t>年无政府性基金预算。</w:t>
      </w:r>
    </w:p>
    <w:p>
      <w:pPr>
        <w:keepNext w:val="0"/>
        <w:keepLines w:val="0"/>
        <w:pageBreakBefore w:val="0"/>
        <w:kinsoku/>
        <w:wordWrap/>
        <w:overflowPunct/>
        <w:topLinePunct w:val="0"/>
        <w:autoSpaceDE/>
        <w:autoSpaceDN/>
        <w:bidi w:val="0"/>
        <w:spacing w:beforeAutospacing="0" w:line="520" w:lineRule="exact"/>
        <w:ind w:right="11" w:firstLine="600" w:firstLineChars="200"/>
        <w:jc w:val="left"/>
        <w:textAlignment w:val="auto"/>
        <w:rPr>
          <w:rFonts w:hint="eastAsia" w:ascii="仿宋" w:hAnsi="仿宋" w:eastAsia="仿宋" w:cs="仿宋"/>
          <w:b/>
          <w:bCs/>
          <w:color w:val="010101"/>
          <w:sz w:val="30"/>
          <w:szCs w:val="30"/>
        </w:rPr>
      </w:pPr>
      <w:r>
        <w:rPr>
          <w:rFonts w:hint="eastAsia" w:ascii="仿宋" w:hAnsi="仿宋" w:eastAsia="仿宋" w:cs="仿宋"/>
          <w:b/>
          <w:bCs/>
          <w:color w:val="010101"/>
          <w:sz w:val="30"/>
          <w:szCs w:val="30"/>
        </w:rPr>
        <w:t>四、国有资本经营预算支出情况</w:t>
      </w:r>
    </w:p>
    <w:p>
      <w:pPr>
        <w:keepNext w:val="0"/>
        <w:keepLines w:val="0"/>
        <w:pageBreakBefore w:val="0"/>
        <w:kinsoku/>
        <w:wordWrap/>
        <w:overflowPunct/>
        <w:topLinePunct w:val="0"/>
        <w:autoSpaceDE/>
        <w:autoSpaceDN/>
        <w:bidi w:val="0"/>
        <w:spacing w:beforeAutospacing="0" w:line="520" w:lineRule="exact"/>
        <w:ind w:right="11" w:firstLine="600" w:firstLineChars="200"/>
        <w:jc w:val="left"/>
        <w:textAlignment w:val="auto"/>
        <w:rPr>
          <w:rFonts w:hint="eastAsia" w:ascii="仿宋" w:hAnsi="仿宋" w:eastAsia="仿宋" w:cs="仿宋"/>
          <w:color w:val="010101"/>
          <w:sz w:val="30"/>
          <w:szCs w:val="30"/>
        </w:rPr>
      </w:pPr>
      <w:r>
        <w:rPr>
          <w:rFonts w:hint="eastAsia" w:ascii="仿宋" w:hAnsi="仿宋" w:eastAsia="仿宋" w:cs="仿宋"/>
          <w:color w:val="010101"/>
          <w:sz w:val="30"/>
          <w:szCs w:val="30"/>
        </w:rPr>
        <w:t>道县</w:t>
      </w:r>
      <w:r>
        <w:rPr>
          <w:rFonts w:hint="eastAsia" w:ascii="仿宋" w:hAnsi="仿宋" w:eastAsia="仿宋" w:cs="仿宋"/>
          <w:color w:val="010101"/>
          <w:sz w:val="30"/>
          <w:szCs w:val="30"/>
          <w:lang w:eastAsia="zh-CN"/>
        </w:rPr>
        <w:t>行政审批服务局2021</w:t>
      </w:r>
      <w:r>
        <w:rPr>
          <w:rFonts w:hint="eastAsia" w:ascii="仿宋" w:hAnsi="仿宋" w:eastAsia="仿宋" w:cs="仿宋"/>
          <w:color w:val="010101"/>
          <w:sz w:val="30"/>
          <w:szCs w:val="30"/>
        </w:rPr>
        <w:t>年无国有资本经营预算支出。</w:t>
      </w:r>
    </w:p>
    <w:p>
      <w:pPr>
        <w:keepNext w:val="0"/>
        <w:keepLines w:val="0"/>
        <w:pageBreakBefore w:val="0"/>
        <w:kinsoku/>
        <w:wordWrap/>
        <w:overflowPunct/>
        <w:topLinePunct w:val="0"/>
        <w:autoSpaceDE/>
        <w:autoSpaceDN/>
        <w:bidi w:val="0"/>
        <w:spacing w:beforeAutospacing="0" w:line="520" w:lineRule="exact"/>
        <w:ind w:right="11" w:firstLine="600" w:firstLineChars="200"/>
        <w:jc w:val="left"/>
        <w:textAlignment w:val="auto"/>
        <w:rPr>
          <w:rFonts w:hint="eastAsia" w:ascii="仿宋" w:hAnsi="仿宋" w:eastAsia="仿宋" w:cs="仿宋"/>
          <w:b/>
          <w:color w:val="010101"/>
          <w:sz w:val="30"/>
          <w:szCs w:val="30"/>
        </w:rPr>
      </w:pPr>
      <w:r>
        <w:rPr>
          <w:rFonts w:hint="eastAsia" w:ascii="仿宋" w:hAnsi="仿宋" w:eastAsia="仿宋" w:cs="仿宋"/>
          <w:b/>
          <w:bCs/>
          <w:color w:val="010101"/>
          <w:sz w:val="30"/>
          <w:szCs w:val="30"/>
        </w:rPr>
        <w:t>五</w:t>
      </w:r>
      <w:r>
        <w:rPr>
          <w:rFonts w:hint="eastAsia" w:ascii="仿宋" w:hAnsi="仿宋" w:eastAsia="仿宋" w:cs="仿宋"/>
          <w:bCs/>
          <w:color w:val="010101"/>
          <w:sz w:val="30"/>
          <w:szCs w:val="30"/>
        </w:rPr>
        <w:t>、</w:t>
      </w:r>
      <w:r>
        <w:rPr>
          <w:rFonts w:hint="eastAsia" w:ascii="仿宋" w:hAnsi="仿宋" w:eastAsia="仿宋" w:cs="仿宋"/>
          <w:b/>
          <w:color w:val="010101"/>
          <w:sz w:val="30"/>
          <w:szCs w:val="30"/>
        </w:rPr>
        <w:t>社会保险基金预算支出情况</w:t>
      </w:r>
    </w:p>
    <w:p>
      <w:pPr>
        <w:keepNext w:val="0"/>
        <w:keepLines w:val="0"/>
        <w:pageBreakBefore w:val="0"/>
        <w:kinsoku/>
        <w:wordWrap/>
        <w:overflowPunct/>
        <w:topLinePunct w:val="0"/>
        <w:autoSpaceDE/>
        <w:autoSpaceDN/>
        <w:bidi w:val="0"/>
        <w:spacing w:beforeAutospacing="0" w:line="520" w:lineRule="exact"/>
        <w:ind w:right="11" w:firstLine="600" w:firstLineChars="200"/>
        <w:jc w:val="left"/>
        <w:textAlignment w:val="auto"/>
        <w:rPr>
          <w:rFonts w:hint="eastAsia" w:ascii="仿宋" w:hAnsi="仿宋" w:eastAsia="仿宋" w:cs="仿宋"/>
          <w:bCs/>
          <w:color w:val="010101"/>
          <w:sz w:val="30"/>
          <w:szCs w:val="30"/>
        </w:rPr>
      </w:pPr>
      <w:r>
        <w:rPr>
          <w:rFonts w:hint="eastAsia" w:ascii="仿宋" w:hAnsi="仿宋" w:eastAsia="仿宋" w:cs="仿宋"/>
          <w:bCs/>
          <w:color w:val="010101"/>
          <w:sz w:val="30"/>
          <w:szCs w:val="30"/>
        </w:rPr>
        <w:t>道县</w:t>
      </w:r>
      <w:r>
        <w:rPr>
          <w:rFonts w:hint="eastAsia" w:ascii="仿宋" w:hAnsi="仿宋" w:eastAsia="仿宋" w:cs="仿宋"/>
          <w:bCs/>
          <w:color w:val="010101"/>
          <w:sz w:val="30"/>
          <w:szCs w:val="30"/>
          <w:lang w:eastAsia="zh-CN"/>
        </w:rPr>
        <w:t>行政审批服务局2021</w:t>
      </w:r>
      <w:r>
        <w:rPr>
          <w:rFonts w:hint="eastAsia" w:ascii="仿宋" w:hAnsi="仿宋" w:eastAsia="仿宋" w:cs="仿宋"/>
          <w:bCs/>
          <w:color w:val="010101"/>
          <w:sz w:val="30"/>
          <w:szCs w:val="30"/>
        </w:rPr>
        <w:t>年无社会保险基金预算支出。</w:t>
      </w:r>
    </w:p>
    <w:p>
      <w:pPr>
        <w:keepNext w:val="0"/>
        <w:keepLines w:val="0"/>
        <w:pageBreakBefore w:val="0"/>
        <w:kinsoku/>
        <w:wordWrap/>
        <w:overflowPunct/>
        <w:topLinePunct w:val="0"/>
        <w:autoSpaceDE/>
        <w:autoSpaceDN/>
        <w:bidi w:val="0"/>
        <w:spacing w:beforeAutospacing="0" w:line="520" w:lineRule="exact"/>
        <w:ind w:right="11" w:firstLine="600" w:firstLineChars="200"/>
        <w:jc w:val="left"/>
        <w:textAlignment w:val="auto"/>
        <w:rPr>
          <w:rFonts w:hint="eastAsia" w:ascii="仿宋" w:hAnsi="仿宋" w:eastAsia="仿宋" w:cs="仿宋"/>
          <w:b/>
          <w:color w:val="010101"/>
          <w:sz w:val="30"/>
          <w:szCs w:val="30"/>
        </w:rPr>
      </w:pPr>
      <w:r>
        <w:rPr>
          <w:rFonts w:hint="eastAsia" w:ascii="仿宋" w:hAnsi="仿宋" w:eastAsia="仿宋" w:cs="仿宋"/>
          <w:b/>
          <w:color w:val="010101"/>
          <w:sz w:val="30"/>
          <w:szCs w:val="30"/>
        </w:rPr>
        <w:t>六、部门整体支出绩效情况</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20" w:lineRule="exact"/>
        <w:ind w:left="0" w:firstLine="600" w:firstLineChars="200"/>
        <w:jc w:val="left"/>
        <w:textAlignment w:val="auto"/>
        <w:rPr>
          <w:rFonts w:hint="eastAsia" w:ascii="仿宋" w:hAnsi="仿宋" w:eastAsia="仿宋" w:cs="仿宋"/>
          <w:b w:val="0"/>
          <w:bCs w:val="0"/>
          <w:sz w:val="30"/>
          <w:szCs w:val="30"/>
        </w:rPr>
      </w:pPr>
      <w:r>
        <w:rPr>
          <w:rFonts w:hint="eastAsia" w:ascii="仿宋" w:hAnsi="仿宋" w:eastAsia="仿宋" w:cs="仿宋"/>
          <w:b w:val="0"/>
          <w:bCs w:val="0"/>
          <w:sz w:val="30"/>
          <w:szCs w:val="30"/>
        </w:rPr>
        <w:t>1、本单位资金的拨付有完整的审批过程和手续，支出一定程度上符合部门预算批复的用途，资金使用无截留、挤占、挪用、虚列支出等情况。</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20" w:lineRule="exact"/>
        <w:ind w:left="0" w:firstLine="600" w:firstLineChars="200"/>
        <w:jc w:val="left"/>
        <w:textAlignment w:val="auto"/>
        <w:rPr>
          <w:rFonts w:hint="eastAsia" w:ascii="仿宋" w:hAnsi="仿宋" w:eastAsia="仿宋" w:cs="仿宋"/>
          <w:b w:val="0"/>
          <w:bCs w:val="0"/>
          <w:sz w:val="30"/>
          <w:szCs w:val="30"/>
        </w:rPr>
      </w:pPr>
      <w:r>
        <w:rPr>
          <w:rFonts w:hint="eastAsia" w:ascii="仿宋" w:hAnsi="仿宋" w:eastAsia="仿宋" w:cs="仿宋"/>
          <w:b w:val="0"/>
          <w:bCs w:val="0"/>
          <w:sz w:val="30"/>
          <w:szCs w:val="30"/>
        </w:rPr>
        <w:t>2、本单位20</w:t>
      </w:r>
      <w:r>
        <w:rPr>
          <w:rFonts w:hint="eastAsia" w:ascii="仿宋" w:hAnsi="仿宋" w:eastAsia="仿宋" w:cs="仿宋"/>
          <w:b w:val="0"/>
          <w:bCs w:val="0"/>
          <w:sz w:val="30"/>
          <w:szCs w:val="30"/>
          <w:lang w:val="en-US" w:eastAsia="zh-CN"/>
        </w:rPr>
        <w:t>21</w:t>
      </w:r>
      <w:r>
        <w:rPr>
          <w:rFonts w:hint="eastAsia" w:ascii="仿宋" w:hAnsi="仿宋" w:eastAsia="仿宋" w:cs="仿宋"/>
          <w:b w:val="0"/>
          <w:bCs w:val="0"/>
          <w:sz w:val="30"/>
          <w:szCs w:val="30"/>
        </w:rPr>
        <w:t>年度预算信息及时网上公开，本单位基础数据信息和会计信息资料真实、完整，基础数据信息和汇集信息资料准确。</w:t>
      </w:r>
    </w:p>
    <w:p>
      <w:pPr>
        <w:keepNext w:val="0"/>
        <w:keepLines w:val="0"/>
        <w:pageBreakBefore w:val="0"/>
        <w:widowControl w:val="0"/>
        <w:kinsoku/>
        <w:wordWrap/>
        <w:overflowPunct/>
        <w:topLinePunct w:val="0"/>
        <w:autoSpaceDE/>
        <w:autoSpaceDN/>
        <w:bidi w:val="0"/>
        <w:adjustRightInd w:val="0"/>
        <w:snapToGrid w:val="0"/>
        <w:spacing w:before="0" w:beforeAutospacing="0" w:line="520" w:lineRule="exact"/>
        <w:ind w:left="0" w:leftChars="0" w:right="0" w:rightChars="0" w:firstLine="640" w:firstLineChars="200"/>
        <w:jc w:val="left"/>
        <w:textAlignment w:val="auto"/>
        <w:outlineLvl w:val="9"/>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3、深化“放管服”，推进审批制度改革</w:t>
      </w:r>
      <w:r>
        <w:rPr>
          <w:rFonts w:hint="eastAsia" w:ascii="仿宋" w:hAnsi="仿宋" w:eastAsia="仿宋" w:cs="仿宋"/>
          <w:b w:val="0"/>
          <w:bCs w:val="0"/>
          <w:color w:val="auto"/>
          <w:kern w:val="2"/>
          <w:sz w:val="32"/>
          <w:szCs w:val="32"/>
          <w:lang w:val="en-US" w:eastAsia="zh-CN" w:bidi="ar-SA"/>
        </w:rPr>
        <w:t>，</w:t>
      </w:r>
      <w:r>
        <w:rPr>
          <w:rFonts w:hint="eastAsia" w:ascii="仿宋" w:hAnsi="仿宋" w:eastAsia="仿宋" w:cs="仿宋"/>
          <w:b w:val="0"/>
          <w:bCs w:val="0"/>
          <w:kern w:val="2"/>
          <w:sz w:val="32"/>
          <w:szCs w:val="32"/>
          <w:lang w:val="en-US" w:eastAsia="zh-CN" w:bidi="ar-SA"/>
        </w:rPr>
        <w:t>优化办事流程。推进审批提速，实施流程再造优化，承诺时限整体提速72.89%。</w:t>
      </w:r>
      <w:r>
        <w:rPr>
          <w:rFonts w:hint="eastAsia" w:ascii="仿宋" w:hAnsi="仿宋" w:eastAsia="仿宋" w:cs="仿宋"/>
          <w:b w:val="0"/>
          <w:bCs w:val="0"/>
          <w:color w:val="auto"/>
          <w:sz w:val="32"/>
          <w:szCs w:val="32"/>
          <w:lang w:val="en-US" w:eastAsia="zh-CN"/>
        </w:rPr>
        <w:t>深化“一件事一次办”。按照“一事一标准”原则，实现同一件事全省无差别受理、同标准办理。第一、二、三批目录事项共294项套餐涉及300个事项，已完成一体化平台中第三批事项的上线运行。</w:t>
      </w:r>
      <w:r>
        <w:rPr>
          <w:rFonts w:hint="eastAsia" w:ascii="仿宋" w:hAnsi="仿宋" w:eastAsia="仿宋" w:cs="仿宋"/>
          <w:b w:val="0"/>
          <w:bCs w:val="0"/>
          <w:color w:val="000000"/>
          <w:sz w:val="32"/>
          <w:szCs w:val="32"/>
          <w:lang w:val="en-US" w:eastAsia="zh-CN"/>
        </w:rPr>
        <w:t>2021年</w:t>
      </w:r>
      <w:r>
        <w:rPr>
          <w:rFonts w:hint="eastAsia" w:ascii="仿宋" w:hAnsi="仿宋" w:eastAsia="仿宋" w:cs="仿宋"/>
          <w:b w:val="0"/>
          <w:bCs w:val="0"/>
          <w:color w:val="000000"/>
          <w:sz w:val="32"/>
          <w:szCs w:val="32"/>
        </w:rPr>
        <w:t>，共受理市场准入涉照“一件事一次办”</w:t>
      </w:r>
      <w:r>
        <w:rPr>
          <w:rFonts w:hint="eastAsia" w:ascii="仿宋" w:hAnsi="仿宋" w:eastAsia="仿宋" w:cs="仿宋"/>
          <w:b w:val="0"/>
          <w:bCs w:val="0"/>
          <w:color w:val="000000"/>
          <w:sz w:val="32"/>
          <w:szCs w:val="32"/>
          <w:lang w:val="en-US" w:eastAsia="zh-CN"/>
        </w:rPr>
        <w:t>17432</w:t>
      </w:r>
      <w:r>
        <w:rPr>
          <w:rFonts w:hint="eastAsia" w:ascii="仿宋" w:hAnsi="仿宋" w:eastAsia="仿宋" w:cs="仿宋"/>
          <w:b w:val="0"/>
          <w:bCs w:val="0"/>
          <w:color w:val="000000"/>
          <w:sz w:val="32"/>
          <w:szCs w:val="32"/>
        </w:rPr>
        <w:t>件、办结</w:t>
      </w:r>
      <w:r>
        <w:rPr>
          <w:rFonts w:hint="eastAsia" w:ascii="仿宋" w:hAnsi="仿宋" w:eastAsia="仿宋" w:cs="仿宋"/>
          <w:b w:val="0"/>
          <w:bCs w:val="0"/>
          <w:color w:val="000000"/>
          <w:sz w:val="32"/>
          <w:szCs w:val="32"/>
          <w:lang w:val="en-US" w:eastAsia="zh-CN"/>
        </w:rPr>
        <w:t>17432</w:t>
      </w:r>
      <w:r>
        <w:rPr>
          <w:rFonts w:hint="eastAsia" w:ascii="仿宋" w:hAnsi="仿宋" w:eastAsia="仿宋" w:cs="仿宋"/>
          <w:b w:val="0"/>
          <w:bCs w:val="0"/>
          <w:color w:val="000000"/>
          <w:sz w:val="32"/>
          <w:szCs w:val="32"/>
        </w:rPr>
        <w:t>件，办结率100%。</w:t>
      </w:r>
      <w:r>
        <w:rPr>
          <w:rFonts w:hint="eastAsia" w:ascii="仿宋" w:hAnsi="仿宋" w:eastAsia="仿宋" w:cs="仿宋"/>
          <w:b w:val="0"/>
          <w:bCs w:val="0"/>
          <w:color w:val="000000"/>
          <w:sz w:val="32"/>
          <w:szCs w:val="32"/>
          <w:lang w:val="en-US" w:eastAsia="zh-CN"/>
        </w:rPr>
        <w:t>市场主体加速增长，新增市场主体3737户</w:t>
      </w:r>
      <w:r>
        <w:rPr>
          <w:rFonts w:hint="eastAsia" w:ascii="仿宋" w:hAnsi="仿宋" w:eastAsia="仿宋" w:cs="仿宋"/>
          <w:sz w:val="32"/>
          <w:szCs w:val="32"/>
          <w:lang w:val="en-US" w:eastAsia="zh-CN"/>
        </w:rPr>
        <w:t>，比去年同期增加5566户，增长29.45%。</w:t>
      </w:r>
    </w:p>
    <w:p>
      <w:pPr>
        <w:keepNext w:val="0"/>
        <w:keepLines w:val="0"/>
        <w:pageBreakBefore w:val="0"/>
        <w:kinsoku/>
        <w:wordWrap/>
        <w:overflowPunct/>
        <w:topLinePunct w:val="0"/>
        <w:autoSpaceDE/>
        <w:autoSpaceDN/>
        <w:bidi w:val="0"/>
        <w:adjustRightInd/>
        <w:snapToGrid/>
        <w:spacing w:beforeAutospacing="0" w:line="520" w:lineRule="exact"/>
        <w:ind w:left="0" w:firstLine="600" w:firstLineChars="200"/>
        <w:jc w:val="left"/>
        <w:textAlignment w:val="auto"/>
        <w:rPr>
          <w:rStyle w:val="8"/>
          <w:rFonts w:hint="eastAsia" w:ascii="仿宋" w:hAnsi="仿宋" w:eastAsia="仿宋" w:cs="仿宋"/>
          <w:b w:val="0"/>
          <w:bCs w:val="0"/>
          <w:sz w:val="30"/>
          <w:szCs w:val="30"/>
          <w:highlight w:val="yellow"/>
        </w:rPr>
      </w:pPr>
      <w:r>
        <w:rPr>
          <w:rFonts w:hint="eastAsia" w:ascii="仿宋" w:hAnsi="仿宋" w:eastAsia="仿宋" w:cs="仿宋"/>
          <w:b w:val="0"/>
          <w:bCs w:val="0"/>
          <w:sz w:val="30"/>
          <w:szCs w:val="30"/>
        </w:rPr>
        <w:t>4、</w:t>
      </w:r>
      <w:r>
        <w:rPr>
          <w:rFonts w:hint="eastAsia" w:ascii="仿宋" w:hAnsi="仿宋" w:eastAsia="仿宋" w:cs="仿宋"/>
          <w:b w:val="0"/>
          <w:bCs w:val="0"/>
          <w:color w:val="auto"/>
          <w:kern w:val="2"/>
          <w:sz w:val="32"/>
          <w:szCs w:val="32"/>
          <w:lang w:val="en-US" w:eastAsia="zh-CN" w:bidi="ar-SA"/>
        </w:rPr>
        <w:t>优化营商环境，促进经济高效发展</w:t>
      </w:r>
      <w:r>
        <w:rPr>
          <w:rFonts w:hint="eastAsia" w:ascii="仿宋" w:hAnsi="仿宋" w:eastAsia="仿宋" w:cs="仿宋"/>
          <w:b w:val="0"/>
          <w:bCs/>
          <w:kern w:val="2"/>
          <w:sz w:val="32"/>
          <w:szCs w:val="32"/>
          <w:lang w:val="en-US" w:eastAsia="zh-CN" w:bidi="ar-SA"/>
        </w:rPr>
        <w:t>。</w:t>
      </w:r>
      <w:r>
        <w:rPr>
          <w:rFonts w:hint="eastAsia" w:ascii="仿宋" w:hAnsi="仿宋" w:eastAsia="仿宋" w:cs="仿宋"/>
          <w:b w:val="0"/>
          <w:bCs w:val="0"/>
          <w:sz w:val="32"/>
          <w:szCs w:val="32"/>
          <w:lang w:eastAsia="zh-CN"/>
        </w:rPr>
        <w:t>将我县除110、119、120、122等紧急热线外的9个部门政务服务便民热线归并到“12345政务服务便民热线”统一受理。开设</w:t>
      </w:r>
      <w:r>
        <w:rPr>
          <w:rFonts w:hint="eastAsia" w:ascii="仿宋" w:hAnsi="仿宋" w:eastAsia="仿宋" w:cs="仿宋"/>
          <w:b w:val="0"/>
          <w:bCs w:val="0"/>
          <w:sz w:val="32"/>
          <w:szCs w:val="32"/>
          <w:lang w:val="en-US" w:eastAsia="zh-CN"/>
        </w:rPr>
        <w:t>市民</w:t>
      </w:r>
      <w:r>
        <w:rPr>
          <w:rFonts w:hint="eastAsia" w:ascii="仿宋" w:hAnsi="仿宋" w:eastAsia="仿宋" w:cs="仿宋"/>
          <w:b w:val="0"/>
          <w:bCs w:val="0"/>
          <w:sz w:val="32"/>
          <w:szCs w:val="32"/>
          <w:lang w:eastAsia="zh-CN"/>
        </w:rPr>
        <w:t>热线电话和信箱、</w:t>
      </w:r>
      <w:r>
        <w:rPr>
          <w:rFonts w:hint="eastAsia" w:ascii="仿宋" w:hAnsi="仿宋" w:eastAsia="仿宋" w:cs="仿宋"/>
          <w:b w:val="0"/>
          <w:bCs w:val="0"/>
          <w:sz w:val="32"/>
          <w:szCs w:val="32"/>
          <w:lang w:val="en-US" w:eastAsia="zh-CN"/>
        </w:rPr>
        <w:t>优化营商环境专线</w:t>
      </w:r>
      <w:r>
        <w:rPr>
          <w:rFonts w:hint="eastAsia" w:ascii="仿宋" w:hAnsi="仿宋" w:eastAsia="仿宋" w:cs="仿宋"/>
          <w:b w:val="0"/>
          <w:bCs w:val="0"/>
          <w:sz w:val="32"/>
          <w:szCs w:val="32"/>
          <w:lang w:eastAsia="zh-CN"/>
        </w:rPr>
        <w:t>，注重倾听企业民意，让企业既找得到市场，也找得到“县长”。至</w:t>
      </w:r>
      <w:r>
        <w:rPr>
          <w:rFonts w:hint="eastAsia" w:ascii="仿宋" w:hAnsi="仿宋" w:eastAsia="仿宋" w:cs="仿宋"/>
          <w:b w:val="0"/>
          <w:bCs w:val="0"/>
          <w:sz w:val="32"/>
          <w:szCs w:val="32"/>
          <w:lang w:val="en-US" w:eastAsia="zh-CN"/>
        </w:rPr>
        <w:t>2021</w:t>
      </w:r>
      <w:r>
        <w:rPr>
          <w:rFonts w:hint="eastAsia" w:ascii="仿宋" w:hAnsi="仿宋" w:eastAsia="仿宋" w:cs="仿宋"/>
          <w:b w:val="0"/>
          <w:bCs w:val="0"/>
          <w:sz w:val="32"/>
          <w:szCs w:val="32"/>
          <w:lang w:eastAsia="zh-CN"/>
        </w:rPr>
        <w:t>年</w:t>
      </w:r>
      <w:r>
        <w:rPr>
          <w:rFonts w:hint="eastAsia" w:ascii="仿宋" w:hAnsi="仿宋" w:eastAsia="仿宋" w:cs="仿宋"/>
          <w:b w:val="0"/>
          <w:bCs w:val="0"/>
          <w:sz w:val="32"/>
          <w:szCs w:val="32"/>
          <w:lang w:val="en-US" w:eastAsia="zh-CN"/>
        </w:rPr>
        <w:t>年</w:t>
      </w:r>
      <w:r>
        <w:rPr>
          <w:rFonts w:hint="eastAsia" w:ascii="仿宋" w:hAnsi="仿宋" w:eastAsia="仿宋" w:cs="仿宋"/>
          <w:b w:val="0"/>
          <w:bCs w:val="0"/>
          <w:sz w:val="32"/>
          <w:szCs w:val="32"/>
          <w:lang w:eastAsia="zh-CN"/>
        </w:rPr>
        <w:t>底，</w:t>
      </w:r>
      <w:r>
        <w:rPr>
          <w:rFonts w:hint="eastAsia" w:ascii="仿宋" w:hAnsi="仿宋" w:eastAsia="仿宋" w:cs="仿宋"/>
          <w:sz w:val="32"/>
          <w:szCs w:val="32"/>
        </w:rPr>
        <w:t>热线呼入总量13784个，话务接通总量13266个，接通率96.24%</w:t>
      </w:r>
      <w:r>
        <w:rPr>
          <w:rFonts w:hint="eastAsia" w:ascii="仿宋" w:hAnsi="仿宋" w:eastAsia="仿宋" w:cs="仿宋"/>
          <w:sz w:val="32"/>
          <w:szCs w:val="32"/>
          <w:lang w:eastAsia="zh-CN"/>
        </w:rPr>
        <w:t>，</w:t>
      </w:r>
      <w:r>
        <w:rPr>
          <w:rFonts w:hint="eastAsia" w:ascii="仿宋" w:hAnsi="仿宋" w:eastAsia="仿宋" w:cs="仿宋"/>
          <w:sz w:val="32"/>
          <w:szCs w:val="32"/>
        </w:rPr>
        <w:t>联动处置共受理工单1630件，办结工单1630件，</w:t>
      </w:r>
      <w:r>
        <w:rPr>
          <w:rFonts w:hint="eastAsia" w:ascii="仿宋" w:hAnsi="仿宋" w:eastAsia="仿宋" w:cs="仿宋"/>
          <w:b w:val="0"/>
          <w:bCs w:val="0"/>
          <w:sz w:val="32"/>
          <w:szCs w:val="32"/>
          <w:lang w:eastAsia="zh-CN"/>
        </w:rPr>
        <w:t>按时办结率100%，回访率100%，回访满意度100%，得到市场主体的广泛认可。</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Lines="0" w:line="520" w:lineRule="exact"/>
        <w:ind w:right="0" w:rightChars="0" w:firstLine="600" w:firstLineChars="200"/>
        <w:jc w:val="left"/>
        <w:textAlignment w:val="auto"/>
        <w:outlineLvl w:val="9"/>
        <w:rPr>
          <w:rFonts w:hint="eastAsia" w:ascii="仿宋" w:hAnsi="仿宋" w:eastAsia="仿宋" w:cs="仿宋"/>
          <w:b/>
          <w:bCs/>
          <w:color w:val="auto"/>
          <w:kern w:val="2"/>
          <w:sz w:val="32"/>
          <w:szCs w:val="32"/>
          <w:lang w:val="en-US" w:eastAsia="zh-CN" w:bidi="ar-SA"/>
        </w:rPr>
      </w:pPr>
      <w:r>
        <w:rPr>
          <w:rFonts w:hint="eastAsia" w:ascii="仿宋" w:hAnsi="仿宋" w:eastAsia="仿宋" w:cs="仿宋"/>
          <w:b w:val="0"/>
          <w:bCs w:val="0"/>
          <w:sz w:val="30"/>
          <w:szCs w:val="30"/>
          <w:lang w:val="en-US" w:eastAsia="zh-CN"/>
        </w:rPr>
        <w:t>5、</w:t>
      </w:r>
      <w:r>
        <w:rPr>
          <w:rFonts w:hint="eastAsia" w:ascii="仿宋" w:hAnsi="仿宋" w:eastAsia="仿宋" w:cs="仿宋"/>
          <w:b w:val="0"/>
          <w:bCs w:val="0"/>
          <w:sz w:val="32"/>
          <w:szCs w:val="32"/>
        </w:rPr>
        <w:t>推动“跨域通办”“一件事一次办”“三集中三到位”</w:t>
      </w:r>
      <w:r>
        <w:rPr>
          <w:rFonts w:hint="eastAsia" w:ascii="仿宋" w:hAnsi="仿宋" w:eastAsia="仿宋" w:cs="仿宋"/>
          <w:b w:val="0"/>
          <w:bCs w:val="0"/>
          <w:sz w:val="32"/>
          <w:szCs w:val="32"/>
          <w:lang w:val="en-US" w:eastAsia="zh-CN"/>
        </w:rPr>
        <w:t>无纸化办公等</w:t>
      </w:r>
      <w:r>
        <w:rPr>
          <w:rFonts w:hint="eastAsia" w:ascii="仿宋" w:hAnsi="仿宋" w:eastAsia="仿宋" w:cs="仿宋"/>
          <w:b w:val="0"/>
          <w:bCs w:val="0"/>
          <w:sz w:val="32"/>
          <w:szCs w:val="32"/>
        </w:rPr>
        <w:t>相关政策有效落实</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做好“互联网+政务服务”一体化平台</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协同办公系统</w:t>
      </w:r>
      <w:r>
        <w:rPr>
          <w:rFonts w:hint="eastAsia" w:ascii="仿宋" w:hAnsi="仿宋" w:eastAsia="仿宋" w:cs="仿宋"/>
          <w:b w:val="0"/>
          <w:bCs w:val="0"/>
          <w:sz w:val="32"/>
          <w:szCs w:val="32"/>
        </w:rPr>
        <w:t>服务端延伸工作，探索基层标准化建设</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规范人员管理。</w:t>
      </w:r>
      <w:r>
        <w:rPr>
          <w:rFonts w:hint="eastAsia" w:ascii="仿宋" w:hAnsi="仿宋" w:eastAsia="仿宋" w:cs="仿宋"/>
          <w:sz w:val="32"/>
          <w:szCs w:val="32"/>
        </w:rPr>
        <w:t>政务</w:t>
      </w:r>
      <w:r>
        <w:rPr>
          <w:rFonts w:hint="eastAsia" w:ascii="仿宋" w:hAnsi="仿宋" w:eastAsia="仿宋" w:cs="仿宋"/>
          <w:sz w:val="32"/>
          <w:szCs w:val="32"/>
          <w:lang w:val="en-US" w:eastAsia="zh-CN"/>
        </w:rPr>
        <w:t>服务</w:t>
      </w:r>
      <w:r>
        <w:rPr>
          <w:rFonts w:hint="eastAsia" w:ascii="仿宋" w:hAnsi="仿宋" w:eastAsia="仿宋" w:cs="仿宋"/>
          <w:sz w:val="32"/>
          <w:szCs w:val="32"/>
        </w:rPr>
        <w:t>中心组织窗口工作人员进行了业务培训、礼仪培训</w:t>
      </w:r>
      <w:r>
        <w:rPr>
          <w:rFonts w:hint="eastAsia" w:ascii="仿宋" w:hAnsi="仿宋" w:eastAsia="仿宋" w:cs="仿宋"/>
          <w:sz w:val="32"/>
          <w:szCs w:val="32"/>
          <w:lang w:eastAsia="zh-CN"/>
        </w:rPr>
        <w:t>。</w:t>
      </w:r>
      <w:r>
        <w:rPr>
          <w:rFonts w:hint="eastAsia" w:ascii="仿宋" w:hAnsi="仿宋" w:eastAsia="仿宋" w:cs="仿宋"/>
          <w:sz w:val="32"/>
          <w:szCs w:val="32"/>
        </w:rPr>
        <w:t>通过“红旗窗口”“服务明星”</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线上、线下“好差评”测评</w:t>
      </w:r>
      <w:r>
        <w:rPr>
          <w:rFonts w:hint="eastAsia" w:ascii="仿宋" w:hAnsi="仿宋" w:eastAsia="仿宋" w:cs="仿宋"/>
          <w:sz w:val="32"/>
          <w:szCs w:val="32"/>
        </w:rPr>
        <w:t>等活动</w:t>
      </w:r>
      <w:r>
        <w:rPr>
          <w:rFonts w:hint="eastAsia" w:ascii="仿宋" w:hAnsi="仿宋" w:eastAsia="仿宋" w:cs="仿宋"/>
          <w:sz w:val="32"/>
          <w:szCs w:val="32"/>
          <w:lang w:val="en-US" w:eastAsia="zh-CN"/>
        </w:rPr>
        <w:t>持续推动各单位</w:t>
      </w:r>
      <w:r>
        <w:rPr>
          <w:rFonts w:hint="eastAsia" w:ascii="仿宋" w:hAnsi="仿宋" w:eastAsia="仿宋" w:cs="仿宋"/>
          <w:sz w:val="32"/>
          <w:szCs w:val="32"/>
        </w:rPr>
        <w:t>服务建设</w:t>
      </w:r>
      <w:r>
        <w:rPr>
          <w:rFonts w:hint="eastAsia" w:ascii="仿宋" w:hAnsi="仿宋" w:eastAsia="仿宋" w:cs="仿宋"/>
          <w:sz w:val="32"/>
          <w:szCs w:val="32"/>
          <w:lang w:val="en-US" w:eastAsia="zh-CN"/>
        </w:rPr>
        <w:t>。2021年，</w:t>
      </w:r>
      <w:r>
        <w:rPr>
          <w:rFonts w:hint="eastAsia" w:ascii="仿宋" w:hAnsi="仿宋" w:eastAsia="仿宋" w:cs="仿宋"/>
          <w:sz w:val="32"/>
          <w:szCs w:val="32"/>
          <w:highlight w:val="none"/>
        </w:rPr>
        <w:t>政务服务事项</w:t>
      </w:r>
      <w:r>
        <w:rPr>
          <w:rFonts w:hint="eastAsia" w:ascii="仿宋" w:hAnsi="仿宋" w:eastAsia="仿宋" w:cs="仿宋"/>
          <w:sz w:val="32"/>
          <w:szCs w:val="32"/>
          <w:highlight w:val="none"/>
          <w:lang w:val="en-US" w:eastAsia="zh-CN"/>
        </w:rPr>
        <w:t>共</w:t>
      </w:r>
      <w:r>
        <w:rPr>
          <w:rFonts w:hint="eastAsia" w:ascii="仿宋" w:hAnsi="仿宋" w:eastAsia="仿宋" w:cs="仿宋"/>
          <w:sz w:val="32"/>
          <w:szCs w:val="32"/>
          <w:highlight w:val="none"/>
        </w:rPr>
        <w:t>受理316341件，办结315292件，办结率99.67%</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城乡网格化系统共</w:t>
      </w:r>
      <w:r>
        <w:rPr>
          <w:rFonts w:hint="eastAsia" w:ascii="仿宋" w:hAnsi="仿宋" w:eastAsia="仿宋" w:cs="仿宋"/>
          <w:sz w:val="32"/>
          <w:szCs w:val="32"/>
          <w:highlight w:val="none"/>
          <w:lang w:val="en-US" w:eastAsia="zh-CN"/>
        </w:rPr>
        <w:t>办理</w:t>
      </w:r>
      <w:r>
        <w:rPr>
          <w:rFonts w:hint="eastAsia" w:ascii="仿宋" w:hAnsi="仿宋" w:eastAsia="仿宋" w:cs="仿宋"/>
          <w:sz w:val="32"/>
          <w:szCs w:val="32"/>
          <w:highlight w:val="none"/>
        </w:rPr>
        <w:t>28817件，实现全县电子政务外网全覆盖</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全县</w:t>
      </w:r>
      <w:r>
        <w:rPr>
          <w:rFonts w:hint="eastAsia" w:ascii="仿宋" w:hAnsi="仿宋" w:eastAsia="仿宋" w:cs="仿宋"/>
          <w:sz w:val="32"/>
          <w:szCs w:val="32"/>
          <w:highlight w:val="none"/>
        </w:rPr>
        <w:t>政务服务</w:t>
      </w:r>
      <w:r>
        <w:rPr>
          <w:rFonts w:hint="eastAsia" w:ascii="仿宋" w:hAnsi="仿宋" w:eastAsia="仿宋" w:cs="仿宋"/>
          <w:sz w:val="32"/>
          <w:szCs w:val="32"/>
          <w:highlight w:val="none"/>
          <w:lang w:val="en-US" w:eastAsia="zh-CN"/>
        </w:rPr>
        <w:t>线上</w:t>
      </w:r>
      <w:r>
        <w:rPr>
          <w:rFonts w:hint="eastAsia" w:ascii="仿宋" w:hAnsi="仿宋" w:eastAsia="仿宋" w:cs="仿宋"/>
          <w:sz w:val="32"/>
          <w:szCs w:val="32"/>
          <w:highlight w:val="none"/>
        </w:rPr>
        <w:t>“好差评”综合得分</w:t>
      </w:r>
      <w:r>
        <w:rPr>
          <w:rFonts w:hint="eastAsia" w:ascii="仿宋" w:hAnsi="仿宋" w:eastAsia="仿宋" w:cs="仿宋"/>
          <w:sz w:val="32"/>
          <w:szCs w:val="32"/>
          <w:highlight w:val="none"/>
          <w:lang w:val="en-US" w:eastAsia="zh-CN"/>
        </w:rPr>
        <w:t>93.79</w:t>
      </w:r>
      <w:r>
        <w:rPr>
          <w:rFonts w:hint="eastAsia" w:ascii="仿宋" w:hAnsi="仿宋" w:eastAsia="仿宋" w:cs="仿宋"/>
          <w:sz w:val="32"/>
          <w:szCs w:val="32"/>
          <w:highlight w:val="none"/>
        </w:rPr>
        <w:t>，好评率100%，深得群众好评。</w:t>
      </w:r>
    </w:p>
    <w:p>
      <w:pPr>
        <w:keepNext w:val="0"/>
        <w:keepLines w:val="0"/>
        <w:pageBreakBefore w:val="0"/>
        <w:kinsoku/>
        <w:wordWrap/>
        <w:overflowPunct/>
        <w:topLinePunct w:val="0"/>
        <w:autoSpaceDE/>
        <w:autoSpaceDN/>
        <w:bidi w:val="0"/>
        <w:spacing w:beforeAutospacing="0" w:line="520" w:lineRule="exact"/>
        <w:ind w:firstLine="64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b/>
          <w:sz w:val="32"/>
          <w:szCs w:val="32"/>
        </w:rPr>
        <w:t>七、部门整体支出管理情况</w:t>
      </w:r>
    </w:p>
    <w:p>
      <w:pPr>
        <w:pStyle w:val="6"/>
        <w:keepNext w:val="0"/>
        <w:keepLines w:val="0"/>
        <w:pageBreakBefore w:val="0"/>
        <w:widowControl/>
        <w:suppressLineNumbers w:val="0"/>
        <w:kinsoku/>
        <w:wordWrap/>
        <w:overflowPunct/>
        <w:topLinePunct w:val="0"/>
        <w:autoSpaceDE/>
        <w:autoSpaceDN/>
        <w:bidi w:val="0"/>
        <w:spacing w:beforeAutospacing="0" w:after="0" w:afterAutospacing="0" w:line="520" w:lineRule="exact"/>
        <w:ind w:left="0"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1、</w:t>
      </w:r>
      <w:r>
        <w:rPr>
          <w:rFonts w:hint="eastAsia" w:ascii="仿宋" w:hAnsi="仿宋" w:eastAsia="仿宋" w:cs="仿宋"/>
          <w:sz w:val="30"/>
          <w:szCs w:val="30"/>
        </w:rPr>
        <w:t>加强综合预算管理，单位组织的各项收入全部纳入部门预算编制。继续加强人员经费管理，进一步规范公用经费安排。牢固树立“过紧日子”思想严格落实中央八项规定，坚持厉行节约，从严控制</w:t>
      </w:r>
      <w:r>
        <w:rPr>
          <w:rFonts w:hint="eastAsia" w:ascii="仿宋" w:hAnsi="仿宋" w:eastAsia="仿宋" w:cs="仿宋"/>
          <w:sz w:val="30"/>
          <w:szCs w:val="30"/>
          <w:lang w:eastAsia="zh-CN"/>
        </w:rPr>
        <w:t>“三公”经费</w:t>
      </w:r>
      <w:r>
        <w:rPr>
          <w:rFonts w:hint="eastAsia" w:ascii="仿宋" w:hAnsi="仿宋" w:eastAsia="仿宋" w:cs="仿宋"/>
          <w:sz w:val="30"/>
          <w:szCs w:val="30"/>
        </w:rPr>
        <w:t>、会议费、培训费等一般性支出，努力降低行政运行成本，达到了年初制定目标数。</w:t>
      </w:r>
    </w:p>
    <w:p>
      <w:pPr>
        <w:pStyle w:val="6"/>
        <w:keepNext w:val="0"/>
        <w:keepLines w:val="0"/>
        <w:pageBreakBefore w:val="0"/>
        <w:widowControl/>
        <w:suppressLineNumbers w:val="0"/>
        <w:kinsoku/>
        <w:wordWrap/>
        <w:overflowPunct/>
        <w:topLinePunct w:val="0"/>
        <w:autoSpaceDE/>
        <w:autoSpaceDN/>
        <w:bidi w:val="0"/>
        <w:spacing w:beforeAutospacing="0" w:after="0" w:afterAutospacing="0" w:line="520" w:lineRule="exact"/>
        <w:ind w:left="0"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加强监督检查</w:t>
      </w:r>
      <w:r>
        <w:rPr>
          <w:rFonts w:hint="eastAsia" w:ascii="仿宋" w:hAnsi="仿宋" w:eastAsia="仿宋" w:cs="仿宋"/>
          <w:sz w:val="30"/>
          <w:szCs w:val="30"/>
          <w:lang w:eastAsia="zh-CN"/>
        </w:rPr>
        <w:t>。</w:t>
      </w:r>
      <w:r>
        <w:rPr>
          <w:rFonts w:hint="eastAsia" w:ascii="仿宋" w:hAnsi="仿宋" w:eastAsia="仿宋" w:cs="仿宋"/>
          <w:sz w:val="30"/>
          <w:szCs w:val="30"/>
        </w:rPr>
        <w:t>严格落实中央八项规定，坚持厉行节约，从严控制</w:t>
      </w:r>
      <w:r>
        <w:rPr>
          <w:rFonts w:hint="eastAsia" w:ascii="仿宋" w:hAnsi="仿宋" w:eastAsia="仿宋" w:cs="仿宋"/>
          <w:sz w:val="30"/>
          <w:szCs w:val="30"/>
          <w:lang w:eastAsia="zh-CN"/>
        </w:rPr>
        <w:t>“三公”经费</w:t>
      </w:r>
      <w:r>
        <w:rPr>
          <w:rFonts w:hint="eastAsia" w:ascii="仿宋" w:hAnsi="仿宋" w:eastAsia="仿宋" w:cs="仿宋"/>
          <w:sz w:val="30"/>
          <w:szCs w:val="30"/>
        </w:rPr>
        <w:t>、会议费、培训费等一般性支出主要包括管理制度的建设、执行，日常检查监督管理等情况。将专项资金管理纳入年度工作重点考核项目，组织财务、监察、业务部门开展专项审计和财务检查，及时纠正资金使用中的不规范行为，促进各部门提高专顼资金使用效益。</w:t>
      </w:r>
    </w:p>
    <w:p>
      <w:pPr>
        <w:keepNext w:val="0"/>
        <w:keepLines w:val="0"/>
        <w:pageBreakBefore w:val="0"/>
        <w:kinsoku/>
        <w:wordWrap/>
        <w:overflowPunct/>
        <w:topLinePunct w:val="0"/>
        <w:autoSpaceDE/>
        <w:autoSpaceDN/>
        <w:bidi w:val="0"/>
        <w:adjustRightInd w:val="0"/>
        <w:snapToGrid w:val="0"/>
        <w:spacing w:beforeAutospacing="0" w:line="520" w:lineRule="exact"/>
        <w:ind w:firstLine="640" w:firstLineChars="200"/>
        <w:jc w:val="left"/>
        <w:textAlignment w:val="auto"/>
        <w:rPr>
          <w:rFonts w:hint="eastAsia" w:ascii="仿宋" w:hAnsi="仿宋" w:eastAsia="仿宋" w:cs="仿宋"/>
          <w:b/>
          <w:sz w:val="32"/>
          <w:szCs w:val="32"/>
        </w:rPr>
      </w:pPr>
      <w:r>
        <w:rPr>
          <w:rFonts w:hint="eastAsia" w:ascii="仿宋" w:hAnsi="仿宋" w:eastAsia="仿宋" w:cs="仿宋"/>
          <w:b/>
          <w:sz w:val="32"/>
          <w:szCs w:val="32"/>
        </w:rPr>
        <w:t>八、存在的主要问题</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20" w:lineRule="exact"/>
        <w:ind w:left="0" w:firstLine="640" w:firstLineChars="200"/>
        <w:jc w:val="left"/>
        <w:textAlignment w:val="auto"/>
        <w:rPr>
          <w:rFonts w:hint="eastAsia" w:ascii="仿宋" w:hAnsi="仿宋" w:eastAsia="仿宋" w:cs="仿宋"/>
          <w:sz w:val="30"/>
          <w:szCs w:val="30"/>
          <w:lang w:eastAsia="zh-CN"/>
        </w:rPr>
      </w:pPr>
      <w:r>
        <w:rPr>
          <w:rFonts w:hint="eastAsia" w:ascii="仿宋" w:hAnsi="仿宋" w:eastAsia="仿宋" w:cs="仿宋"/>
          <w:spacing w:val="0"/>
          <w:w w:val="100"/>
          <w:position w:val="0"/>
          <w:sz w:val="32"/>
          <w:szCs w:val="32"/>
          <w:shd w:val="clear" w:color="auto" w:fill="auto"/>
          <w:lang w:val="en-US" w:eastAsia="zh-CN"/>
        </w:rPr>
        <w:t>1、</w:t>
      </w:r>
      <w:r>
        <w:rPr>
          <w:rFonts w:hint="eastAsia" w:ascii="仿宋" w:hAnsi="仿宋" w:eastAsia="仿宋" w:cs="仿宋"/>
          <w:spacing w:val="0"/>
          <w:w w:val="100"/>
          <w:position w:val="0"/>
          <w:sz w:val="32"/>
          <w:szCs w:val="32"/>
          <w:shd w:val="clear" w:color="auto" w:fill="auto"/>
        </w:rPr>
        <w:t>无专业会计人员</w:t>
      </w:r>
      <w:r>
        <w:rPr>
          <w:rFonts w:hint="eastAsia" w:ascii="仿宋" w:hAnsi="仿宋" w:eastAsia="仿宋" w:cs="仿宋"/>
          <w:spacing w:val="0"/>
          <w:w w:val="100"/>
          <w:position w:val="0"/>
          <w:sz w:val="32"/>
          <w:szCs w:val="32"/>
          <w:shd w:val="clear" w:color="auto" w:fill="auto"/>
          <w:lang w:eastAsia="zh-CN"/>
        </w:rPr>
        <w:t>导致</w:t>
      </w:r>
      <w:r>
        <w:rPr>
          <w:rFonts w:hint="eastAsia" w:ascii="仿宋" w:hAnsi="仿宋" w:eastAsia="仿宋" w:cs="仿宋"/>
          <w:sz w:val="31"/>
          <w:szCs w:val="31"/>
        </w:rPr>
        <w:t>财务工作人员对部分政策掌握不够、实践应用不熟练</w:t>
      </w:r>
      <w:r>
        <w:rPr>
          <w:rFonts w:hint="eastAsia" w:ascii="仿宋" w:hAnsi="仿宋" w:eastAsia="仿宋" w:cs="仿宋"/>
          <w:sz w:val="31"/>
          <w:szCs w:val="31"/>
          <w:lang w:eastAsia="zh-CN"/>
        </w:rPr>
        <w:t>。</w:t>
      </w:r>
    </w:p>
    <w:p>
      <w:pPr>
        <w:pStyle w:val="15"/>
        <w:keepNext w:val="0"/>
        <w:keepLines w:val="0"/>
        <w:pageBreakBefore w:val="0"/>
        <w:widowControl w:val="0"/>
        <w:numPr>
          <w:ilvl w:val="0"/>
          <w:numId w:val="0"/>
        </w:numPr>
        <w:shd w:val="clear" w:color="auto" w:fill="auto"/>
        <w:kinsoku/>
        <w:wordWrap/>
        <w:overflowPunct/>
        <w:topLinePunct w:val="0"/>
        <w:autoSpaceDE/>
        <w:autoSpaceDN/>
        <w:bidi w:val="0"/>
        <w:spacing w:before="0" w:beforeAutospacing="0" w:line="520" w:lineRule="exact"/>
        <w:ind w:right="0" w:rightChars="0" w:firstLine="600" w:firstLineChars="200"/>
        <w:jc w:val="left"/>
        <w:textAlignment w:val="auto"/>
        <w:rPr>
          <w:rFonts w:hint="eastAsia" w:ascii="仿宋" w:hAnsi="仿宋" w:eastAsia="仿宋" w:cs="仿宋"/>
          <w:sz w:val="32"/>
          <w:szCs w:val="32"/>
        </w:rPr>
      </w:pPr>
      <w:r>
        <w:rPr>
          <w:rFonts w:hint="eastAsia" w:ascii="仿宋" w:hAnsi="仿宋" w:eastAsia="仿宋" w:cs="仿宋"/>
          <w:b w:val="0"/>
          <w:bCs w:val="0"/>
          <w:sz w:val="30"/>
          <w:szCs w:val="30"/>
          <w:lang w:val="en-US" w:eastAsia="zh-CN"/>
        </w:rPr>
        <w:t>2、内</w:t>
      </w:r>
      <w:r>
        <w:rPr>
          <w:rFonts w:hint="eastAsia" w:ascii="仿宋" w:hAnsi="仿宋" w:eastAsia="仿宋" w:cs="仿宋"/>
          <w:b w:val="0"/>
          <w:bCs w:val="0"/>
          <w:spacing w:val="0"/>
          <w:w w:val="100"/>
          <w:position w:val="0"/>
          <w:sz w:val="32"/>
          <w:szCs w:val="32"/>
          <w:shd w:val="clear" w:color="auto" w:fill="auto"/>
        </w:rPr>
        <w:t>控制度不健全，合同管理制度缺失。</w:t>
      </w:r>
    </w:p>
    <w:p>
      <w:pPr>
        <w:keepNext w:val="0"/>
        <w:keepLines w:val="0"/>
        <w:pageBreakBefore w:val="0"/>
        <w:kinsoku/>
        <w:wordWrap/>
        <w:overflowPunct/>
        <w:topLinePunct w:val="0"/>
        <w:autoSpaceDE/>
        <w:autoSpaceDN/>
        <w:bidi w:val="0"/>
        <w:adjustRightInd w:val="0"/>
        <w:snapToGrid w:val="0"/>
        <w:spacing w:beforeAutospacing="0" w:line="520" w:lineRule="exact"/>
        <w:ind w:firstLine="640" w:firstLineChars="200"/>
        <w:jc w:val="left"/>
        <w:textAlignment w:val="auto"/>
        <w:rPr>
          <w:rFonts w:hint="eastAsia" w:ascii="仿宋" w:hAnsi="仿宋" w:eastAsia="仿宋" w:cs="仿宋"/>
          <w:b/>
          <w:sz w:val="32"/>
          <w:szCs w:val="32"/>
        </w:rPr>
      </w:pPr>
      <w:r>
        <w:rPr>
          <w:rFonts w:hint="eastAsia" w:ascii="仿宋" w:hAnsi="仿宋" w:eastAsia="仿宋" w:cs="仿宋"/>
          <w:b/>
          <w:sz w:val="32"/>
          <w:szCs w:val="32"/>
        </w:rPr>
        <w:t>九、下一步改进措施和有关建议</w:t>
      </w:r>
    </w:p>
    <w:p>
      <w:pPr>
        <w:keepNext w:val="0"/>
        <w:keepLines w:val="0"/>
        <w:pageBreakBefore w:val="0"/>
        <w:kinsoku/>
        <w:wordWrap/>
        <w:overflowPunct/>
        <w:topLinePunct w:val="0"/>
        <w:autoSpaceDE/>
        <w:autoSpaceDN/>
        <w:bidi w:val="0"/>
        <w:spacing w:beforeAutospacing="0" w:line="52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规范账务处理，提高财务</w:t>
      </w:r>
      <w:r>
        <w:rPr>
          <w:rFonts w:hint="eastAsia" w:ascii="仿宋" w:hAnsi="仿宋" w:eastAsia="仿宋" w:cs="仿宋"/>
          <w:sz w:val="32"/>
          <w:szCs w:val="32"/>
          <w:lang w:eastAsia="zh-CN"/>
        </w:rPr>
        <w:t>工作</w:t>
      </w:r>
      <w:r>
        <w:rPr>
          <w:rFonts w:hint="eastAsia" w:ascii="仿宋" w:hAnsi="仿宋" w:eastAsia="仿宋" w:cs="仿宋"/>
          <w:sz w:val="32"/>
          <w:szCs w:val="32"/>
        </w:rPr>
        <w:t>质量。严格按照《会计法》、《行政单位会计制度》、《行政单位财务规则》等规定执行财务核算，并结合实际情况，完整、准确地披露相关信息，做到决算与预算相衔接。</w:t>
      </w:r>
    </w:p>
    <w:p>
      <w:pPr>
        <w:keepNext w:val="0"/>
        <w:keepLines w:val="0"/>
        <w:pageBreakBefore w:val="0"/>
        <w:kinsoku/>
        <w:wordWrap/>
        <w:overflowPunct/>
        <w:topLinePunct w:val="0"/>
        <w:autoSpaceDE/>
        <w:autoSpaceDN/>
        <w:bidi w:val="0"/>
        <w:spacing w:beforeAutospacing="0" w:line="52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color w:val="000000"/>
          <w:spacing w:val="0"/>
          <w:w w:val="100"/>
          <w:position w:val="0"/>
          <w:sz w:val="32"/>
          <w:szCs w:val="32"/>
          <w:shd w:val="clear" w:color="auto" w:fill="auto"/>
        </w:rPr>
        <w:t>健全完善内控制度，严格落实规章管理制度，在内控制度中应根据国家有关规定建立健全单位各项内部管理制度并督促相关工作人员认真执行。</w:t>
      </w:r>
    </w:p>
    <w:p>
      <w:pPr>
        <w:keepNext w:val="0"/>
        <w:keepLines w:val="0"/>
        <w:pageBreakBefore w:val="0"/>
        <w:kinsoku/>
        <w:wordWrap/>
        <w:overflowPunct/>
        <w:topLinePunct w:val="0"/>
        <w:autoSpaceDE/>
        <w:autoSpaceDN/>
        <w:bidi w:val="0"/>
        <w:adjustRightInd w:val="0"/>
        <w:snapToGrid w:val="0"/>
        <w:spacing w:beforeAutospacing="0" w:line="520" w:lineRule="exact"/>
        <w:ind w:firstLine="600" w:firstLineChars="200"/>
        <w:jc w:val="left"/>
        <w:textAlignment w:val="auto"/>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3、</w:t>
      </w:r>
      <w:r>
        <w:rPr>
          <w:rFonts w:hint="eastAsia" w:ascii="仿宋" w:hAnsi="仿宋" w:eastAsia="仿宋" w:cs="仿宋"/>
          <w:b w:val="0"/>
          <w:i w:val="0"/>
          <w:caps w:val="0"/>
          <w:color w:val="000000"/>
          <w:spacing w:val="0"/>
          <w:sz w:val="30"/>
          <w:szCs w:val="30"/>
        </w:rPr>
        <w:t>加强队伍建设，抓好绩效评价管理部门的队伍建设和业务指导，培养部门的绩效管理队伍，建立绩效评价的长期机制</w:t>
      </w:r>
      <w:r>
        <w:rPr>
          <w:rFonts w:hint="eastAsia" w:ascii="仿宋" w:hAnsi="仿宋" w:eastAsia="仿宋" w:cs="仿宋"/>
          <w:sz w:val="30"/>
          <w:szCs w:val="30"/>
          <w:lang w:eastAsia="zh-CN"/>
        </w:rPr>
        <w:t>。</w:t>
      </w:r>
    </w:p>
    <w:p>
      <w:pPr>
        <w:keepNext w:val="0"/>
        <w:keepLines w:val="0"/>
        <w:pageBreakBefore w:val="0"/>
        <w:kinsoku/>
        <w:wordWrap/>
        <w:overflowPunct/>
        <w:topLinePunct w:val="0"/>
        <w:autoSpaceDE/>
        <w:autoSpaceDN/>
        <w:bidi w:val="0"/>
        <w:adjustRightInd w:val="0"/>
        <w:snapToGrid w:val="0"/>
        <w:spacing w:beforeAutospacing="0" w:line="520" w:lineRule="exact"/>
        <w:ind w:firstLine="600" w:firstLineChars="200"/>
        <w:jc w:val="left"/>
        <w:textAlignment w:val="auto"/>
        <w:rPr>
          <w:rFonts w:hint="eastAsia" w:ascii="仿宋" w:hAnsi="仿宋" w:eastAsia="仿宋" w:cs="仿宋"/>
          <w:sz w:val="30"/>
          <w:szCs w:val="30"/>
        </w:rPr>
      </w:pPr>
    </w:p>
    <w:p>
      <w:pPr>
        <w:keepNext w:val="0"/>
        <w:keepLines w:val="0"/>
        <w:pageBreakBefore w:val="0"/>
        <w:kinsoku/>
        <w:wordWrap/>
        <w:overflowPunct/>
        <w:topLinePunct w:val="0"/>
        <w:autoSpaceDE/>
        <w:autoSpaceDN/>
        <w:bidi w:val="0"/>
        <w:adjustRightInd w:val="0"/>
        <w:snapToGrid w:val="0"/>
        <w:spacing w:beforeAutospacing="0"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                                                                </w:t>
      </w:r>
    </w:p>
    <w:p>
      <w:pPr>
        <w:pStyle w:val="6"/>
        <w:keepNext w:val="0"/>
        <w:keepLines w:val="0"/>
        <w:pageBreakBefore w:val="0"/>
        <w:widowControl/>
        <w:suppressLineNumbers w:val="0"/>
        <w:kinsoku/>
        <w:wordWrap/>
        <w:overflowPunct/>
        <w:topLinePunct w:val="0"/>
        <w:autoSpaceDE/>
        <w:autoSpaceDN/>
        <w:bidi w:val="0"/>
        <w:spacing w:beforeAutospacing="0" w:after="0" w:afterAutospacing="0" w:line="520" w:lineRule="exact"/>
        <w:ind w:firstLine="480" w:firstLineChars="200"/>
        <w:jc w:val="left"/>
        <w:textAlignment w:val="auto"/>
        <w:rPr>
          <w:rFonts w:hint="eastAsia" w:ascii="仿宋" w:hAnsi="仿宋" w:eastAsia="仿宋" w:cs="仿宋"/>
          <w:lang w:val="en-US" w:eastAsia="zh-CN"/>
        </w:rPr>
      </w:pPr>
    </w:p>
    <w:p>
      <w:pPr>
        <w:keepNext w:val="0"/>
        <w:keepLines w:val="0"/>
        <w:pageBreakBefore w:val="0"/>
        <w:kinsoku/>
        <w:wordWrap/>
        <w:overflowPunct/>
        <w:topLinePunct w:val="0"/>
        <w:autoSpaceDE/>
        <w:autoSpaceDN/>
        <w:bidi w:val="0"/>
        <w:spacing w:beforeAutospacing="0" w:line="520" w:lineRule="exact"/>
        <w:jc w:val="left"/>
        <w:textAlignment w:val="auto"/>
        <w:rPr>
          <w:rFonts w:hint="eastAsia" w:ascii="仿宋" w:hAnsi="仿宋" w:eastAsia="仿宋" w:cs="仿宋"/>
        </w:rPr>
      </w:pPr>
    </w:p>
    <w:p>
      <w:pPr>
        <w:ind w:firstLine="640" w:firstLineChars="200"/>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方正小标宋_GBK">
    <w:altName w:val="微软雅黑"/>
    <w:panose1 w:val="03000509000000000000"/>
    <w:charset w:val="86"/>
    <w:family w:val="script"/>
    <w:pitch w:val="default"/>
    <w:sig w:usb0="00000000" w:usb1="00000000" w:usb2="00000000" w:usb3="00000000" w:csb0="00040000" w:csb1="00000000"/>
  </w:font>
  <w:font w:name="Malgun Gothic Semilight">
    <w:altName w:val="宋体"/>
    <w:panose1 w:val="020B0502040204020203"/>
    <w:charset w:val="86"/>
    <w:family w:val="swiss"/>
    <w:pitch w:val="default"/>
    <w:sig w:usb0="00000000" w:usb1="00000000" w:usb2="00000012" w:usb3="00000000" w:csb0="203E01BD" w:csb1="D7FF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A0000287" w:usb1="28C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7CCEC62"/>
    <w:multiLevelType w:val="singleLevel"/>
    <w:tmpl w:val="57CCEC62"/>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5NjRkZTdmYjJkMDA0ZGEzZTNmNTU5ZjY1MmM5MGMifQ=="/>
  </w:docVars>
  <w:rsids>
    <w:rsidRoot w:val="004506F9"/>
    <w:rsid w:val="0002229B"/>
    <w:rsid w:val="000273BD"/>
    <w:rsid w:val="000415B7"/>
    <w:rsid w:val="00041E3F"/>
    <w:rsid w:val="00055DAA"/>
    <w:rsid w:val="00061F7B"/>
    <w:rsid w:val="000658A3"/>
    <w:rsid w:val="00074155"/>
    <w:rsid w:val="000873EF"/>
    <w:rsid w:val="000A3F69"/>
    <w:rsid w:val="00103957"/>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CE7CBC"/>
    <w:rsid w:val="00D148C6"/>
    <w:rsid w:val="00D17A8A"/>
    <w:rsid w:val="00D415BA"/>
    <w:rsid w:val="00D63780"/>
    <w:rsid w:val="00D644EE"/>
    <w:rsid w:val="00D75489"/>
    <w:rsid w:val="00DD06FF"/>
    <w:rsid w:val="00DD5FE9"/>
    <w:rsid w:val="00E00C7A"/>
    <w:rsid w:val="00E209CF"/>
    <w:rsid w:val="00E37D6C"/>
    <w:rsid w:val="00E55B68"/>
    <w:rsid w:val="00E67BE6"/>
    <w:rsid w:val="00E8683C"/>
    <w:rsid w:val="00EA2B72"/>
    <w:rsid w:val="00F74360"/>
    <w:rsid w:val="00FB462F"/>
    <w:rsid w:val="00FE16FA"/>
    <w:rsid w:val="00FE328A"/>
    <w:rsid w:val="00FE6269"/>
    <w:rsid w:val="00FF5CD6"/>
    <w:rsid w:val="0D041D22"/>
    <w:rsid w:val="17830730"/>
    <w:rsid w:val="1970288B"/>
    <w:rsid w:val="197723E1"/>
    <w:rsid w:val="1BF92D97"/>
    <w:rsid w:val="1C063A19"/>
    <w:rsid w:val="1C430C6D"/>
    <w:rsid w:val="240D10DB"/>
    <w:rsid w:val="2455194A"/>
    <w:rsid w:val="3C1C083A"/>
    <w:rsid w:val="4D4F7E39"/>
    <w:rsid w:val="57A03813"/>
    <w:rsid w:val="69AC1575"/>
    <w:rsid w:val="6C172D01"/>
    <w:rsid w:val="6E4E7759"/>
    <w:rsid w:val="777B7730"/>
    <w:rsid w:val="7AAB09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customStyle="1" w:styleId="10">
    <w:name w:val="页眉 Char"/>
    <w:basedOn w:val="7"/>
    <w:link w:val="5"/>
    <w:qFormat/>
    <w:uiPriority w:val="99"/>
    <w:rPr>
      <w:sz w:val="18"/>
      <w:szCs w:val="18"/>
    </w:rPr>
  </w:style>
  <w:style w:type="character" w:customStyle="1" w:styleId="11">
    <w:name w:val="页脚 Char"/>
    <w:basedOn w:val="7"/>
    <w:link w:val="4"/>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7"/>
    <w:link w:val="3"/>
    <w:semiHidden/>
    <w:qFormat/>
    <w:uiPriority w:val="99"/>
    <w:rPr>
      <w:sz w:val="18"/>
      <w:szCs w:val="18"/>
    </w:rPr>
  </w:style>
  <w:style w:type="paragraph" w:customStyle="1" w:styleId="15">
    <w:name w:val="正文文本1"/>
    <w:basedOn w:val="1"/>
    <w:qFormat/>
    <w:uiPriority w:val="0"/>
    <w:pPr>
      <w:widowControl w:val="0"/>
      <w:shd w:val="clear" w:color="auto" w:fill="FFFFFF"/>
      <w:spacing w:line="463" w:lineRule="auto"/>
      <w:ind w:firstLine="400"/>
    </w:pPr>
    <w:rPr>
      <w:rFonts w:ascii="宋体" w:hAnsi="宋体" w:eastAsia="宋体" w:cs="宋体"/>
      <w:color w:val="1E1D22"/>
      <w:sz w:val="28"/>
      <w:szCs w:val="28"/>
      <w:u w:val="none"/>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480904-B2FB-4FE3-894F-42F14B17BC5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1452</Words>
  <Characters>8281</Characters>
  <Lines>69</Lines>
  <Paragraphs>19</Paragraphs>
  <TotalTime>6</TotalTime>
  <ScaleCrop>false</ScaleCrop>
  <LinksUpToDate>false</LinksUpToDate>
  <CharactersWithSpaces>9714</CharactersWithSpaces>
  <Application>WPS Office_10.8.2.6613_F1E327BC-269C-435d-A152-05C5408002CA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Administrator</cp:lastModifiedBy>
  <cp:lastPrinted>2022-07-27T12:55:00Z</cp:lastPrinted>
  <dcterms:modified xsi:type="dcterms:W3CDTF">2025-11-24T07:26:38Z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y fmtid="{D5CDD505-2E9C-101B-9397-08002B2CF9AE}" pid="3" name="ICV">
    <vt:lpwstr>42BE714FEFFF4C61A54A1CEED5DBDE34_13</vt:lpwstr>
  </property>
</Properties>
</file>