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0" w:after="0" w:line="600" w:lineRule="auto"/>
        <w:ind w:left="0" w:right="0" w:firstLine="0"/>
        <w:jc w:val="center"/>
        <w:rPr>
          <w:rFonts w:ascii="Times New Roman" w:hAnsi="Times New Roman" w:eastAsia="Times New Roman" w:cs="Times New Roman"/>
          <w:b/>
          <w:bCs/>
          <w:color w:val="auto"/>
          <w:spacing w:val="0"/>
          <w:position w:val="0"/>
          <w:sz w:val="44"/>
          <w:szCs w:val="44"/>
          <w:shd w:val="clear" w:color="060000" w:fill="auto"/>
        </w:rPr>
      </w:pPr>
      <w:r>
        <w:rPr>
          <w:rFonts w:ascii="Times New Roman" w:hAnsi="Times New Roman" w:eastAsia="Times New Roman" w:cs="Times New Roman"/>
          <w:b/>
          <w:bCs/>
          <w:color w:val="auto"/>
          <w:spacing w:val="0"/>
          <w:position w:val="0"/>
          <w:sz w:val="44"/>
          <w:szCs w:val="44"/>
          <w:shd w:val="clear" w:color="060000" w:fill="auto"/>
        </w:rPr>
        <w:t>202</w:t>
      </w:r>
      <w:r>
        <w:rPr>
          <w:rFonts w:hint="eastAsia" w:ascii="Times New Roman" w:hAnsi="Times New Roman" w:cs="Times New Roman"/>
          <w:b/>
          <w:bCs/>
          <w:color w:val="auto"/>
          <w:spacing w:val="0"/>
          <w:position w:val="0"/>
          <w:sz w:val="44"/>
          <w:szCs w:val="44"/>
          <w:shd w:val="clear" w:color="060000" w:fill="auto"/>
          <w:lang w:val="en-US" w:eastAsia="zh-CN"/>
        </w:rPr>
        <w:t>1</w:t>
      </w:r>
      <w:r>
        <w:rPr>
          <w:rFonts w:ascii="宋体" w:hAnsi="宋体" w:eastAsia="宋体" w:cs="宋体"/>
          <w:b/>
          <w:bCs/>
          <w:color w:val="auto"/>
          <w:spacing w:val="0"/>
          <w:position w:val="0"/>
          <w:sz w:val="44"/>
          <w:szCs w:val="44"/>
          <w:shd w:val="clear" w:color="060000" w:fill="auto"/>
        </w:rPr>
        <w:t>年度道县</w:t>
      </w:r>
      <w:r>
        <w:rPr>
          <w:rFonts w:hint="eastAsia" w:ascii="宋体" w:hAnsi="宋体" w:cs="宋体"/>
          <w:b/>
          <w:bCs/>
          <w:color w:val="auto"/>
          <w:spacing w:val="0"/>
          <w:position w:val="0"/>
          <w:sz w:val="44"/>
          <w:szCs w:val="44"/>
          <w:shd w:val="clear" w:color="060000" w:fill="auto"/>
          <w:lang w:val="en-US" w:eastAsia="zh-CN"/>
        </w:rPr>
        <w:t>文学</w:t>
      </w:r>
      <w:bookmarkStart w:id="1" w:name="_GoBack"/>
      <w:bookmarkEnd w:id="1"/>
      <w:r>
        <w:rPr>
          <w:rFonts w:hint="eastAsia" w:ascii="宋体" w:hAnsi="宋体" w:cs="宋体"/>
          <w:b/>
          <w:bCs/>
          <w:color w:val="auto"/>
          <w:spacing w:val="0"/>
          <w:position w:val="0"/>
          <w:sz w:val="44"/>
          <w:szCs w:val="44"/>
          <w:shd w:val="clear" w:color="060000" w:fill="auto"/>
          <w:lang w:val="en-US" w:eastAsia="zh-CN"/>
        </w:rPr>
        <w:t>艺术界联合会</w:t>
      </w:r>
      <w:r>
        <w:rPr>
          <w:rFonts w:ascii="宋体" w:hAnsi="宋体" w:eastAsia="宋体" w:cs="宋体"/>
          <w:b/>
          <w:bCs/>
          <w:color w:val="auto"/>
          <w:spacing w:val="0"/>
          <w:position w:val="0"/>
          <w:sz w:val="44"/>
          <w:szCs w:val="44"/>
          <w:shd w:val="clear" w:color="060000" w:fill="auto"/>
        </w:rPr>
        <w:t>整体支出绩效评价报告</w:t>
      </w:r>
    </w:p>
    <w:p>
      <w:pPr>
        <w:spacing w:before="0" w:after="0" w:line="600" w:lineRule="auto"/>
        <w:ind w:left="0" w:right="0" w:firstLine="0"/>
        <w:jc w:val="both"/>
        <w:rPr>
          <w:rFonts w:ascii="Times New Roman" w:hAnsi="Times New Roman" w:eastAsia="Times New Roman" w:cs="Times New Roman"/>
          <w:color w:val="auto"/>
          <w:spacing w:val="0"/>
          <w:position w:val="0"/>
          <w:sz w:val="48"/>
          <w:shd w:val="clear" w:color="050000" w:fill="auto"/>
        </w:rPr>
      </w:pPr>
    </w:p>
    <w:p>
      <w:pPr>
        <w:numPr>
          <w:ilvl w:val="0"/>
          <w:numId w:val="1"/>
        </w:numPr>
        <w:spacing w:before="0" w:after="0" w:line="600" w:lineRule="auto"/>
        <w:ind w:left="0" w:right="0" w:firstLine="640"/>
        <w:jc w:val="both"/>
        <w:rPr>
          <w:rFonts w:ascii="宋体" w:hAnsi="宋体" w:eastAsia="宋体" w:cs="宋体"/>
          <w:b/>
          <w:bCs/>
          <w:color w:val="auto"/>
          <w:spacing w:val="0"/>
          <w:position w:val="0"/>
          <w:sz w:val="32"/>
          <w:szCs w:val="32"/>
          <w:shd w:val="clear" w:color="060000" w:fill="auto"/>
        </w:rPr>
      </w:pPr>
      <w:r>
        <w:rPr>
          <w:rFonts w:ascii="宋体" w:hAnsi="宋体" w:eastAsia="宋体" w:cs="宋体"/>
          <w:b/>
          <w:bCs/>
          <w:color w:val="auto"/>
          <w:spacing w:val="0"/>
          <w:position w:val="0"/>
          <w:sz w:val="32"/>
          <w:szCs w:val="32"/>
          <w:shd w:val="clear" w:color="060000" w:fill="auto"/>
        </w:rPr>
        <w:t>部门概况</w:t>
      </w:r>
    </w:p>
    <w:p>
      <w:pPr>
        <w:widowControl/>
        <w:spacing w:line="600" w:lineRule="exact"/>
        <w:ind w:firstLine="643" w:firstLineChars="200"/>
        <w:rPr>
          <w:rFonts w:hint="eastAsia" w:ascii="宋体" w:hAnsi="宋体"/>
          <w:b/>
          <w:kern w:val="0"/>
          <w:sz w:val="32"/>
          <w:szCs w:val="32"/>
        </w:rPr>
      </w:pPr>
      <w:r>
        <w:rPr>
          <w:rFonts w:hint="eastAsia" w:ascii="宋体" w:hAnsi="宋体"/>
          <w:b/>
          <w:sz w:val="32"/>
          <w:szCs w:val="32"/>
        </w:rPr>
        <w:t>（一）</w:t>
      </w:r>
      <w:r>
        <w:rPr>
          <w:rFonts w:hint="eastAsia" w:ascii="宋体" w:hAnsi="宋体"/>
          <w:b/>
          <w:kern w:val="0"/>
          <w:sz w:val="32"/>
          <w:szCs w:val="32"/>
        </w:rPr>
        <w:t>部门</w:t>
      </w:r>
      <w:r>
        <w:rPr>
          <w:rFonts w:hint="eastAsia" w:ascii="宋体" w:hAnsi="宋体"/>
          <w:b/>
          <w:kern w:val="0"/>
          <w:sz w:val="32"/>
          <w:szCs w:val="32"/>
          <w:lang w:eastAsia="zh-CN"/>
        </w:rPr>
        <w:t>基本情况</w:t>
      </w:r>
    </w:p>
    <w:p>
      <w:pPr>
        <w:widowControl/>
        <w:spacing w:line="600" w:lineRule="exact"/>
        <w:ind w:firstLine="588" w:firstLineChars="196"/>
        <w:jc w:val="left"/>
        <w:rPr>
          <w:rFonts w:hint="eastAsia" w:ascii="黑体" w:hAnsi="黑体" w:eastAsia="黑体"/>
          <w:b w:val="0"/>
          <w:bCs/>
          <w:sz w:val="30"/>
          <w:szCs w:val="30"/>
          <w:lang w:val="en-US" w:eastAsia="zh-CN"/>
        </w:rPr>
      </w:pPr>
      <w:bookmarkStart w:id="0" w:name="_Hlk73825013"/>
      <w:r>
        <w:rPr>
          <w:rFonts w:hint="eastAsia" w:ascii="黑体" w:hAnsi="黑体" w:eastAsia="黑体"/>
          <w:b w:val="0"/>
          <w:bCs/>
          <w:sz w:val="30"/>
          <w:szCs w:val="30"/>
          <w:lang w:val="en-US" w:eastAsia="zh-CN"/>
        </w:rPr>
        <w:t>1、工作职能</w:t>
      </w:r>
    </w:p>
    <w:p>
      <w:pPr>
        <w:widowControl/>
        <w:spacing w:line="600" w:lineRule="exact"/>
        <w:ind w:firstLine="588" w:firstLineChars="196"/>
        <w:jc w:val="left"/>
        <w:rPr>
          <w:rFonts w:ascii="黑体" w:hAnsi="黑体" w:eastAsia="黑体"/>
          <w:b w:val="0"/>
          <w:bCs/>
          <w:sz w:val="30"/>
          <w:szCs w:val="30"/>
        </w:rPr>
      </w:pPr>
      <w:r>
        <w:rPr>
          <w:rFonts w:hint="eastAsia" w:ascii="黑体" w:hAnsi="黑体" w:eastAsia="黑体"/>
          <w:b w:val="0"/>
          <w:bCs/>
          <w:sz w:val="30"/>
          <w:szCs w:val="30"/>
        </w:rPr>
        <w:t>加强党对文艺工作的领导，加强全县文艺队伍思想政治建设，制定出台到县文艺工作者采风创作制度，组织文艺工作者开展主题文艺实践活动。</w:t>
      </w:r>
    </w:p>
    <w:p>
      <w:pPr>
        <w:numPr>
          <w:ilvl w:val="0"/>
          <w:numId w:val="2"/>
        </w:numPr>
        <w:autoSpaceDN w:val="0"/>
        <w:spacing w:line="30" w:lineRule="atLeast"/>
        <w:ind w:firstLine="640"/>
        <w:rPr>
          <w:rFonts w:hint="eastAsia" w:ascii="黑体" w:hAnsi="黑体" w:eastAsia="黑体" w:cs="仿宋"/>
          <w:color w:val="030303"/>
          <w:sz w:val="30"/>
          <w:szCs w:val="30"/>
        </w:rPr>
      </w:pPr>
      <w:r>
        <w:rPr>
          <w:rFonts w:hint="eastAsia" w:ascii="宋体" w:hAnsi="宋体"/>
          <w:b/>
          <w:bCs/>
          <w:kern w:val="0"/>
          <w:sz w:val="32"/>
          <w:szCs w:val="32"/>
        </w:rPr>
        <w:t>内设机构设置。</w:t>
      </w:r>
      <w:bookmarkEnd w:id="0"/>
      <w:r>
        <w:rPr>
          <w:rFonts w:hint="eastAsia" w:ascii="黑体" w:hAnsi="黑体" w:eastAsia="黑体" w:cs="仿宋"/>
          <w:color w:val="030303"/>
          <w:sz w:val="30"/>
          <w:szCs w:val="30"/>
        </w:rPr>
        <w:t>文联共有内设机构4个，分别为：办公室、组织联络室、权益保护与行业建设室。</w:t>
      </w:r>
    </w:p>
    <w:p>
      <w:pPr>
        <w:numPr>
          <w:ilvl w:val="0"/>
          <w:numId w:val="2"/>
        </w:numPr>
        <w:autoSpaceDN w:val="0"/>
        <w:spacing w:line="30" w:lineRule="atLeast"/>
        <w:ind w:firstLine="640"/>
        <w:rPr>
          <w:rFonts w:ascii="黑体" w:hAnsi="黑体" w:eastAsia="黑体" w:cs="仿宋"/>
          <w:color w:val="030303"/>
          <w:sz w:val="30"/>
          <w:szCs w:val="30"/>
        </w:rPr>
      </w:pPr>
      <w:r>
        <w:rPr>
          <w:rFonts w:hint="eastAsia" w:ascii="黑体" w:hAnsi="黑体" w:eastAsia="黑体" w:cs="仿宋"/>
          <w:color w:val="030303"/>
          <w:sz w:val="30"/>
          <w:szCs w:val="30"/>
          <w:lang w:eastAsia="zh-CN"/>
        </w:rPr>
        <w:t>人员编制及实有人数　</w:t>
      </w:r>
    </w:p>
    <w:p>
      <w:pPr>
        <w:numPr>
          <w:ilvl w:val="0"/>
          <w:numId w:val="0"/>
        </w:numPr>
        <w:autoSpaceDN w:val="0"/>
        <w:spacing w:line="30" w:lineRule="atLeast"/>
        <w:rPr>
          <w:rFonts w:ascii="黑体" w:hAnsi="黑体" w:eastAsia="黑体" w:cs="仿宋"/>
          <w:color w:val="030303"/>
          <w:sz w:val="30"/>
          <w:szCs w:val="30"/>
        </w:rPr>
      </w:pPr>
      <w:r>
        <w:rPr>
          <w:rFonts w:hint="eastAsia" w:ascii="黑体" w:hAnsi="黑体" w:eastAsia="黑体" w:cs="仿宋"/>
          <w:color w:val="030303"/>
          <w:sz w:val="30"/>
          <w:szCs w:val="30"/>
          <w:lang w:eastAsia="zh-CN"/>
        </w:rPr>
        <w:t>　　　　道县机构编制委员会核定本单位</w:t>
      </w:r>
      <w:r>
        <w:rPr>
          <w:rFonts w:hint="eastAsia" w:ascii="黑体" w:hAnsi="黑体" w:eastAsia="黑体" w:cs="仿宋"/>
          <w:color w:val="030303"/>
          <w:sz w:val="30"/>
          <w:szCs w:val="30"/>
        </w:rPr>
        <w:t>编制数7人，现有在职人员</w:t>
      </w:r>
      <w:r>
        <w:rPr>
          <w:rFonts w:hint="eastAsia" w:ascii="黑体" w:hAnsi="黑体" w:eastAsia="黑体" w:cs="仿宋"/>
          <w:color w:val="030303"/>
          <w:sz w:val="30"/>
          <w:szCs w:val="30"/>
          <w:lang w:val="en-US" w:eastAsia="zh-CN"/>
        </w:rPr>
        <w:t>6</w:t>
      </w:r>
      <w:r>
        <w:rPr>
          <w:rFonts w:hint="eastAsia" w:ascii="黑体" w:hAnsi="黑体" w:eastAsia="黑体" w:cs="仿宋"/>
          <w:color w:val="030303"/>
          <w:sz w:val="30"/>
          <w:szCs w:val="30"/>
        </w:rPr>
        <w:t>人。</w:t>
      </w:r>
    </w:p>
    <w:p>
      <w:pPr>
        <w:ind w:right="11" w:firstLine="482" w:firstLineChars="150"/>
        <w:rPr>
          <w:rFonts w:ascii="宋体" w:hAnsi="宋体"/>
          <w:sz w:val="32"/>
          <w:szCs w:val="32"/>
        </w:rPr>
      </w:pPr>
      <w:r>
        <w:rPr>
          <w:rFonts w:hint="eastAsia" w:ascii="宋体" w:hAnsi="宋体"/>
          <w:b/>
          <w:sz w:val="32"/>
          <w:szCs w:val="32"/>
        </w:rPr>
        <w:t>（</w:t>
      </w:r>
      <w:r>
        <w:rPr>
          <w:rFonts w:hint="eastAsia" w:ascii="宋体" w:hAnsi="宋体"/>
          <w:b/>
          <w:sz w:val="32"/>
          <w:szCs w:val="32"/>
          <w:lang w:eastAsia="zh-CN"/>
        </w:rPr>
        <w:t>二</w:t>
      </w:r>
      <w:r>
        <w:rPr>
          <w:rFonts w:hint="eastAsia" w:ascii="宋体" w:hAnsi="宋体"/>
          <w:b/>
          <w:sz w:val="32"/>
          <w:szCs w:val="32"/>
        </w:rPr>
        <w:t>）</w:t>
      </w:r>
      <w:r>
        <w:rPr>
          <w:rFonts w:hint="eastAsia" w:ascii="宋体" w:hAnsi="宋体"/>
          <w:b/>
          <w:bCs/>
          <w:sz w:val="32"/>
          <w:szCs w:val="32"/>
        </w:rPr>
        <w:t>部门整体支出</w:t>
      </w:r>
    </w:p>
    <w:p>
      <w:pPr>
        <w:ind w:firstLine="640" w:firstLineChars="200"/>
        <w:rPr>
          <w:rFonts w:ascii="宋体" w:hAnsi="宋体"/>
          <w:sz w:val="32"/>
          <w:szCs w:val="32"/>
        </w:rPr>
      </w:pPr>
      <w:r>
        <w:rPr>
          <w:rFonts w:hint="eastAsia" w:ascii="宋体" w:hAnsi="宋体"/>
          <w:sz w:val="32"/>
          <w:szCs w:val="32"/>
          <w:lang w:val="en-US" w:eastAsia="zh-CN"/>
        </w:rPr>
        <w:t>1、</w:t>
      </w:r>
      <w:r>
        <w:rPr>
          <w:rFonts w:hint="eastAsia" w:ascii="宋体" w:hAnsi="宋体"/>
          <w:sz w:val="32"/>
          <w:szCs w:val="32"/>
        </w:rPr>
        <w:t>收入决算</w:t>
      </w:r>
      <w:r>
        <w:rPr>
          <w:rFonts w:ascii="宋体" w:hAnsi="宋体"/>
          <w:sz w:val="32"/>
          <w:szCs w:val="32"/>
        </w:rPr>
        <w:t>:202</w:t>
      </w:r>
      <w:r>
        <w:rPr>
          <w:rFonts w:hint="eastAsia" w:ascii="宋体" w:hAnsi="宋体"/>
          <w:sz w:val="32"/>
          <w:szCs w:val="32"/>
          <w:lang w:val="en-US" w:eastAsia="zh-CN"/>
        </w:rPr>
        <w:t>1</w:t>
      </w:r>
      <w:r>
        <w:rPr>
          <w:rFonts w:hint="eastAsia" w:ascii="宋体" w:hAnsi="宋体"/>
          <w:sz w:val="32"/>
          <w:szCs w:val="32"/>
        </w:rPr>
        <w:t>年收入决算数</w:t>
      </w:r>
      <w:r>
        <w:rPr>
          <w:rFonts w:hint="eastAsia" w:ascii="黑体" w:hAnsi="黑体" w:eastAsia="黑体"/>
          <w:sz w:val="32"/>
          <w:szCs w:val="32"/>
          <w:lang w:val="en-US" w:eastAsia="zh-CN"/>
        </w:rPr>
        <w:t>53.70</w:t>
      </w:r>
      <w:r>
        <w:rPr>
          <w:rFonts w:hint="eastAsia" w:ascii="宋体" w:hAnsi="宋体"/>
          <w:sz w:val="32"/>
          <w:szCs w:val="32"/>
        </w:rPr>
        <w:t>万元；其中：财政拨款收入</w:t>
      </w:r>
      <w:r>
        <w:rPr>
          <w:rFonts w:hint="eastAsia" w:ascii="黑体" w:hAnsi="黑体" w:eastAsia="黑体"/>
          <w:sz w:val="32"/>
          <w:szCs w:val="32"/>
          <w:lang w:val="en-US" w:eastAsia="zh-CN"/>
        </w:rPr>
        <w:t>53.70</w:t>
      </w:r>
      <w:r>
        <w:rPr>
          <w:rFonts w:hint="eastAsia" w:ascii="宋体" w:hAnsi="宋体"/>
          <w:sz w:val="32"/>
          <w:szCs w:val="32"/>
        </w:rPr>
        <w:t>万元。</w:t>
      </w:r>
    </w:p>
    <w:p>
      <w:pPr>
        <w:ind w:firstLine="640" w:firstLineChars="200"/>
        <w:rPr>
          <w:rFonts w:hint="eastAsia" w:ascii="宋体" w:hAnsi="宋体"/>
          <w:sz w:val="32"/>
          <w:szCs w:val="32"/>
          <w:lang w:eastAsia="zh-CN"/>
        </w:rPr>
      </w:pPr>
      <w:r>
        <w:rPr>
          <w:rFonts w:hint="eastAsia" w:ascii="宋体" w:hAnsi="宋体"/>
          <w:sz w:val="32"/>
          <w:szCs w:val="32"/>
          <w:lang w:val="en-US" w:eastAsia="zh-CN"/>
        </w:rPr>
        <w:t>2、</w:t>
      </w:r>
      <w:r>
        <w:rPr>
          <w:rFonts w:hint="eastAsia" w:ascii="宋体" w:hAnsi="宋体"/>
          <w:sz w:val="32"/>
          <w:szCs w:val="32"/>
        </w:rPr>
        <w:t>支出决算：</w:t>
      </w:r>
      <w:r>
        <w:rPr>
          <w:rFonts w:ascii="宋体" w:hAnsi="宋体"/>
          <w:sz w:val="32"/>
          <w:szCs w:val="32"/>
        </w:rPr>
        <w:t>202</w:t>
      </w:r>
      <w:r>
        <w:rPr>
          <w:rFonts w:hint="eastAsia" w:ascii="宋体" w:hAnsi="宋体"/>
          <w:sz w:val="32"/>
          <w:szCs w:val="32"/>
          <w:lang w:val="en-US" w:eastAsia="zh-CN"/>
        </w:rPr>
        <w:t>1</w:t>
      </w:r>
      <w:r>
        <w:rPr>
          <w:rFonts w:hint="eastAsia" w:ascii="宋体" w:hAnsi="宋体"/>
          <w:sz w:val="32"/>
          <w:szCs w:val="32"/>
        </w:rPr>
        <w:t>年支出决算数</w:t>
      </w:r>
      <w:r>
        <w:rPr>
          <w:rFonts w:hint="eastAsia" w:ascii="黑体" w:hAnsi="黑体" w:eastAsia="黑体"/>
          <w:sz w:val="32"/>
          <w:szCs w:val="32"/>
          <w:lang w:val="en-US" w:eastAsia="zh-CN"/>
        </w:rPr>
        <w:t>53.70</w:t>
      </w:r>
      <w:r>
        <w:rPr>
          <w:rFonts w:hint="eastAsia" w:ascii="宋体" w:hAnsi="宋体"/>
          <w:sz w:val="32"/>
          <w:szCs w:val="32"/>
        </w:rPr>
        <w:t>万元；其中：工资福利支出</w:t>
      </w:r>
      <w:r>
        <w:rPr>
          <w:rFonts w:hint="eastAsia" w:ascii="宋体" w:hAnsi="宋体"/>
          <w:sz w:val="32"/>
          <w:szCs w:val="32"/>
          <w:lang w:val="en-US" w:eastAsia="zh-CN"/>
        </w:rPr>
        <w:t>40.22</w:t>
      </w:r>
      <w:r>
        <w:rPr>
          <w:rFonts w:hint="eastAsia" w:ascii="宋体" w:hAnsi="宋体"/>
          <w:sz w:val="32"/>
          <w:szCs w:val="32"/>
        </w:rPr>
        <w:t>万元，一般商品和服务支出</w:t>
      </w:r>
      <w:r>
        <w:rPr>
          <w:rFonts w:hint="eastAsia" w:ascii="宋体" w:hAnsi="宋体"/>
          <w:sz w:val="32"/>
          <w:szCs w:val="32"/>
          <w:lang w:val="en-US" w:eastAsia="zh-CN"/>
        </w:rPr>
        <w:t>6.48</w:t>
      </w:r>
      <w:r>
        <w:rPr>
          <w:rFonts w:hint="eastAsia" w:ascii="宋体" w:hAnsi="宋体"/>
          <w:sz w:val="32"/>
          <w:szCs w:val="32"/>
        </w:rPr>
        <w:t>万元</w:t>
      </w:r>
      <w:r>
        <w:rPr>
          <w:rFonts w:hint="eastAsia" w:ascii="宋体" w:hAnsi="宋体"/>
          <w:sz w:val="32"/>
          <w:szCs w:val="32"/>
          <w:lang w:eastAsia="zh-CN"/>
        </w:rPr>
        <w:t>，项目支出</w:t>
      </w:r>
      <w:r>
        <w:rPr>
          <w:rFonts w:hint="eastAsia" w:ascii="宋体" w:hAnsi="宋体"/>
          <w:sz w:val="32"/>
          <w:szCs w:val="32"/>
          <w:lang w:val="en-US" w:eastAsia="zh-CN"/>
        </w:rPr>
        <w:t>7万元</w:t>
      </w:r>
      <w:r>
        <w:rPr>
          <w:rFonts w:hint="eastAsia" w:ascii="宋体" w:hAnsi="宋体"/>
          <w:sz w:val="32"/>
          <w:szCs w:val="32"/>
          <w:lang w:eastAsia="zh-CN"/>
        </w:rPr>
        <w:t>。</w:t>
      </w:r>
    </w:p>
    <w:p>
      <w:pPr>
        <w:ind w:firstLine="643" w:firstLineChars="200"/>
        <w:rPr>
          <w:rFonts w:hint="eastAsia" w:ascii="宋体" w:hAnsi="宋体"/>
          <w:b/>
          <w:sz w:val="32"/>
          <w:szCs w:val="32"/>
        </w:rPr>
      </w:pPr>
    </w:p>
    <w:p>
      <w:pPr>
        <w:ind w:firstLine="643" w:firstLineChars="200"/>
        <w:rPr>
          <w:rFonts w:ascii="宋体" w:hAnsi="宋体"/>
          <w:b/>
          <w:sz w:val="32"/>
          <w:szCs w:val="32"/>
        </w:rPr>
      </w:pPr>
      <w:r>
        <w:rPr>
          <w:rFonts w:hint="eastAsia" w:ascii="宋体" w:hAnsi="宋体"/>
          <w:b/>
          <w:sz w:val="32"/>
          <w:szCs w:val="32"/>
        </w:rPr>
        <w:t>二、部门整体支出使用情况</w:t>
      </w:r>
    </w:p>
    <w:p>
      <w:pPr>
        <w:adjustRightInd w:val="0"/>
        <w:snapToGrid w:val="0"/>
        <w:spacing w:line="600" w:lineRule="exact"/>
        <w:ind w:firstLine="643" w:firstLineChars="200"/>
        <w:rPr>
          <w:rFonts w:ascii="宋体" w:hAnsi="宋体"/>
          <w:b/>
          <w:sz w:val="32"/>
          <w:szCs w:val="32"/>
        </w:rPr>
      </w:pPr>
      <w:r>
        <w:rPr>
          <w:rFonts w:hint="eastAsia" w:ascii="宋体" w:hAnsi="宋体"/>
          <w:b/>
          <w:sz w:val="32"/>
          <w:szCs w:val="32"/>
        </w:rPr>
        <w:t>（一）基本支出</w:t>
      </w:r>
    </w:p>
    <w:p>
      <w:pPr>
        <w:adjustRightInd w:val="0"/>
        <w:snapToGrid w:val="0"/>
        <w:spacing w:line="600" w:lineRule="exact"/>
        <w:ind w:firstLine="640" w:firstLineChars="200"/>
        <w:rPr>
          <w:rFonts w:ascii="宋体" w:hAnsi="宋体"/>
          <w:sz w:val="32"/>
          <w:szCs w:val="32"/>
        </w:rPr>
      </w:pPr>
      <w:r>
        <w:rPr>
          <w:rFonts w:hint="eastAsia" w:ascii="宋体" w:hAnsi="宋体"/>
          <w:sz w:val="32"/>
          <w:szCs w:val="32"/>
          <w:lang w:val="en-US" w:eastAsia="zh-CN"/>
        </w:rPr>
        <w:t>1、文联</w:t>
      </w:r>
      <w:r>
        <w:rPr>
          <w:rFonts w:ascii="宋体" w:hAnsi="宋体"/>
          <w:sz w:val="32"/>
          <w:szCs w:val="32"/>
        </w:rPr>
        <w:t>202</w:t>
      </w:r>
      <w:r>
        <w:rPr>
          <w:rFonts w:hint="eastAsia" w:ascii="宋体" w:hAnsi="宋体"/>
          <w:sz w:val="32"/>
          <w:szCs w:val="32"/>
          <w:lang w:val="en-US" w:eastAsia="zh-CN"/>
        </w:rPr>
        <w:t>1</w:t>
      </w:r>
      <w:r>
        <w:rPr>
          <w:rFonts w:hint="eastAsia" w:ascii="宋体" w:hAnsi="宋体"/>
          <w:sz w:val="32"/>
          <w:szCs w:val="32"/>
        </w:rPr>
        <w:t>年基本支出</w:t>
      </w:r>
      <w:r>
        <w:rPr>
          <w:rFonts w:hint="eastAsia" w:ascii="宋体" w:hAnsi="宋体"/>
          <w:sz w:val="32"/>
          <w:szCs w:val="32"/>
          <w:lang w:val="en-US" w:eastAsia="zh-CN"/>
        </w:rPr>
        <w:t>46.70</w:t>
      </w:r>
      <w:r>
        <w:rPr>
          <w:rFonts w:hint="eastAsia" w:ascii="宋体" w:hAnsi="宋体"/>
          <w:sz w:val="32"/>
          <w:szCs w:val="32"/>
        </w:rPr>
        <w:t>万元，</w:t>
      </w:r>
      <w:r>
        <w:rPr>
          <w:rFonts w:hint="eastAsia" w:ascii="宋体" w:hAnsi="宋体"/>
          <w:sz w:val="32"/>
          <w:szCs w:val="32"/>
          <w:lang w:eastAsia="zh-CN"/>
        </w:rPr>
        <w:t>其中</w:t>
      </w:r>
      <w:r>
        <w:rPr>
          <w:rFonts w:hint="eastAsia" w:ascii="宋体" w:hAnsi="宋体"/>
          <w:sz w:val="32"/>
          <w:szCs w:val="32"/>
        </w:rPr>
        <w:t>：</w:t>
      </w:r>
    </w:p>
    <w:p>
      <w:pPr>
        <w:adjustRightInd w:val="0"/>
        <w:snapToGrid w:val="0"/>
        <w:spacing w:line="600" w:lineRule="exact"/>
        <w:ind w:firstLine="640" w:firstLineChars="200"/>
        <w:rPr>
          <w:rFonts w:ascii="宋体" w:hAnsi="宋体"/>
          <w:sz w:val="32"/>
          <w:szCs w:val="32"/>
        </w:rPr>
      </w:pPr>
      <w:r>
        <w:rPr>
          <w:rFonts w:hint="eastAsia" w:ascii="宋体" w:hAnsi="宋体"/>
          <w:sz w:val="32"/>
          <w:szCs w:val="32"/>
          <w:lang w:val="en-US" w:eastAsia="zh-CN"/>
        </w:rPr>
        <w:t>工资福利支出40.22万元，其中：基本工资16.20万元，津贴补贴9.37万元，奖金1.00万元，绩效工资3.44万元。养老保险支出4.00万元，职业年金1.10万元，医疗保险支出2.00万元，住房公积金3.11万元。</w:t>
      </w:r>
    </w:p>
    <w:p>
      <w:pPr>
        <w:adjustRightInd w:val="0"/>
        <w:snapToGrid w:val="0"/>
        <w:spacing w:line="600" w:lineRule="exact"/>
        <w:ind w:firstLine="640" w:firstLineChars="200"/>
        <w:rPr>
          <w:rFonts w:hint="eastAsia" w:ascii="宋体" w:hAnsi="宋体"/>
          <w:sz w:val="32"/>
          <w:szCs w:val="32"/>
          <w:lang w:val="en-US" w:eastAsia="zh-CN"/>
        </w:rPr>
      </w:pPr>
      <w:r>
        <w:rPr>
          <w:rFonts w:hint="eastAsia" w:ascii="宋体" w:hAnsi="宋体"/>
          <w:sz w:val="32"/>
          <w:szCs w:val="32"/>
          <w:lang w:val="en-US" w:eastAsia="zh-CN"/>
        </w:rPr>
        <w:t>2、机关运行经费情况：机关运行经费6.48万元。其中一般商品和服务支出5.00万元，包括：办公费0.5万元，印刷费0.6万元，水费0.1万元，电费0.25万元，邮电费0.05万元，差旅费0.5万元，会议费0.18万元，培训费0.2万元，公务接待费0.3万元，劳务费0.72万元，工会经费1.3万元，其他交通费0.9万元，；公车改革交通补贴1.48万元。</w:t>
      </w:r>
    </w:p>
    <w:p>
      <w:pPr>
        <w:adjustRightInd w:val="0"/>
        <w:snapToGrid w:val="0"/>
        <w:spacing w:line="600" w:lineRule="exact"/>
        <w:ind w:firstLine="643" w:firstLineChars="200"/>
        <w:rPr>
          <w:rFonts w:ascii="宋体" w:hAnsi="宋体"/>
          <w:b/>
          <w:sz w:val="32"/>
          <w:szCs w:val="32"/>
        </w:rPr>
      </w:pPr>
      <w:r>
        <w:rPr>
          <w:rFonts w:hint="eastAsia" w:ascii="宋体" w:hAnsi="宋体"/>
          <w:b/>
          <w:sz w:val="32"/>
          <w:szCs w:val="32"/>
        </w:rPr>
        <w:t>（二）项目支出</w:t>
      </w:r>
    </w:p>
    <w:p>
      <w:pPr>
        <w:adjustRightInd w:val="0"/>
        <w:snapToGrid w:val="0"/>
        <w:spacing w:line="600" w:lineRule="exact"/>
        <w:ind w:firstLine="640" w:firstLineChars="200"/>
        <w:rPr>
          <w:rFonts w:hint="eastAsia" w:ascii="宋体" w:hAnsi="宋体"/>
          <w:sz w:val="32"/>
          <w:szCs w:val="32"/>
          <w:lang w:val="en-US" w:eastAsia="zh-CN"/>
        </w:rPr>
      </w:pPr>
      <w:r>
        <w:rPr>
          <w:rFonts w:hint="eastAsia" w:ascii="宋体" w:hAnsi="宋体"/>
          <w:sz w:val="32"/>
          <w:szCs w:val="32"/>
          <w:lang w:val="en-US" w:eastAsia="zh-CN"/>
        </w:rPr>
        <w:t>2021年项目资金7万元，其中：《濂溪》杂志编印4万元，“我们的中国梦--文化进万家”活动3万元。</w:t>
      </w:r>
    </w:p>
    <w:p>
      <w:pPr>
        <w:adjustRightInd w:val="0"/>
        <w:snapToGrid w:val="0"/>
        <w:spacing w:line="600" w:lineRule="exact"/>
        <w:ind w:firstLine="640" w:firstLineChars="200"/>
        <w:rPr>
          <w:rFonts w:hint="eastAsia" w:ascii="宋体" w:hAnsi="宋体"/>
          <w:sz w:val="32"/>
          <w:szCs w:val="32"/>
          <w:lang w:val="en-US" w:eastAsia="zh-CN"/>
        </w:rPr>
      </w:pPr>
      <w:r>
        <w:rPr>
          <w:rFonts w:hint="eastAsia" w:ascii="宋体" w:hAnsi="宋体"/>
          <w:sz w:val="32"/>
          <w:szCs w:val="32"/>
          <w:lang w:val="en-US" w:eastAsia="zh-CN"/>
        </w:rPr>
        <w:t>（</w:t>
      </w:r>
      <w:r>
        <w:rPr>
          <w:rFonts w:hint="eastAsia" w:ascii="宋体" w:hAnsi="宋体"/>
          <w:b/>
          <w:sz w:val="32"/>
          <w:szCs w:val="32"/>
          <w:lang w:val="en-US" w:eastAsia="zh-CN"/>
        </w:rPr>
        <w:t>三）三公经费使用情况：</w:t>
      </w:r>
      <w:r>
        <w:rPr>
          <w:rFonts w:hint="eastAsia" w:ascii="宋体" w:hAnsi="宋体"/>
          <w:sz w:val="32"/>
          <w:szCs w:val="32"/>
          <w:lang w:val="en-US" w:eastAsia="zh-CN"/>
        </w:rPr>
        <w:t>2021年度本单位“三公”经费总额为0.3万元，其中：公务接待费0.3万元，与上年相比增加0.1万元。国内公务接待5批次，接待人数28人。单位无公务用车。</w:t>
      </w:r>
    </w:p>
    <w:p>
      <w:pPr>
        <w:spacing w:line="360" w:lineRule="auto"/>
        <w:ind w:left="210" w:firstLine="600" w:firstLineChars="200"/>
        <w:rPr>
          <w:rFonts w:hint="eastAsia" w:ascii="宋体" w:hAnsi="宋体"/>
          <w:color w:val="000000"/>
          <w:sz w:val="30"/>
        </w:rPr>
      </w:pPr>
    </w:p>
    <w:p>
      <w:pPr>
        <w:spacing w:line="360" w:lineRule="auto"/>
        <w:ind w:left="210" w:firstLine="600" w:firstLineChars="200"/>
        <w:rPr>
          <w:rFonts w:hint="eastAsia" w:ascii="宋体" w:hAnsi="宋体"/>
          <w:color w:val="000000"/>
          <w:sz w:val="30"/>
        </w:rPr>
      </w:pPr>
    </w:p>
    <w:p>
      <w:pPr>
        <w:numPr>
          <w:ilvl w:val="0"/>
          <w:numId w:val="0"/>
        </w:numPr>
        <w:spacing w:before="0" w:after="0" w:line="600" w:lineRule="auto"/>
        <w:ind w:left="640" w:leftChars="0" w:right="0"/>
        <w:jc w:val="both"/>
        <w:rPr>
          <w:rFonts w:hint="eastAsia" w:ascii="宋体" w:hAnsi="宋体" w:eastAsia="宋体" w:cs="宋体"/>
          <w:b/>
          <w:bCs/>
          <w:color w:val="auto"/>
          <w:spacing w:val="0"/>
          <w:position w:val="0"/>
          <w:sz w:val="32"/>
          <w:szCs w:val="32"/>
          <w:shd w:val="clear" w:color="060000" w:fill="auto"/>
        </w:rPr>
      </w:pPr>
      <w:r>
        <w:rPr>
          <w:rFonts w:hint="eastAsia" w:ascii="宋体" w:hAnsi="宋体" w:eastAsia="宋体" w:cs="宋体"/>
          <w:b/>
          <w:bCs/>
          <w:color w:val="auto"/>
          <w:spacing w:val="0"/>
          <w:position w:val="0"/>
          <w:sz w:val="32"/>
          <w:szCs w:val="32"/>
          <w:shd w:val="clear" w:color="060000" w:fill="auto"/>
        </w:rPr>
        <w:t>三、部门整体支出管理情况</w:t>
      </w:r>
    </w:p>
    <w:p>
      <w:pPr>
        <w:adjustRightInd w:val="0"/>
        <w:snapToGrid w:val="0"/>
        <w:spacing w:line="600" w:lineRule="exact"/>
        <w:ind w:firstLine="560" w:firstLineChars="200"/>
        <w:rPr>
          <w:rFonts w:hint="eastAsia" w:ascii="宋体" w:hAnsi="宋体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kern w:val="2"/>
          <w:sz w:val="28"/>
          <w:szCs w:val="28"/>
        </w:rPr>
        <w:t> </w:t>
      </w:r>
      <w:r>
        <w:rPr>
          <w:rFonts w:hint="eastAsia" w:ascii="宋体" w:hAnsi="宋体"/>
          <w:sz w:val="32"/>
          <w:szCs w:val="32"/>
          <w:lang w:val="en-US" w:eastAsia="zh-CN"/>
        </w:rPr>
        <w:t xml:space="preserve"> 我单位严格按照县财政局规定的财务规章制度，制定财务审批制度，严格执行政府采购制度。领导高度重视，坚决做到专款专用。严格执行年初预算。</w:t>
      </w:r>
    </w:p>
    <w:p>
      <w:pPr>
        <w:numPr>
          <w:ilvl w:val="0"/>
          <w:numId w:val="0"/>
        </w:numPr>
        <w:spacing w:before="0" w:after="0" w:line="600" w:lineRule="auto"/>
        <w:ind w:left="640" w:leftChars="0" w:right="0"/>
        <w:jc w:val="both"/>
        <w:rPr>
          <w:rFonts w:hint="eastAsia" w:ascii="宋体" w:hAnsi="宋体" w:eastAsia="宋体" w:cs="宋体"/>
          <w:b/>
          <w:bCs/>
          <w:color w:val="auto"/>
          <w:spacing w:val="0"/>
          <w:position w:val="0"/>
          <w:sz w:val="32"/>
          <w:szCs w:val="32"/>
          <w:shd w:val="clear" w:color="060000" w:fill="auto"/>
        </w:rPr>
      </w:pPr>
      <w:r>
        <w:rPr>
          <w:rFonts w:hint="eastAsia" w:ascii="宋体" w:hAnsi="宋体" w:eastAsia="宋体" w:cs="宋体"/>
          <w:b/>
          <w:bCs/>
          <w:color w:val="auto"/>
          <w:spacing w:val="0"/>
          <w:position w:val="0"/>
          <w:sz w:val="32"/>
          <w:szCs w:val="32"/>
          <w:shd w:val="clear" w:color="060000" w:fill="auto"/>
        </w:rPr>
        <w:t>四、部门整体支出绩效情况</w:t>
      </w:r>
    </w:p>
    <w:p>
      <w:pPr>
        <w:adjustRightInd w:val="0"/>
        <w:snapToGrid w:val="0"/>
        <w:spacing w:line="600" w:lineRule="exact"/>
        <w:ind w:firstLine="640" w:firstLineChars="200"/>
        <w:rPr>
          <w:rFonts w:hint="eastAsia" w:ascii="宋体" w:hAnsi="宋体"/>
          <w:sz w:val="32"/>
          <w:szCs w:val="32"/>
          <w:lang w:val="en-US" w:eastAsia="zh-CN"/>
        </w:rPr>
      </w:pPr>
      <w:r>
        <w:rPr>
          <w:rFonts w:hint="eastAsia" w:ascii="宋体" w:hAnsi="宋体"/>
          <w:sz w:val="32"/>
          <w:szCs w:val="32"/>
          <w:lang w:val="en-US" w:eastAsia="zh-CN"/>
        </w:rPr>
        <w:t>（一）加强行业党建工作。</w:t>
      </w:r>
    </w:p>
    <w:p>
      <w:pPr>
        <w:adjustRightInd w:val="0"/>
        <w:snapToGrid w:val="0"/>
        <w:spacing w:line="600" w:lineRule="exact"/>
        <w:ind w:firstLine="640" w:firstLineChars="200"/>
        <w:rPr>
          <w:rFonts w:hint="eastAsia" w:ascii="宋体" w:hAnsi="宋体"/>
          <w:sz w:val="32"/>
          <w:szCs w:val="32"/>
          <w:lang w:val="en-US" w:eastAsia="zh-CN"/>
        </w:rPr>
      </w:pPr>
      <w:r>
        <w:rPr>
          <w:rFonts w:hint="eastAsia" w:ascii="宋体" w:hAnsi="宋体"/>
          <w:sz w:val="32"/>
          <w:szCs w:val="32"/>
          <w:lang w:val="en-US" w:eastAsia="zh-CN"/>
        </w:rPr>
        <w:t>（二）开展“我们的中国梦---文化进万家”活动。</w:t>
      </w:r>
    </w:p>
    <w:p>
      <w:pPr>
        <w:adjustRightInd w:val="0"/>
        <w:snapToGrid w:val="0"/>
        <w:spacing w:line="600" w:lineRule="exact"/>
        <w:ind w:firstLine="640" w:firstLineChars="200"/>
        <w:rPr>
          <w:rFonts w:hint="eastAsia" w:ascii="宋体" w:hAnsi="宋体"/>
          <w:sz w:val="32"/>
          <w:szCs w:val="32"/>
          <w:lang w:val="en-US" w:eastAsia="zh-CN"/>
        </w:rPr>
      </w:pPr>
      <w:r>
        <w:rPr>
          <w:rFonts w:hint="eastAsia" w:ascii="宋体" w:hAnsi="宋体"/>
          <w:sz w:val="32"/>
          <w:szCs w:val="32"/>
          <w:lang w:val="en-US" w:eastAsia="zh-CN"/>
        </w:rPr>
        <w:t>（三）创作文学作品、音乐作品、美术作品、书法作品、短视频等作品。</w:t>
      </w:r>
    </w:p>
    <w:p>
      <w:pPr>
        <w:adjustRightInd w:val="0"/>
        <w:snapToGrid w:val="0"/>
        <w:spacing w:line="600" w:lineRule="exact"/>
        <w:ind w:firstLine="640" w:firstLineChars="200"/>
        <w:rPr>
          <w:rFonts w:hint="eastAsia" w:ascii="宋体" w:hAnsi="宋体"/>
          <w:sz w:val="32"/>
          <w:szCs w:val="32"/>
          <w:lang w:val="en-US" w:eastAsia="zh-CN"/>
        </w:rPr>
      </w:pPr>
      <w:r>
        <w:rPr>
          <w:rFonts w:hint="eastAsia" w:ascii="宋体" w:hAnsi="宋体"/>
          <w:sz w:val="32"/>
          <w:szCs w:val="32"/>
          <w:lang w:val="en-US" w:eastAsia="zh-CN"/>
        </w:rPr>
        <w:t>（四）编辑《濂溪》杂志，维护“道州文艺”微信公众号。</w:t>
      </w:r>
    </w:p>
    <w:p>
      <w:pPr>
        <w:adjustRightInd w:val="0"/>
        <w:snapToGrid w:val="0"/>
        <w:spacing w:line="600" w:lineRule="exact"/>
        <w:ind w:firstLine="640" w:firstLineChars="200"/>
        <w:rPr>
          <w:rFonts w:hint="default" w:ascii="宋体" w:hAnsi="宋体"/>
          <w:sz w:val="32"/>
          <w:szCs w:val="32"/>
          <w:lang w:val="en-US" w:eastAsia="zh-CN"/>
        </w:rPr>
      </w:pPr>
      <w:r>
        <w:rPr>
          <w:rFonts w:hint="eastAsia" w:ascii="宋体" w:hAnsi="宋体"/>
          <w:sz w:val="32"/>
          <w:szCs w:val="32"/>
          <w:lang w:val="en-US" w:eastAsia="zh-CN"/>
        </w:rPr>
        <w:t>（五）完成县委县政府安排的各项中心工作。</w:t>
      </w:r>
    </w:p>
    <w:p>
      <w:pPr>
        <w:numPr>
          <w:ilvl w:val="0"/>
          <w:numId w:val="0"/>
        </w:numPr>
        <w:spacing w:before="0" w:after="0" w:line="600" w:lineRule="auto"/>
        <w:ind w:left="640" w:leftChars="0" w:right="0"/>
        <w:jc w:val="left"/>
        <w:rPr>
          <w:rFonts w:hint="eastAsia" w:ascii="宋体" w:hAnsi="宋体" w:eastAsia="宋体" w:cs="宋体"/>
          <w:b/>
          <w:bCs/>
          <w:color w:val="auto"/>
          <w:spacing w:val="0"/>
          <w:position w:val="0"/>
          <w:sz w:val="32"/>
          <w:szCs w:val="32"/>
          <w:shd w:val="clear" w:color="060000" w:fill="auto"/>
          <w:lang w:val="en-US" w:eastAsia="zh-CN"/>
        </w:rPr>
      </w:pPr>
      <w:r>
        <w:rPr>
          <w:rFonts w:hint="eastAsia" w:eastAsia="黑体"/>
          <w:b/>
          <w:bCs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auto"/>
          <w:spacing w:val="0"/>
          <w:position w:val="0"/>
          <w:sz w:val="32"/>
          <w:szCs w:val="32"/>
          <w:shd w:val="clear" w:color="060000" w:fill="auto"/>
          <w:lang w:val="en-US" w:eastAsia="zh-CN"/>
        </w:rPr>
        <w:t>五、结合《部门整体支出绩效评价指标表》（见附件的评价结果</w:t>
      </w:r>
    </w:p>
    <w:p>
      <w:pPr>
        <w:numPr>
          <w:ilvl w:val="0"/>
          <w:numId w:val="0"/>
        </w:numPr>
        <w:spacing w:before="0" w:after="0" w:line="600" w:lineRule="auto"/>
        <w:ind w:left="640" w:leftChars="0" w:right="0"/>
        <w:jc w:val="both"/>
        <w:rPr>
          <w:rFonts w:hint="eastAsia" w:ascii="宋体" w:hAnsi="宋体" w:eastAsia="宋体" w:cs="宋体"/>
          <w:b/>
          <w:bCs/>
          <w:color w:val="auto"/>
          <w:spacing w:val="0"/>
          <w:position w:val="0"/>
          <w:sz w:val="32"/>
          <w:szCs w:val="32"/>
          <w:shd w:val="clear" w:color="060000" w:fill="auto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pacing w:val="0"/>
          <w:position w:val="0"/>
          <w:sz w:val="32"/>
          <w:szCs w:val="32"/>
          <w:shd w:val="clear" w:color="060000" w:fill="auto"/>
          <w:lang w:val="en-US" w:eastAsia="zh-CN"/>
        </w:rPr>
        <w:t>六、存在的主要问题</w:t>
      </w:r>
    </w:p>
    <w:p>
      <w:pPr>
        <w:adjustRightInd w:val="0"/>
        <w:snapToGrid w:val="0"/>
        <w:spacing w:line="600" w:lineRule="exact"/>
        <w:rPr>
          <w:rFonts w:hint="eastAsia" w:ascii="宋体" w:hAnsi="宋体"/>
          <w:sz w:val="32"/>
          <w:szCs w:val="32"/>
        </w:rPr>
      </w:pPr>
      <w:r>
        <w:rPr>
          <w:rFonts w:hint="eastAsia" w:ascii="宋体" w:hAnsi="宋体"/>
          <w:sz w:val="32"/>
          <w:szCs w:val="32"/>
          <w:lang w:eastAsia="zh-CN"/>
        </w:rPr>
        <w:t>（一）</w:t>
      </w:r>
      <w:r>
        <w:rPr>
          <w:rFonts w:hint="eastAsia" w:ascii="宋体" w:hAnsi="宋体"/>
          <w:sz w:val="32"/>
          <w:szCs w:val="32"/>
        </w:rPr>
        <w:t>财务核算</w:t>
      </w:r>
      <w:r>
        <w:rPr>
          <w:rFonts w:hint="eastAsia" w:ascii="宋体" w:hAnsi="宋体"/>
          <w:sz w:val="32"/>
          <w:szCs w:val="32"/>
          <w:lang w:eastAsia="zh-CN"/>
        </w:rPr>
        <w:t>有</w:t>
      </w:r>
      <w:r>
        <w:rPr>
          <w:rFonts w:hint="eastAsia" w:ascii="宋体" w:hAnsi="宋体"/>
          <w:sz w:val="32"/>
          <w:szCs w:val="32"/>
        </w:rPr>
        <w:t>待进一步规范；</w:t>
      </w:r>
    </w:p>
    <w:p>
      <w:pPr>
        <w:adjustRightInd w:val="0"/>
        <w:snapToGrid w:val="0"/>
        <w:spacing w:line="600" w:lineRule="exact"/>
        <w:rPr>
          <w:rFonts w:hint="eastAsia" w:ascii="宋体" w:hAnsi="宋体"/>
          <w:sz w:val="32"/>
          <w:szCs w:val="32"/>
        </w:rPr>
      </w:pPr>
      <w:r>
        <w:rPr>
          <w:rFonts w:hint="eastAsia" w:ascii="宋体" w:hAnsi="宋体"/>
          <w:sz w:val="32"/>
          <w:szCs w:val="32"/>
          <w:lang w:eastAsia="zh-CN"/>
        </w:rPr>
        <w:t>（二）</w:t>
      </w:r>
      <w:r>
        <w:rPr>
          <w:rFonts w:hint="eastAsia" w:ascii="宋体" w:hAnsi="宋体"/>
          <w:sz w:val="32"/>
          <w:szCs w:val="32"/>
        </w:rPr>
        <w:t>公务接待方面有待进一步完善；</w:t>
      </w:r>
    </w:p>
    <w:p>
      <w:pPr>
        <w:adjustRightInd w:val="0"/>
        <w:snapToGrid w:val="0"/>
        <w:spacing w:line="600" w:lineRule="exact"/>
        <w:rPr>
          <w:rFonts w:ascii="宋体" w:hAnsi="宋体"/>
          <w:sz w:val="32"/>
          <w:szCs w:val="32"/>
        </w:rPr>
      </w:pPr>
      <w:r>
        <w:rPr>
          <w:rFonts w:hint="eastAsia" w:ascii="宋体" w:hAnsi="宋体"/>
          <w:sz w:val="32"/>
          <w:szCs w:val="32"/>
          <w:lang w:eastAsia="zh-CN"/>
        </w:rPr>
        <w:t>（三）</w:t>
      </w:r>
      <w:r>
        <w:rPr>
          <w:rFonts w:hint="eastAsia" w:ascii="宋体" w:hAnsi="宋体"/>
          <w:sz w:val="32"/>
          <w:szCs w:val="32"/>
        </w:rPr>
        <w:t>电子卖场采购制度</w:t>
      </w:r>
      <w:r>
        <w:rPr>
          <w:rFonts w:hint="eastAsia" w:ascii="宋体" w:hAnsi="宋体"/>
          <w:sz w:val="32"/>
          <w:szCs w:val="32"/>
          <w:lang w:eastAsia="zh-CN"/>
        </w:rPr>
        <w:t>有</w:t>
      </w:r>
      <w:r>
        <w:rPr>
          <w:rFonts w:hint="eastAsia" w:ascii="宋体" w:hAnsi="宋体"/>
          <w:sz w:val="32"/>
          <w:szCs w:val="32"/>
        </w:rPr>
        <w:t>待建全。</w:t>
      </w:r>
    </w:p>
    <w:p>
      <w:pPr>
        <w:numPr>
          <w:ilvl w:val="0"/>
          <w:numId w:val="0"/>
        </w:numPr>
        <w:spacing w:before="0" w:after="0" w:line="600" w:lineRule="auto"/>
        <w:ind w:left="640" w:leftChars="0" w:right="0"/>
        <w:jc w:val="both"/>
        <w:rPr>
          <w:rFonts w:hint="eastAsia" w:ascii="宋体" w:hAnsi="宋体" w:eastAsia="宋体" w:cs="宋体"/>
          <w:b/>
          <w:bCs/>
          <w:color w:val="auto"/>
          <w:spacing w:val="0"/>
          <w:position w:val="0"/>
          <w:sz w:val="32"/>
          <w:szCs w:val="32"/>
          <w:shd w:val="clear" w:color="060000" w:fill="auto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pacing w:val="0"/>
          <w:position w:val="0"/>
          <w:sz w:val="32"/>
          <w:szCs w:val="32"/>
          <w:shd w:val="clear" w:color="060000" w:fill="auto"/>
          <w:lang w:val="en-US" w:eastAsia="zh-CN"/>
        </w:rPr>
        <w:t>七、改进措施和有关建议</w:t>
      </w:r>
    </w:p>
    <w:p>
      <w:pPr>
        <w:adjustRightInd w:val="0"/>
        <w:snapToGrid w:val="0"/>
        <w:spacing w:line="600" w:lineRule="exact"/>
        <w:ind w:firstLine="640" w:firstLineChars="200"/>
        <w:rPr>
          <w:rFonts w:hint="eastAsia" w:ascii="宋体" w:hAnsi="宋体"/>
          <w:sz w:val="32"/>
          <w:szCs w:val="32"/>
          <w:lang w:val="en-US" w:eastAsia="zh-CN"/>
        </w:rPr>
      </w:pPr>
      <w:r>
        <w:rPr>
          <w:rFonts w:hint="eastAsia" w:ascii="宋体" w:hAnsi="宋体"/>
          <w:sz w:val="32"/>
          <w:szCs w:val="32"/>
          <w:lang w:val="en-US" w:eastAsia="zh-CN"/>
        </w:rPr>
        <w:t>（一）财务核算有待进一步规范；</w:t>
      </w:r>
    </w:p>
    <w:p>
      <w:pPr>
        <w:adjustRightInd w:val="0"/>
        <w:snapToGrid w:val="0"/>
        <w:spacing w:line="600" w:lineRule="exact"/>
        <w:ind w:firstLine="640" w:firstLineChars="200"/>
        <w:rPr>
          <w:rFonts w:hint="eastAsia" w:ascii="宋体" w:hAnsi="宋体"/>
          <w:sz w:val="32"/>
          <w:szCs w:val="32"/>
          <w:lang w:val="en-US" w:eastAsia="zh-CN"/>
        </w:rPr>
      </w:pPr>
      <w:r>
        <w:rPr>
          <w:rFonts w:hint="eastAsia" w:ascii="宋体" w:hAnsi="宋体"/>
          <w:sz w:val="32"/>
          <w:szCs w:val="32"/>
          <w:lang w:val="en-US" w:eastAsia="zh-CN"/>
        </w:rPr>
        <w:t>（二）公务接待方面有待进一步完善；</w:t>
      </w:r>
    </w:p>
    <w:p>
      <w:pPr>
        <w:adjustRightInd w:val="0"/>
        <w:snapToGrid w:val="0"/>
        <w:spacing w:line="600" w:lineRule="exact"/>
        <w:ind w:firstLine="640" w:firstLineChars="200"/>
        <w:rPr>
          <w:rFonts w:hint="eastAsia" w:ascii="宋体" w:hAnsi="宋体"/>
          <w:sz w:val="32"/>
          <w:szCs w:val="32"/>
          <w:lang w:val="en-US" w:eastAsia="zh-CN"/>
        </w:rPr>
      </w:pPr>
      <w:r>
        <w:rPr>
          <w:rFonts w:hint="eastAsia" w:ascii="宋体" w:hAnsi="宋体"/>
          <w:sz w:val="32"/>
          <w:szCs w:val="32"/>
          <w:lang w:val="en-US" w:eastAsia="zh-CN"/>
        </w:rPr>
        <w:t>（三）电子卖场采购制度有待建全</w:t>
      </w:r>
    </w:p>
    <w:p>
      <w:pPr>
        <w:adjustRightInd w:val="0"/>
        <w:snapToGrid w:val="0"/>
        <w:spacing w:line="600" w:lineRule="exact"/>
        <w:ind w:firstLine="640" w:firstLineChars="200"/>
        <w:rPr>
          <w:rFonts w:hint="eastAsia" w:ascii="宋体" w:hAnsi="宋体"/>
          <w:sz w:val="32"/>
          <w:szCs w:val="32"/>
          <w:lang w:val="en-US" w:eastAsia="zh-CN"/>
        </w:rPr>
      </w:pPr>
      <w:r>
        <w:rPr>
          <w:rFonts w:hint="eastAsia" w:ascii="宋体" w:hAnsi="宋体"/>
          <w:sz w:val="32"/>
          <w:szCs w:val="32"/>
          <w:lang w:val="en-US" w:eastAsia="zh-CN"/>
        </w:rPr>
        <w:t>（四）健全制度，加强内部管理。</w:t>
      </w:r>
    </w:p>
    <w:p>
      <w:pPr>
        <w:widowControl/>
        <w:shd w:val="clear" w:color="auto" w:fill="FFFFFF"/>
        <w:wordWrap/>
        <w:adjustRightInd/>
        <w:snapToGrid/>
        <w:spacing w:before="0" w:after="0" w:line="240" w:lineRule="auto"/>
        <w:ind w:right="0" w:firstLine="570"/>
        <w:jc w:val="left"/>
        <w:outlineLvl w:val="9"/>
        <w:rPr>
          <w:rFonts w:hint="eastAsia" w:ascii="宋体" w:hAnsi="宋体" w:eastAsia="宋体" w:cs="宋体"/>
          <w:b w:val="0"/>
          <w:bCs/>
          <w:color w:val="auto"/>
          <w:sz w:val="28"/>
          <w:szCs w:val="28"/>
          <w:lang w:val="en-US" w:eastAsia="zh-CN"/>
        </w:rPr>
      </w:pPr>
      <w:r>
        <w:rPr>
          <w:rFonts w:hint="eastAsia" w:ascii="宋体" w:hAnsi="宋体"/>
          <w:color w:val="000000"/>
          <w:sz w:val="30"/>
          <w:lang w:val="en-US" w:eastAsia="zh-CN"/>
        </w:rPr>
        <w:t>附件：</w:t>
      </w:r>
      <w:r>
        <w:rPr>
          <w:rFonts w:hint="eastAsia" w:ascii="宋体" w:hAnsi="宋体"/>
          <w:color w:val="000000"/>
          <w:sz w:val="30"/>
          <w:lang w:val="en-US" w:eastAsia="zh-CN"/>
        </w:rPr>
        <w:fldChar w:fldCharType="begin"/>
      </w:r>
      <w:r>
        <w:rPr>
          <w:rFonts w:hint="eastAsia" w:ascii="宋体" w:hAnsi="宋体"/>
          <w:color w:val="000000"/>
          <w:sz w:val="30"/>
          <w:lang w:val="en-US" w:eastAsia="zh-CN"/>
        </w:rPr>
        <w:instrText xml:space="preserve"> HYPERLINK "file:///C:\\Users\\Administrator\\Desktop\\10.18\\绩效自评模板\\2016年永州市直部门整体支出绩效评价指标表.doc" </w:instrText>
      </w:r>
      <w:r>
        <w:rPr>
          <w:rFonts w:hint="eastAsia" w:ascii="宋体" w:hAnsi="宋体"/>
          <w:color w:val="000000"/>
          <w:sz w:val="30"/>
          <w:lang w:val="en-US" w:eastAsia="zh-CN"/>
        </w:rPr>
        <w:fldChar w:fldCharType="separate"/>
      </w:r>
      <w:r>
        <w:rPr>
          <w:rFonts w:hint="eastAsia" w:ascii="宋体" w:hAnsi="宋体"/>
          <w:color w:val="000000"/>
          <w:sz w:val="30"/>
          <w:lang w:val="en-US" w:eastAsia="zh-CN"/>
        </w:rPr>
        <w:t>部门整体支出绩效评价指标表</w:t>
      </w:r>
      <w:r>
        <w:rPr>
          <w:rFonts w:hint="eastAsia" w:ascii="宋体" w:hAnsi="宋体"/>
          <w:color w:val="000000"/>
          <w:sz w:val="30"/>
          <w:lang w:val="en-US" w:eastAsia="zh-CN"/>
        </w:rPr>
        <w:fldChar w:fldCharType="end"/>
      </w:r>
    </w:p>
    <w:p>
      <w:pPr>
        <w:widowControl/>
        <w:shd w:val="clear" w:color="auto" w:fill="FFFFFF"/>
        <w:wordWrap/>
        <w:adjustRightInd/>
        <w:snapToGrid/>
        <w:spacing w:before="0" w:after="0" w:line="240" w:lineRule="auto"/>
        <w:ind w:right="0"/>
        <w:jc w:val="left"/>
        <w:outlineLvl w:val="9"/>
        <w:rPr>
          <w:rFonts w:hint="eastAsia" w:ascii="宋体" w:hAnsi="宋体" w:eastAsia="宋体" w:cs="宋体"/>
          <w:b w:val="0"/>
          <w:bCs/>
          <w:color w:val="auto"/>
          <w:sz w:val="28"/>
          <w:szCs w:val="28"/>
          <w:lang w:val="en-US" w:eastAsia="zh-CN"/>
        </w:rPr>
      </w:pPr>
    </w:p>
    <w:p>
      <w:pPr>
        <w:spacing w:before="0" w:after="0" w:line="240" w:lineRule="auto"/>
        <w:ind w:left="0" w:right="0" w:firstLine="0"/>
        <w:jc w:val="both"/>
        <w:rPr>
          <w:rFonts w:ascii="仿宋" w:hAnsi="仿宋" w:eastAsia="仿宋" w:cs="仿宋"/>
          <w:color w:val="auto"/>
          <w:spacing w:val="0"/>
          <w:position w:val="0"/>
          <w:sz w:val="32"/>
          <w:szCs w:val="32"/>
          <w:shd w:val="clear" w:color="060000" w:fill="auto"/>
        </w:rPr>
      </w:pPr>
      <w:r>
        <w:rPr>
          <w:rFonts w:ascii="宋体" w:hAnsi="宋体" w:eastAsia="宋体" w:cs="宋体"/>
          <w:b/>
          <w:color w:val="auto"/>
          <w:spacing w:val="0"/>
          <w:position w:val="0"/>
          <w:sz w:val="32"/>
          <w:szCs w:val="32"/>
          <w:shd w:val="clear" w:color="070000" w:fill="auto"/>
        </w:rPr>
        <w:t xml:space="preserve">   </w:t>
      </w:r>
    </w:p>
    <w:p>
      <w:pPr>
        <w:widowControl w:val="0"/>
        <w:spacing w:before="0" w:after="0" w:line="240" w:lineRule="auto"/>
        <w:ind w:right="0" w:firstLine="4819" w:firstLineChars="1500"/>
        <w:jc w:val="both"/>
        <w:rPr>
          <w:rFonts w:ascii="宋体" w:hAnsi="宋体" w:eastAsia="宋体" w:cs="宋体"/>
          <w:b/>
          <w:color w:val="5A5A5A"/>
          <w:spacing w:val="0"/>
          <w:position w:val="0"/>
          <w:sz w:val="32"/>
          <w:szCs w:val="32"/>
          <w:shd w:val="clear" w:color="070000" w:fill="auto"/>
        </w:rPr>
      </w:pPr>
      <w:r>
        <w:rPr>
          <w:rFonts w:ascii="宋体" w:hAnsi="宋体" w:eastAsia="宋体" w:cs="宋体"/>
          <w:b/>
          <w:color w:val="5A5A5A"/>
          <w:spacing w:val="0"/>
          <w:position w:val="0"/>
          <w:sz w:val="32"/>
          <w:szCs w:val="32"/>
          <w:shd w:val="clear" w:color="070000" w:fill="auto"/>
        </w:rPr>
        <w:t>道县</w:t>
      </w:r>
      <w:r>
        <w:rPr>
          <w:rFonts w:hint="eastAsia" w:ascii="宋体" w:hAnsi="宋体" w:cs="宋体"/>
          <w:b/>
          <w:color w:val="5A5A5A"/>
          <w:spacing w:val="0"/>
          <w:position w:val="0"/>
          <w:sz w:val="32"/>
          <w:szCs w:val="32"/>
          <w:shd w:val="clear" w:color="070000" w:fill="auto"/>
          <w:lang w:eastAsia="zh-CN"/>
        </w:rPr>
        <w:t>文化艺术界联合会</w:t>
      </w:r>
      <w:r>
        <w:rPr>
          <w:rFonts w:ascii="宋体" w:hAnsi="宋体" w:eastAsia="宋体" w:cs="宋体"/>
          <w:b/>
          <w:color w:val="5A5A5A"/>
          <w:spacing w:val="0"/>
          <w:position w:val="0"/>
          <w:sz w:val="32"/>
          <w:szCs w:val="32"/>
          <w:shd w:val="clear" w:color="070000" w:fill="auto"/>
        </w:rPr>
        <w:t xml:space="preserve">    </w:t>
      </w:r>
    </w:p>
    <w:p>
      <w:pPr>
        <w:widowControl w:val="0"/>
        <w:spacing w:before="0" w:after="0" w:line="600" w:lineRule="auto"/>
        <w:ind w:left="0" w:right="0" w:firstLine="5140"/>
        <w:jc w:val="both"/>
        <w:rPr>
          <w:rFonts w:ascii="宋体" w:hAnsi="宋体" w:eastAsia="宋体" w:cs="宋体"/>
          <w:b/>
          <w:color w:val="5A5A5A"/>
          <w:spacing w:val="0"/>
          <w:position w:val="0"/>
          <w:sz w:val="32"/>
          <w:szCs w:val="32"/>
          <w:shd w:val="clear" w:color="070000" w:fill="auto"/>
        </w:rPr>
      </w:pPr>
      <w:r>
        <w:rPr>
          <w:rFonts w:ascii="宋体" w:hAnsi="宋体" w:eastAsia="宋体" w:cs="宋体"/>
          <w:b/>
          <w:color w:val="5A5A5A"/>
          <w:spacing w:val="0"/>
          <w:position w:val="0"/>
          <w:sz w:val="32"/>
          <w:szCs w:val="32"/>
          <w:shd w:val="clear" w:color="070000" w:fill="auto"/>
        </w:rPr>
        <w:t>202</w:t>
      </w:r>
      <w:r>
        <w:rPr>
          <w:rFonts w:hint="eastAsia" w:ascii="宋体" w:hAnsi="宋体" w:cs="宋体"/>
          <w:b/>
          <w:color w:val="5A5A5A"/>
          <w:spacing w:val="0"/>
          <w:position w:val="0"/>
          <w:sz w:val="32"/>
          <w:szCs w:val="32"/>
          <w:shd w:val="clear" w:color="070000" w:fill="auto"/>
          <w:lang w:val="en-US" w:eastAsia="zh-CN"/>
        </w:rPr>
        <w:t>2</w:t>
      </w:r>
      <w:r>
        <w:rPr>
          <w:rFonts w:ascii="宋体" w:hAnsi="宋体" w:eastAsia="宋体" w:cs="宋体"/>
          <w:b/>
          <w:color w:val="5A5A5A"/>
          <w:spacing w:val="0"/>
          <w:position w:val="0"/>
          <w:sz w:val="32"/>
          <w:szCs w:val="32"/>
          <w:shd w:val="clear" w:color="070000" w:fill="auto"/>
        </w:rPr>
        <w:t>年6月25日</w:t>
      </w:r>
    </w:p>
    <w:p>
      <w:pPr>
        <w:spacing w:before="0" w:after="0" w:line="240" w:lineRule="auto"/>
        <w:ind w:left="0" w:right="0" w:firstLine="0"/>
        <w:jc w:val="both"/>
        <w:rPr>
          <w:rFonts w:ascii="Times New Roman" w:hAnsi="Times New Roman" w:eastAsia="Times New Roman" w:cs="Times New Roman"/>
          <w:color w:val="auto"/>
          <w:spacing w:val="0"/>
          <w:position w:val="0"/>
          <w:sz w:val="32"/>
          <w:szCs w:val="32"/>
          <w:shd w:val="clear" w:color="060000" w:fill="auto"/>
        </w:rPr>
      </w:pPr>
    </w:p>
    <w:p>
      <w:pPr>
        <w:spacing w:before="0" w:after="0" w:line="600" w:lineRule="auto"/>
        <w:ind w:left="0" w:right="0" w:firstLine="0"/>
        <w:jc w:val="both"/>
        <w:rPr>
          <w:rFonts w:ascii="Times New Roman" w:hAnsi="Times New Roman" w:eastAsia="Times New Roman" w:cs="Times New Roman"/>
          <w:color w:val="auto"/>
          <w:spacing w:val="0"/>
          <w:position w:val="0"/>
          <w:sz w:val="32"/>
          <w:shd w:val="clear" w:color="050000" w:fill="auto"/>
        </w:rPr>
      </w:pPr>
    </w:p>
    <w:p>
      <w:pPr>
        <w:spacing w:before="0" w:after="0" w:line="600" w:lineRule="auto"/>
        <w:ind w:right="0"/>
        <w:jc w:val="both"/>
        <w:rPr>
          <w:rFonts w:ascii="Times New Roman" w:hAnsi="Times New Roman" w:eastAsia="Times New Roman" w:cs="Times New Roman"/>
          <w:color w:val="auto"/>
          <w:spacing w:val="0"/>
          <w:position w:val="0"/>
          <w:sz w:val="32"/>
          <w:shd w:val="clear" w:color="050000" w:fill="auto"/>
        </w:rPr>
      </w:pPr>
    </w:p>
    <w:p>
      <w:pPr>
        <w:spacing w:before="0" w:after="0" w:line="600" w:lineRule="auto"/>
        <w:ind w:left="0" w:right="0" w:firstLine="640"/>
        <w:jc w:val="both"/>
        <w:rPr>
          <w:rFonts w:ascii="Times New Roman" w:hAnsi="Times New Roman" w:eastAsia="Times New Roman" w:cs="Times New Roman"/>
          <w:color w:val="auto"/>
          <w:spacing w:val="0"/>
          <w:position w:val="0"/>
          <w:sz w:val="32"/>
          <w:shd w:val="clear" w:color="050000" w:fill="auto"/>
        </w:rPr>
      </w:pPr>
    </w:p>
    <w:p>
      <w:pPr>
        <w:spacing w:before="0" w:after="0" w:line="240" w:lineRule="auto"/>
        <w:ind w:left="0" w:right="0" w:firstLine="0"/>
        <w:jc w:val="both"/>
        <w:rPr>
          <w:rFonts w:ascii="Times New Roman" w:hAnsi="Times New Roman" w:eastAsia="Times New Roman" w:cs="Times New Roman"/>
          <w:color w:val="auto"/>
          <w:spacing w:val="0"/>
          <w:position w:val="0"/>
          <w:sz w:val="21"/>
          <w:shd w:val="clear" w:color="050000" w:fill="auto"/>
        </w:rPr>
      </w:pPr>
    </w:p>
    <w:sectPr>
      <w:pgSz w:w="11906" w:h="16838"/>
      <w:pgMar w:top="1440" w:right="1800" w:bottom="1440" w:left="1800" w:header="720" w:footer="72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DB29C50"/>
    <w:multiLevelType w:val="singleLevel"/>
    <w:tmpl w:val="5DB29C50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625180D8"/>
    <w:multiLevelType w:val="singleLevel"/>
    <w:tmpl w:val="625180D8"/>
    <w:lvl w:ilvl="0" w:tentative="0">
      <w:start w:val="2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isplayHorizontalDrawingGridEvery w:val="1"/>
  <w:displayVerticalDrawingGridEvery w:val="1"/>
  <w:characterSpacingControl w:val="compressPunctuation"/>
  <w:compat>
    <w:spaceForUL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F087227"/>
    <w:rsid w:val="2A742DB8"/>
    <w:rsid w:val="40016B7C"/>
    <w:rsid w:val="579E562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nhideWhenUsed="0" w:uiPriority="0" w:semiHidden="0" w:name="Balloon Text"/>
    <w:lsdException w:uiPriority="9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黑体"/>
      <w:sz w:val="21"/>
      <w:szCs w:val="22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endnote text"/>
    <w:basedOn w:val="1"/>
    <w:link w:val="11"/>
    <w:uiPriority w:val="0"/>
    <w:pPr>
      <w:snapToGrid w:val="0"/>
      <w:jc w:val="left"/>
    </w:pPr>
    <w:rPr>
      <w:rFonts w:hint="eastAsia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unhideWhenUsed/>
    <w:qFormat/>
    <w:uiPriority w:val="0"/>
    <w:pPr>
      <w:spacing w:before="100" w:beforeAutospacing="1" w:after="100" w:afterAutospacing="1"/>
      <w:jc w:val="left"/>
    </w:pPr>
    <w:rPr>
      <w:rFonts w:ascii="Calibri" w:hAnsi="Calibri"/>
      <w:kern w:val="0"/>
      <w:sz w:val="24"/>
    </w:rPr>
  </w:style>
  <w:style w:type="character" w:styleId="8">
    <w:name w:val="page number"/>
    <w:basedOn w:val="7"/>
    <w:uiPriority w:val="0"/>
  </w:style>
  <w:style w:type="paragraph" w:customStyle="1" w:styleId="9">
    <w:name w:val="页脚1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customStyle="1" w:styleId="10">
    <w:name w:val="页眉1"/>
    <w:basedOn w:val="1"/>
    <w:uiPriority w:val="0"/>
    <w:pPr>
      <w:pBdr>
        <w:bottom w:val="single" w:color="000000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1">
    <w:name w:val="尾注文本 Char Char"/>
    <w:basedOn w:val="7"/>
    <w:link w:val="2"/>
    <w:uiPriority w:val="0"/>
    <w:rPr>
      <w:rFonts w:hint="eastAsia"/>
    </w:rPr>
  </w:style>
  <w:style w:type="character" w:customStyle="1" w:styleId="12">
    <w:name w:val="NormalCharacter"/>
    <w:semiHidden/>
    <w:uiPriority w:val="0"/>
  </w:style>
  <w:style w:type="character" w:customStyle="1" w:styleId="13">
    <w:name w:val="PageNumber"/>
    <w:basedOn w:val="12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0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Office_11.1.0.9021_F1E327BC-269C-435d-A152-05C5408002CA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2021-06-25T11:57:00Z</dcterms:created>
  <dc:creator>Administrator</dc:creator>
  <cp:lastModifiedBy>Administrator</cp:lastModifiedBy>
  <dcterms:modified xsi:type="dcterms:W3CDTF">2025-09-12T08:38:09Z</dcterms:modified>
  <dc:title>2020年度道县文化艺术联合会整体支出绩效评价报告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2052-11.1.0.9021</vt:lpwstr>
  </property>
  <property fmtid="{D5CDD505-2E9C-101B-9397-08002B2CF9AE}" pid="3" name="ICV">
    <vt:lpwstr>AA86FB2628A34218AFE01F920C11209B_13</vt:lpwstr>
  </property>
</Properties>
</file>