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9"/>
        <w:jc w:val="center"/>
        <w:rPr>
          <w:rFonts w:hint="eastAsia"/>
          <w:sz w:val="56"/>
          <w:szCs w:val="56"/>
        </w:rPr>
      </w:pPr>
    </w:p>
    <w:p>
      <w:pPr>
        <w:pStyle w:val="9"/>
        <w:jc w:val="center"/>
        <w:rPr>
          <w:sz w:val="56"/>
          <w:szCs w:val="56"/>
        </w:rPr>
      </w:pPr>
    </w:p>
    <w:p>
      <w:pPr>
        <w:pStyle w:val="9"/>
        <w:jc w:val="center"/>
        <w:rPr>
          <w:sz w:val="84"/>
          <w:szCs w:val="84"/>
        </w:rPr>
      </w:pPr>
    </w:p>
    <w:p>
      <w:pPr>
        <w:pStyle w:val="9"/>
        <w:jc w:val="center"/>
        <w:rPr>
          <w:sz w:val="84"/>
          <w:szCs w:val="84"/>
        </w:rPr>
      </w:pPr>
    </w:p>
    <w:p>
      <w:pPr>
        <w:pStyle w:val="9"/>
        <w:jc w:val="center"/>
        <w:rPr>
          <w:sz w:val="84"/>
          <w:szCs w:val="84"/>
        </w:rPr>
      </w:pPr>
      <w:r>
        <w:rPr>
          <w:rFonts w:hint="eastAsia"/>
          <w:sz w:val="84"/>
          <w:szCs w:val="84"/>
        </w:rPr>
        <w:t>2021年度</w:t>
      </w:r>
    </w:p>
    <w:p>
      <w:pPr>
        <w:pStyle w:val="9"/>
        <w:jc w:val="center"/>
        <w:rPr>
          <w:rFonts w:hint="eastAsia"/>
          <w:sz w:val="84"/>
          <w:szCs w:val="84"/>
        </w:rPr>
      </w:pPr>
      <w:r>
        <w:rPr>
          <w:rFonts w:hint="eastAsia"/>
          <w:sz w:val="84"/>
          <w:szCs w:val="84"/>
        </w:rPr>
        <w:t>道县文学艺术界联合会</w:t>
      </w:r>
    </w:p>
    <w:p>
      <w:pPr>
        <w:pStyle w:val="9"/>
        <w:jc w:val="center"/>
        <w:rPr>
          <w:sz w:val="84"/>
          <w:szCs w:val="84"/>
        </w:rPr>
      </w:pPr>
      <w:r>
        <w:rPr>
          <w:rFonts w:hint="eastAsia"/>
          <w:sz w:val="84"/>
          <w:szCs w:val="84"/>
        </w:rPr>
        <w:t>部门决算</w:t>
      </w:r>
    </w:p>
    <w:p>
      <w:pPr>
        <w:pStyle w:val="9"/>
        <w:jc w:val="center"/>
        <w:rPr>
          <w:sz w:val="56"/>
          <w:szCs w:val="56"/>
        </w:rPr>
      </w:pPr>
    </w:p>
    <w:p>
      <w:pPr>
        <w:pStyle w:val="9"/>
        <w:jc w:val="center"/>
        <w:rPr>
          <w:sz w:val="56"/>
          <w:szCs w:val="56"/>
        </w:rPr>
      </w:pPr>
    </w:p>
    <w:p>
      <w:pPr>
        <w:pStyle w:val="9"/>
        <w:jc w:val="center"/>
        <w:rPr>
          <w:sz w:val="56"/>
          <w:szCs w:val="56"/>
        </w:rPr>
      </w:pPr>
    </w:p>
    <w:p>
      <w:pPr>
        <w:pStyle w:val="9"/>
        <w:jc w:val="center"/>
        <w:rPr>
          <w:sz w:val="56"/>
          <w:szCs w:val="56"/>
        </w:rPr>
      </w:pPr>
    </w:p>
    <w:p>
      <w:pPr>
        <w:pStyle w:val="9"/>
        <w:jc w:val="center"/>
        <w:rPr>
          <w:sz w:val="32"/>
          <w:szCs w:val="32"/>
        </w:rPr>
      </w:pPr>
    </w:p>
    <w:p>
      <w:pPr>
        <w:pStyle w:val="9"/>
        <w:jc w:val="center"/>
        <w:rPr>
          <w:sz w:val="32"/>
          <w:szCs w:val="32"/>
        </w:rPr>
      </w:pPr>
    </w:p>
    <w:p>
      <w:pPr>
        <w:pStyle w:val="9"/>
        <w:jc w:val="center"/>
        <w:rPr>
          <w:sz w:val="32"/>
          <w:szCs w:val="32"/>
        </w:rPr>
      </w:pPr>
    </w:p>
    <w:p>
      <w:pPr>
        <w:pStyle w:val="9"/>
        <w:jc w:val="center"/>
        <w:rPr>
          <w:sz w:val="32"/>
          <w:szCs w:val="32"/>
        </w:rPr>
      </w:pPr>
    </w:p>
    <w:p>
      <w:pPr>
        <w:pStyle w:val="9"/>
        <w:jc w:val="center"/>
        <w:rPr>
          <w:sz w:val="32"/>
          <w:szCs w:val="32"/>
        </w:rPr>
      </w:pPr>
    </w:p>
    <w:p>
      <w:pPr>
        <w:pStyle w:val="9"/>
        <w:spacing w:line="540" w:lineRule="exact"/>
        <w:jc w:val="center"/>
        <w:rPr>
          <w:sz w:val="56"/>
          <w:szCs w:val="56"/>
        </w:rPr>
      </w:pPr>
    </w:p>
    <w:p>
      <w:pPr>
        <w:pStyle w:val="9"/>
        <w:spacing w:line="500" w:lineRule="exact"/>
        <w:jc w:val="center"/>
        <w:rPr>
          <w:b/>
          <w:sz w:val="36"/>
          <w:szCs w:val="28"/>
        </w:rPr>
      </w:pPr>
    </w:p>
    <w:p>
      <w:pPr>
        <w:pStyle w:val="9"/>
        <w:spacing w:line="500" w:lineRule="exact"/>
        <w:jc w:val="center"/>
        <w:rPr>
          <w:b/>
          <w:sz w:val="36"/>
          <w:szCs w:val="28"/>
        </w:rPr>
      </w:pPr>
    </w:p>
    <w:p>
      <w:pPr>
        <w:pStyle w:val="9"/>
        <w:spacing w:line="500" w:lineRule="exact"/>
        <w:jc w:val="center"/>
        <w:rPr>
          <w:b/>
          <w:sz w:val="36"/>
          <w:szCs w:val="28"/>
        </w:rPr>
      </w:pPr>
      <w:r>
        <w:rPr>
          <w:rFonts w:hint="eastAsia"/>
          <w:b/>
          <w:sz w:val="36"/>
          <w:szCs w:val="28"/>
        </w:rPr>
        <w:t>目录</w:t>
      </w:r>
    </w:p>
    <w:p>
      <w:pPr>
        <w:pStyle w:val="9"/>
        <w:spacing w:line="500" w:lineRule="exact"/>
        <w:rPr>
          <w:rFonts w:hint="eastAsia"/>
          <w:b/>
          <w:sz w:val="28"/>
          <w:szCs w:val="28"/>
        </w:rPr>
      </w:pPr>
      <w:r>
        <w:rPr>
          <w:rFonts w:hint="eastAsia"/>
          <w:b/>
          <w:sz w:val="28"/>
          <w:szCs w:val="28"/>
        </w:rPr>
        <w:t>第一部分道县文学艺术界联合会概况</w:t>
      </w:r>
    </w:p>
    <w:p>
      <w:pPr>
        <w:pStyle w:val="9"/>
        <w:spacing w:line="500" w:lineRule="exact"/>
        <w:ind w:firstLine="700" w:firstLineChars="250"/>
        <w:rPr>
          <w:rFonts w:cs="仿宋_GB2312" w:asciiTheme="minorEastAsia" w:hAnsiTheme="minorEastAsia" w:eastAsiaTheme="minorEastAsia"/>
          <w:sz w:val="28"/>
          <w:szCs w:val="28"/>
        </w:rPr>
      </w:pPr>
      <w:r>
        <w:rPr>
          <w:rFonts w:cs="仿宋_GB2312" w:asciiTheme="minorEastAsia" w:hAnsiTheme="minorEastAsia" w:eastAsiaTheme="minorEastAsia"/>
          <w:sz w:val="28"/>
          <w:szCs w:val="28"/>
        </w:rPr>
        <w:t>一、部门职责</w:t>
      </w:r>
    </w:p>
    <w:p>
      <w:pPr>
        <w:pStyle w:val="9"/>
        <w:spacing w:line="500" w:lineRule="exact"/>
        <w:ind w:firstLine="700" w:firstLineChars="250"/>
        <w:rPr>
          <w:rFonts w:cs="仿宋_GB2312" w:asciiTheme="minorEastAsia" w:hAnsiTheme="minorEastAsia" w:eastAsiaTheme="minorEastAsia"/>
          <w:sz w:val="28"/>
          <w:szCs w:val="28"/>
        </w:rPr>
      </w:pPr>
      <w:r>
        <w:rPr>
          <w:rFonts w:cs="仿宋_GB2312" w:asciiTheme="minorEastAsia" w:hAnsiTheme="minorEastAsia" w:eastAsiaTheme="minorEastAsia"/>
          <w:sz w:val="28"/>
          <w:szCs w:val="28"/>
        </w:rPr>
        <w:t>二、机构设置</w:t>
      </w:r>
    </w:p>
    <w:p>
      <w:pPr>
        <w:pStyle w:val="9"/>
        <w:spacing w:line="500" w:lineRule="exact"/>
        <w:rPr>
          <w:rFonts w:ascii="仿宋_GB2312" w:hAnsi="仿宋_GB2312" w:cs="仿宋_GB2312"/>
          <w:b/>
          <w:sz w:val="28"/>
          <w:szCs w:val="28"/>
        </w:rPr>
      </w:pPr>
      <w:r>
        <w:rPr>
          <w:rFonts w:hint="eastAsia" w:hAnsi="仿宋_GB2312"/>
          <w:b/>
          <w:sz w:val="28"/>
          <w:szCs w:val="28"/>
        </w:rPr>
        <w:t>第二部分</w:t>
      </w:r>
      <w:r>
        <w:rPr>
          <w:rFonts w:hint="eastAsia"/>
          <w:b/>
          <w:sz w:val="28"/>
          <w:szCs w:val="28"/>
        </w:rPr>
        <w:t>道县文学艺术界联合会</w:t>
      </w:r>
      <w:r>
        <w:rPr>
          <w:rFonts w:hAnsi="仿宋_GB2312"/>
          <w:b/>
          <w:sz w:val="28"/>
          <w:szCs w:val="28"/>
        </w:rPr>
        <w:t>20</w:t>
      </w:r>
      <w:r>
        <w:rPr>
          <w:rFonts w:hint="eastAsia" w:hAnsi="仿宋_GB2312"/>
          <w:b/>
          <w:sz w:val="28"/>
          <w:szCs w:val="28"/>
        </w:rPr>
        <w:t>21年度部门决算表</w:t>
      </w:r>
    </w:p>
    <w:p>
      <w:pPr>
        <w:pStyle w:val="9"/>
        <w:spacing w:line="500" w:lineRule="exact"/>
        <w:ind w:firstLine="700" w:firstLineChars="250"/>
        <w:rPr>
          <w:rFonts w:cs="仿宋_GB2312" w:asciiTheme="minorEastAsia" w:hAnsiTheme="minorEastAsia" w:eastAsiaTheme="minorEastAsia"/>
          <w:sz w:val="28"/>
          <w:szCs w:val="28"/>
        </w:rPr>
      </w:pPr>
      <w:r>
        <w:rPr>
          <w:rFonts w:cs="仿宋_GB2312" w:asciiTheme="minorEastAsia" w:hAnsiTheme="minorEastAsia" w:eastAsiaTheme="minorEastAsia"/>
          <w:sz w:val="28"/>
          <w:szCs w:val="28"/>
        </w:rPr>
        <w:t>一、收入支出决算总表</w:t>
      </w:r>
    </w:p>
    <w:p>
      <w:pPr>
        <w:pStyle w:val="9"/>
        <w:spacing w:line="500" w:lineRule="exact"/>
        <w:ind w:firstLine="700" w:firstLineChars="250"/>
        <w:rPr>
          <w:rFonts w:cs="仿宋_GB2312" w:asciiTheme="minorEastAsia" w:hAnsiTheme="minorEastAsia" w:eastAsiaTheme="minorEastAsia"/>
          <w:sz w:val="28"/>
          <w:szCs w:val="28"/>
        </w:rPr>
      </w:pPr>
      <w:r>
        <w:rPr>
          <w:rFonts w:cs="仿宋_GB2312" w:asciiTheme="minorEastAsia" w:hAnsiTheme="minorEastAsia" w:eastAsiaTheme="minorEastAsia"/>
          <w:sz w:val="28"/>
          <w:szCs w:val="28"/>
        </w:rPr>
        <w:t>二、收入决算表</w:t>
      </w:r>
    </w:p>
    <w:p>
      <w:pPr>
        <w:pStyle w:val="9"/>
        <w:spacing w:line="500" w:lineRule="exact"/>
        <w:ind w:firstLine="700" w:firstLineChars="250"/>
        <w:rPr>
          <w:rFonts w:cs="仿宋_GB2312" w:asciiTheme="minorEastAsia" w:hAnsiTheme="minorEastAsia" w:eastAsiaTheme="minorEastAsia"/>
          <w:sz w:val="28"/>
          <w:szCs w:val="28"/>
        </w:rPr>
      </w:pPr>
      <w:r>
        <w:rPr>
          <w:rFonts w:cs="仿宋_GB2312" w:asciiTheme="minorEastAsia" w:hAnsiTheme="minorEastAsia" w:eastAsiaTheme="minorEastAsia"/>
          <w:sz w:val="28"/>
          <w:szCs w:val="28"/>
        </w:rPr>
        <w:t>三、支出决算表</w:t>
      </w:r>
    </w:p>
    <w:p>
      <w:pPr>
        <w:pStyle w:val="9"/>
        <w:spacing w:line="500" w:lineRule="exact"/>
        <w:ind w:firstLine="700" w:firstLineChars="250"/>
        <w:rPr>
          <w:rFonts w:cs="仿宋_GB2312" w:asciiTheme="minorEastAsia" w:hAnsiTheme="minorEastAsia" w:eastAsiaTheme="minorEastAsia"/>
          <w:sz w:val="28"/>
          <w:szCs w:val="28"/>
        </w:rPr>
      </w:pPr>
      <w:r>
        <w:rPr>
          <w:rFonts w:cs="仿宋_GB2312" w:asciiTheme="minorEastAsia" w:hAnsiTheme="minorEastAsia" w:eastAsiaTheme="minorEastAsia"/>
          <w:sz w:val="28"/>
          <w:szCs w:val="28"/>
        </w:rPr>
        <w:t>四、财政拨款收入支出决算总表</w:t>
      </w:r>
    </w:p>
    <w:p>
      <w:pPr>
        <w:pStyle w:val="9"/>
        <w:spacing w:line="500" w:lineRule="exact"/>
        <w:ind w:firstLine="700" w:firstLineChars="250"/>
        <w:rPr>
          <w:rFonts w:cs="仿宋_GB2312" w:asciiTheme="minorEastAsia" w:hAnsiTheme="minorEastAsia" w:eastAsiaTheme="minorEastAsia"/>
          <w:sz w:val="28"/>
          <w:szCs w:val="28"/>
        </w:rPr>
      </w:pPr>
      <w:r>
        <w:rPr>
          <w:rFonts w:cs="仿宋_GB2312" w:asciiTheme="minorEastAsia" w:hAnsiTheme="minorEastAsia" w:eastAsiaTheme="minorEastAsia"/>
          <w:sz w:val="28"/>
          <w:szCs w:val="28"/>
        </w:rPr>
        <w:t>五、一般公共预算财政拨款支出决算表</w:t>
      </w:r>
    </w:p>
    <w:p>
      <w:pPr>
        <w:pStyle w:val="9"/>
        <w:spacing w:line="500" w:lineRule="exact"/>
        <w:ind w:firstLine="700" w:firstLineChars="250"/>
        <w:rPr>
          <w:rFonts w:cs="仿宋_GB2312" w:asciiTheme="minorEastAsia" w:hAnsiTheme="minorEastAsia" w:eastAsiaTheme="minorEastAsia"/>
          <w:sz w:val="28"/>
          <w:szCs w:val="28"/>
        </w:rPr>
      </w:pPr>
      <w:r>
        <w:rPr>
          <w:rFonts w:cs="仿宋_GB2312" w:asciiTheme="minorEastAsia" w:hAnsiTheme="minorEastAsia" w:eastAsiaTheme="minorEastAsia"/>
          <w:sz w:val="28"/>
          <w:szCs w:val="28"/>
        </w:rPr>
        <w:t>六、一般公共预算财政拨款基本支出决算</w:t>
      </w:r>
      <w:r>
        <w:rPr>
          <w:rFonts w:hint="eastAsia" w:cs="仿宋_GB2312" w:asciiTheme="minorEastAsia" w:hAnsiTheme="minorEastAsia" w:eastAsiaTheme="minorEastAsia"/>
          <w:sz w:val="28"/>
          <w:szCs w:val="28"/>
        </w:rPr>
        <w:t>明细</w:t>
      </w:r>
      <w:r>
        <w:rPr>
          <w:rFonts w:cs="仿宋_GB2312" w:asciiTheme="minorEastAsia" w:hAnsiTheme="minorEastAsia" w:eastAsiaTheme="minorEastAsia"/>
          <w:sz w:val="28"/>
          <w:szCs w:val="28"/>
        </w:rPr>
        <w:t>表</w:t>
      </w:r>
    </w:p>
    <w:p>
      <w:pPr>
        <w:pStyle w:val="9"/>
        <w:spacing w:line="500" w:lineRule="exact"/>
        <w:ind w:firstLine="700" w:firstLineChars="250"/>
        <w:rPr>
          <w:rFonts w:cs="仿宋_GB2312" w:asciiTheme="minorEastAsia" w:hAnsiTheme="minorEastAsia" w:eastAsiaTheme="minorEastAsia"/>
          <w:sz w:val="28"/>
          <w:szCs w:val="28"/>
        </w:rPr>
      </w:pPr>
      <w:r>
        <w:rPr>
          <w:rFonts w:cs="仿宋_GB2312" w:asciiTheme="minorEastAsia" w:hAnsiTheme="minorEastAsia" w:eastAsiaTheme="minorEastAsia"/>
          <w:sz w:val="28"/>
          <w:szCs w:val="28"/>
        </w:rPr>
        <w:t>七、一般公共预算财政拨款“三公”经费支出决算表</w:t>
      </w:r>
    </w:p>
    <w:p>
      <w:pPr>
        <w:pStyle w:val="9"/>
        <w:spacing w:line="500" w:lineRule="exact"/>
        <w:ind w:firstLine="700" w:firstLineChars="250"/>
        <w:rPr>
          <w:rFonts w:cs="仿宋_GB2312" w:asciiTheme="minorEastAsia" w:hAnsiTheme="minorEastAsia" w:eastAsiaTheme="minorEastAsia"/>
          <w:sz w:val="28"/>
          <w:szCs w:val="28"/>
        </w:rPr>
      </w:pPr>
      <w:r>
        <w:rPr>
          <w:rFonts w:cs="仿宋_GB2312" w:asciiTheme="minorEastAsia" w:hAnsiTheme="minorEastAsia" w:eastAsiaTheme="minorEastAsia"/>
          <w:sz w:val="28"/>
          <w:szCs w:val="28"/>
        </w:rPr>
        <w:t>八、政府性基金预算财政拨款收入支出决算表</w:t>
      </w:r>
    </w:p>
    <w:p>
      <w:pPr>
        <w:pStyle w:val="9"/>
        <w:spacing w:line="500" w:lineRule="exact"/>
        <w:ind w:firstLine="700" w:firstLineChars="250"/>
        <w:rPr>
          <w:rFonts w:cs="仿宋_GB2312" w:asciiTheme="minorEastAsia" w:hAnsiTheme="minorEastAsia" w:eastAsiaTheme="minorEastAsia"/>
          <w:sz w:val="28"/>
          <w:szCs w:val="28"/>
        </w:rPr>
      </w:pPr>
      <w:r>
        <w:rPr>
          <w:rFonts w:hint="eastAsia" w:cs="仿宋_GB2312" w:asciiTheme="minorEastAsia" w:hAnsiTheme="minorEastAsia" w:eastAsiaTheme="minorEastAsia"/>
          <w:sz w:val="28"/>
          <w:szCs w:val="28"/>
        </w:rPr>
        <w:t>九、国有资本经营预算财政拨款支出决算表</w:t>
      </w:r>
    </w:p>
    <w:p>
      <w:pPr>
        <w:pStyle w:val="9"/>
        <w:spacing w:line="500" w:lineRule="exact"/>
        <w:rPr>
          <w:rFonts w:ascii="仿宋_GB2312" w:hAnsi="仿宋_GB2312" w:cs="仿宋_GB2312"/>
          <w:b/>
          <w:sz w:val="28"/>
          <w:szCs w:val="28"/>
        </w:rPr>
      </w:pPr>
      <w:r>
        <w:rPr>
          <w:rFonts w:hint="eastAsia" w:hAnsi="仿宋_GB2312"/>
          <w:b/>
          <w:sz w:val="28"/>
          <w:szCs w:val="28"/>
        </w:rPr>
        <w:t>第三部分</w:t>
      </w:r>
      <w:r>
        <w:rPr>
          <w:rFonts w:hint="eastAsia"/>
          <w:b/>
          <w:sz w:val="28"/>
          <w:szCs w:val="28"/>
        </w:rPr>
        <w:t>道县文学艺术界联合会</w:t>
      </w:r>
      <w:r>
        <w:rPr>
          <w:rFonts w:hAnsi="仿宋_GB2312"/>
          <w:b/>
          <w:sz w:val="28"/>
          <w:szCs w:val="28"/>
        </w:rPr>
        <w:t>20</w:t>
      </w:r>
      <w:r>
        <w:rPr>
          <w:rFonts w:hint="eastAsia" w:hAnsi="仿宋_GB2312"/>
          <w:b/>
          <w:sz w:val="28"/>
          <w:szCs w:val="28"/>
        </w:rPr>
        <w:t>21年度部门决算情况说明</w:t>
      </w:r>
    </w:p>
    <w:p>
      <w:pPr>
        <w:pStyle w:val="9"/>
        <w:spacing w:line="500" w:lineRule="exact"/>
        <w:ind w:firstLine="700" w:firstLineChars="250"/>
        <w:rPr>
          <w:rFonts w:cs="仿宋_GB2312" w:asciiTheme="minorEastAsia" w:hAnsiTheme="minorEastAsia" w:eastAsiaTheme="minorEastAsia"/>
          <w:sz w:val="28"/>
          <w:szCs w:val="28"/>
        </w:rPr>
      </w:pPr>
      <w:r>
        <w:rPr>
          <w:rFonts w:cs="仿宋_GB2312" w:asciiTheme="minorEastAsia" w:hAnsiTheme="minorEastAsia" w:eastAsiaTheme="minorEastAsia"/>
          <w:sz w:val="28"/>
          <w:szCs w:val="28"/>
        </w:rPr>
        <w:t>一、收入支出决算总体情况说明</w:t>
      </w:r>
    </w:p>
    <w:p>
      <w:pPr>
        <w:spacing w:line="500" w:lineRule="exact"/>
        <w:ind w:firstLine="700" w:firstLineChars="250"/>
        <w:jc w:val="left"/>
        <w:rPr>
          <w:rFonts w:ascii="仿宋_GB2312" w:hAnsi="仿宋_GB2312" w:cs="仿宋_GB2312"/>
          <w:sz w:val="28"/>
          <w:szCs w:val="28"/>
        </w:rPr>
      </w:pPr>
      <w:r>
        <w:rPr>
          <w:rFonts w:ascii="仿宋_GB2312" w:hAnsi="仿宋_GB2312" w:cs="仿宋_GB2312"/>
          <w:sz w:val="28"/>
          <w:szCs w:val="28"/>
        </w:rPr>
        <w:t>二、收入决算情况说明</w:t>
      </w:r>
    </w:p>
    <w:p>
      <w:pPr>
        <w:autoSpaceDE w:val="0"/>
        <w:autoSpaceDN w:val="0"/>
        <w:adjustRightInd w:val="0"/>
        <w:spacing w:line="500" w:lineRule="exact"/>
        <w:ind w:firstLine="700" w:firstLineChars="250"/>
        <w:jc w:val="left"/>
        <w:rPr>
          <w:rFonts w:ascii="仿宋_GB2312" w:hAnsi="仿宋_GB2312" w:cs="仿宋_GB2312"/>
          <w:color w:val="000000"/>
          <w:kern w:val="0"/>
          <w:sz w:val="28"/>
          <w:szCs w:val="28"/>
        </w:rPr>
      </w:pPr>
      <w:r>
        <w:rPr>
          <w:rFonts w:ascii="仿宋_GB2312" w:hAnsi="仿宋_GB2312" w:cs="仿宋_GB2312"/>
          <w:color w:val="000000"/>
          <w:kern w:val="0"/>
          <w:sz w:val="28"/>
          <w:szCs w:val="28"/>
        </w:rPr>
        <w:t>三、支出决算情况说明</w:t>
      </w:r>
    </w:p>
    <w:p>
      <w:pPr>
        <w:autoSpaceDE w:val="0"/>
        <w:autoSpaceDN w:val="0"/>
        <w:adjustRightInd w:val="0"/>
        <w:spacing w:line="500" w:lineRule="exact"/>
        <w:ind w:firstLine="700" w:firstLineChars="250"/>
        <w:jc w:val="left"/>
        <w:rPr>
          <w:rFonts w:ascii="仿宋_GB2312" w:hAnsi="仿宋_GB2312" w:cs="仿宋_GB2312"/>
          <w:color w:val="000000"/>
          <w:kern w:val="0"/>
          <w:sz w:val="28"/>
          <w:szCs w:val="28"/>
        </w:rPr>
      </w:pPr>
      <w:r>
        <w:rPr>
          <w:rFonts w:ascii="仿宋_GB2312" w:hAnsi="仿宋_GB2312" w:cs="仿宋_GB2312"/>
          <w:color w:val="000000"/>
          <w:kern w:val="0"/>
          <w:sz w:val="28"/>
          <w:szCs w:val="28"/>
        </w:rPr>
        <w:t>四、财政拨款收入支出决算总体情况说明</w:t>
      </w:r>
    </w:p>
    <w:p>
      <w:pPr>
        <w:autoSpaceDE w:val="0"/>
        <w:autoSpaceDN w:val="0"/>
        <w:adjustRightInd w:val="0"/>
        <w:spacing w:line="500" w:lineRule="exact"/>
        <w:ind w:firstLine="700" w:firstLineChars="250"/>
        <w:jc w:val="left"/>
        <w:rPr>
          <w:rFonts w:ascii="仿宋_GB2312" w:hAnsi="仿宋_GB2312" w:cs="仿宋_GB2312"/>
          <w:color w:val="000000"/>
          <w:kern w:val="0"/>
          <w:sz w:val="28"/>
          <w:szCs w:val="28"/>
        </w:rPr>
      </w:pPr>
      <w:r>
        <w:rPr>
          <w:rFonts w:ascii="仿宋_GB2312" w:hAnsi="仿宋_GB2312" w:cs="仿宋_GB2312"/>
          <w:color w:val="000000"/>
          <w:kern w:val="0"/>
          <w:sz w:val="28"/>
          <w:szCs w:val="28"/>
        </w:rPr>
        <w:t>五、一般公共预算财政拨款支出决算情况说明</w:t>
      </w:r>
    </w:p>
    <w:p>
      <w:pPr>
        <w:autoSpaceDE w:val="0"/>
        <w:autoSpaceDN w:val="0"/>
        <w:adjustRightInd w:val="0"/>
        <w:spacing w:line="500" w:lineRule="exact"/>
        <w:ind w:firstLine="700" w:firstLineChars="250"/>
        <w:jc w:val="left"/>
        <w:rPr>
          <w:rFonts w:ascii="仿宋_GB2312" w:hAnsi="仿宋_GB2312" w:cs="仿宋_GB2312"/>
          <w:color w:val="000000"/>
          <w:kern w:val="0"/>
          <w:sz w:val="28"/>
          <w:szCs w:val="28"/>
        </w:rPr>
      </w:pPr>
      <w:r>
        <w:rPr>
          <w:rFonts w:ascii="仿宋_GB2312" w:hAnsi="仿宋_GB2312" w:cs="仿宋_GB2312"/>
          <w:color w:val="000000"/>
          <w:kern w:val="0"/>
          <w:sz w:val="28"/>
          <w:szCs w:val="28"/>
        </w:rPr>
        <w:t>六、一般公共预算财政拨款基本支出决算情况说明</w:t>
      </w:r>
    </w:p>
    <w:p>
      <w:pPr>
        <w:autoSpaceDE w:val="0"/>
        <w:autoSpaceDN w:val="0"/>
        <w:adjustRightInd w:val="0"/>
        <w:spacing w:line="500" w:lineRule="exact"/>
        <w:ind w:firstLine="700" w:firstLineChars="250"/>
        <w:jc w:val="left"/>
        <w:rPr>
          <w:rFonts w:ascii="仿宋_GB2312" w:hAnsi="仿宋_GB2312" w:cs="仿宋_GB2312"/>
          <w:color w:val="000000"/>
          <w:kern w:val="0"/>
          <w:sz w:val="28"/>
          <w:szCs w:val="28"/>
        </w:rPr>
      </w:pPr>
      <w:r>
        <w:rPr>
          <w:rFonts w:ascii="仿宋_GB2312" w:hAnsi="仿宋_GB2312" w:cs="仿宋_GB2312"/>
          <w:color w:val="000000"/>
          <w:kern w:val="0"/>
          <w:sz w:val="28"/>
          <w:szCs w:val="28"/>
        </w:rPr>
        <w:t>七、一般公共预算财政拨款</w:t>
      </w:r>
      <w:r>
        <w:rPr>
          <w:rFonts w:hint="eastAsia" w:ascii="仿宋_GB2312" w:hAnsi="仿宋_GB2312" w:cs="仿宋_GB2312"/>
          <w:color w:val="000000"/>
          <w:kern w:val="0"/>
          <w:sz w:val="28"/>
          <w:szCs w:val="28"/>
        </w:rPr>
        <w:t>“</w:t>
      </w:r>
      <w:r>
        <w:rPr>
          <w:rFonts w:ascii="仿宋_GB2312" w:hAnsi="仿宋_GB2312" w:cs="仿宋_GB2312"/>
          <w:color w:val="000000"/>
          <w:kern w:val="0"/>
          <w:sz w:val="28"/>
          <w:szCs w:val="28"/>
        </w:rPr>
        <w:t>三公</w:t>
      </w:r>
      <w:r>
        <w:rPr>
          <w:rFonts w:hint="eastAsia" w:ascii="仿宋_GB2312" w:hAnsi="仿宋_GB2312" w:cs="仿宋_GB2312"/>
          <w:color w:val="000000"/>
          <w:kern w:val="0"/>
          <w:sz w:val="28"/>
          <w:szCs w:val="28"/>
        </w:rPr>
        <w:t>”</w:t>
      </w:r>
      <w:r>
        <w:rPr>
          <w:rFonts w:ascii="仿宋_GB2312" w:hAnsi="仿宋_GB2312" w:cs="仿宋_GB2312"/>
          <w:color w:val="000000"/>
          <w:kern w:val="0"/>
          <w:sz w:val="28"/>
          <w:szCs w:val="28"/>
        </w:rPr>
        <w:t>经费支出决算情况说明</w:t>
      </w:r>
    </w:p>
    <w:p>
      <w:pPr>
        <w:autoSpaceDE w:val="0"/>
        <w:autoSpaceDN w:val="0"/>
        <w:adjustRightInd w:val="0"/>
        <w:spacing w:line="500" w:lineRule="exact"/>
        <w:ind w:firstLine="700" w:firstLineChars="250"/>
        <w:jc w:val="left"/>
        <w:rPr>
          <w:rFonts w:ascii="仿宋_GB2312" w:hAnsi="仿宋_GB2312" w:cs="仿宋_GB2312"/>
          <w:color w:val="000000"/>
          <w:kern w:val="0"/>
          <w:sz w:val="28"/>
          <w:szCs w:val="28"/>
        </w:rPr>
      </w:pPr>
      <w:r>
        <w:rPr>
          <w:rFonts w:hint="eastAsia" w:ascii="仿宋_GB2312" w:hAnsi="仿宋_GB2312" w:cs="仿宋_GB2312"/>
          <w:color w:val="000000"/>
          <w:kern w:val="0"/>
          <w:sz w:val="28"/>
          <w:szCs w:val="28"/>
        </w:rPr>
        <w:t>八</w:t>
      </w:r>
      <w:r>
        <w:rPr>
          <w:rFonts w:ascii="仿宋_GB2312" w:hAnsi="仿宋_GB2312" w:cs="仿宋_GB2312"/>
          <w:color w:val="000000"/>
          <w:kern w:val="0"/>
          <w:sz w:val="28"/>
          <w:szCs w:val="28"/>
        </w:rPr>
        <w:t>、</w:t>
      </w:r>
      <w:r>
        <w:rPr>
          <w:rFonts w:hint="eastAsia" w:ascii="仿宋_GB2312" w:hAnsi="仿宋_GB2312" w:cs="仿宋_GB2312"/>
          <w:color w:val="000000"/>
          <w:kern w:val="0"/>
          <w:sz w:val="28"/>
          <w:szCs w:val="28"/>
        </w:rPr>
        <w:t>政府性基金预算收入支出决算情况</w:t>
      </w:r>
    </w:p>
    <w:p>
      <w:pPr>
        <w:autoSpaceDE w:val="0"/>
        <w:autoSpaceDN w:val="0"/>
        <w:adjustRightInd w:val="0"/>
        <w:spacing w:line="500" w:lineRule="exact"/>
        <w:ind w:firstLine="700" w:firstLineChars="250"/>
        <w:jc w:val="left"/>
        <w:rPr>
          <w:rFonts w:ascii="仿宋_GB2312" w:hAnsi="仿宋_GB2312" w:cs="仿宋_GB2312"/>
          <w:color w:val="000000"/>
          <w:kern w:val="0"/>
          <w:sz w:val="28"/>
          <w:szCs w:val="28"/>
        </w:rPr>
      </w:pPr>
      <w:r>
        <w:rPr>
          <w:rFonts w:hint="eastAsia" w:ascii="仿宋_GB2312" w:hAnsi="仿宋_GB2312" w:cs="仿宋_GB2312"/>
          <w:color w:val="000000"/>
          <w:kern w:val="0"/>
          <w:sz w:val="28"/>
          <w:szCs w:val="28"/>
        </w:rPr>
        <w:t>九</w:t>
      </w:r>
      <w:r>
        <w:rPr>
          <w:rFonts w:ascii="仿宋_GB2312" w:hAnsi="仿宋_GB2312" w:cs="仿宋_GB2312"/>
          <w:color w:val="000000"/>
          <w:kern w:val="0"/>
          <w:sz w:val="28"/>
          <w:szCs w:val="28"/>
        </w:rPr>
        <w:t>、</w:t>
      </w:r>
      <w:r>
        <w:rPr>
          <w:rFonts w:hint="eastAsia" w:ascii="仿宋_GB2312" w:hAnsi="仿宋_GB2312" w:cs="仿宋_GB2312"/>
          <w:color w:val="000000"/>
          <w:kern w:val="0"/>
          <w:sz w:val="28"/>
          <w:szCs w:val="28"/>
        </w:rPr>
        <w:t>机关运行经费支出说明</w:t>
      </w:r>
    </w:p>
    <w:p>
      <w:pPr>
        <w:autoSpaceDE w:val="0"/>
        <w:autoSpaceDN w:val="0"/>
        <w:adjustRightInd w:val="0"/>
        <w:spacing w:line="500" w:lineRule="exact"/>
        <w:ind w:firstLine="700" w:firstLineChars="250"/>
        <w:jc w:val="left"/>
        <w:rPr>
          <w:rFonts w:ascii="仿宋_GB2312" w:hAnsi="仿宋_GB2312" w:cs="仿宋_GB2312"/>
          <w:color w:val="000000"/>
          <w:kern w:val="0"/>
          <w:sz w:val="28"/>
          <w:szCs w:val="28"/>
        </w:rPr>
      </w:pPr>
      <w:r>
        <w:rPr>
          <w:rFonts w:hint="eastAsia" w:ascii="仿宋_GB2312" w:hAnsi="仿宋_GB2312" w:cs="仿宋_GB2312"/>
          <w:color w:val="000000"/>
          <w:kern w:val="0"/>
          <w:sz w:val="28"/>
          <w:szCs w:val="28"/>
        </w:rPr>
        <w:t>十、一般性支出情况说明</w:t>
      </w:r>
    </w:p>
    <w:p>
      <w:pPr>
        <w:autoSpaceDE w:val="0"/>
        <w:autoSpaceDN w:val="0"/>
        <w:adjustRightInd w:val="0"/>
        <w:spacing w:line="500" w:lineRule="exact"/>
        <w:ind w:firstLine="700" w:firstLineChars="250"/>
        <w:jc w:val="left"/>
        <w:rPr>
          <w:rFonts w:ascii="仿宋_GB2312" w:hAnsi="仿宋_GB2312" w:cs="仿宋_GB2312"/>
          <w:color w:val="000000"/>
          <w:kern w:val="0"/>
          <w:sz w:val="28"/>
          <w:szCs w:val="28"/>
        </w:rPr>
      </w:pPr>
      <w:r>
        <w:rPr>
          <w:rFonts w:hint="eastAsia" w:ascii="仿宋_GB2312" w:hAnsi="仿宋_GB2312" w:cs="仿宋_GB2312"/>
          <w:color w:val="000000"/>
          <w:kern w:val="0"/>
          <w:sz w:val="28"/>
          <w:szCs w:val="28"/>
        </w:rPr>
        <w:t>十一、政府采购支出说明</w:t>
      </w:r>
    </w:p>
    <w:p>
      <w:pPr>
        <w:pStyle w:val="9"/>
        <w:spacing w:line="500" w:lineRule="exact"/>
        <w:ind w:firstLine="700" w:firstLineChars="250"/>
        <w:rPr>
          <w:rFonts w:ascii="仿宋_GB2312" w:hAnsi="仿宋_GB2312" w:cs="仿宋_GB2312" w:eastAsiaTheme="minorEastAsia"/>
          <w:sz w:val="28"/>
          <w:szCs w:val="28"/>
        </w:rPr>
      </w:pPr>
      <w:r>
        <w:rPr>
          <w:rFonts w:hint="eastAsia" w:ascii="仿宋_GB2312" w:hAnsi="仿宋_GB2312" w:cs="仿宋_GB2312" w:eastAsiaTheme="minorEastAsia"/>
          <w:sz w:val="28"/>
          <w:szCs w:val="28"/>
        </w:rPr>
        <w:t>十二、国有资产占用情况说明</w:t>
      </w:r>
    </w:p>
    <w:p>
      <w:pPr>
        <w:pStyle w:val="9"/>
        <w:spacing w:line="500" w:lineRule="exact"/>
        <w:ind w:firstLine="700" w:firstLineChars="250"/>
        <w:rPr>
          <w:rFonts w:ascii="仿宋_GB2312" w:hAnsi="仿宋_GB2312" w:cs="仿宋_GB2312" w:eastAsiaTheme="minorEastAsia"/>
          <w:sz w:val="28"/>
          <w:szCs w:val="28"/>
        </w:rPr>
      </w:pPr>
      <w:r>
        <w:rPr>
          <w:rFonts w:hint="eastAsia" w:ascii="仿宋_GB2312" w:hAnsi="仿宋_GB2312" w:cs="仿宋_GB2312" w:eastAsiaTheme="minorEastAsia"/>
          <w:sz w:val="28"/>
          <w:szCs w:val="28"/>
        </w:rPr>
        <w:t>十三、</w:t>
      </w:r>
      <w:r>
        <w:rPr>
          <w:rFonts w:hint="eastAsia" w:cs="仿宋_GB2312" w:asciiTheme="minorEastAsia" w:hAnsiTheme="minorEastAsia" w:eastAsiaTheme="minorEastAsia"/>
          <w:sz w:val="28"/>
          <w:szCs w:val="28"/>
        </w:rPr>
        <w:t>2021年</w:t>
      </w:r>
      <w:r>
        <w:rPr>
          <w:rFonts w:hint="eastAsia" w:ascii="仿宋_GB2312" w:hAnsi="仿宋_GB2312" w:cs="仿宋_GB2312" w:eastAsiaTheme="minorEastAsia"/>
          <w:sz w:val="28"/>
          <w:szCs w:val="28"/>
        </w:rPr>
        <w:t>度预算绩效情况说明</w:t>
      </w:r>
    </w:p>
    <w:p>
      <w:pPr>
        <w:autoSpaceDE w:val="0"/>
        <w:autoSpaceDN w:val="0"/>
        <w:adjustRightInd w:val="0"/>
        <w:spacing w:line="500" w:lineRule="exact"/>
        <w:jc w:val="left"/>
        <w:rPr>
          <w:rFonts w:ascii="黑体" w:hAnsi="黑体" w:eastAsia="黑体" w:cs="黑体"/>
          <w:b/>
          <w:color w:val="000000"/>
          <w:kern w:val="0"/>
          <w:sz w:val="28"/>
          <w:szCs w:val="28"/>
        </w:rPr>
      </w:pPr>
      <w:r>
        <w:rPr>
          <w:rFonts w:ascii="黑体" w:hAnsi="黑体" w:eastAsia="黑体" w:cs="黑体"/>
          <w:b/>
          <w:color w:val="000000"/>
          <w:kern w:val="0"/>
          <w:sz w:val="28"/>
          <w:szCs w:val="28"/>
        </w:rPr>
        <w:t>第四部分名词解释</w:t>
      </w:r>
    </w:p>
    <w:p>
      <w:pPr>
        <w:autoSpaceDE w:val="0"/>
        <w:autoSpaceDN w:val="0"/>
        <w:adjustRightInd w:val="0"/>
        <w:spacing w:line="500" w:lineRule="exact"/>
        <w:jc w:val="left"/>
        <w:rPr>
          <w:rFonts w:ascii="黑体" w:hAnsi="黑体" w:eastAsia="黑体" w:cs="仿宋_GB2312"/>
          <w:b/>
          <w:color w:val="000000"/>
          <w:kern w:val="0"/>
          <w:sz w:val="28"/>
          <w:szCs w:val="28"/>
        </w:rPr>
      </w:pPr>
      <w:r>
        <w:rPr>
          <w:rFonts w:hint="eastAsia" w:ascii="黑体" w:hAnsi="黑体" w:eastAsia="黑体" w:cs="黑体"/>
          <w:b/>
          <w:color w:val="000000"/>
          <w:kern w:val="0"/>
          <w:sz w:val="28"/>
          <w:szCs w:val="28"/>
        </w:rPr>
        <w:t>第五部分附件</w:t>
      </w:r>
    </w:p>
    <w:p>
      <w:pPr>
        <w:jc w:val="center"/>
        <w:rPr>
          <w:sz w:val="72"/>
          <w:szCs w:val="72"/>
        </w:rPr>
      </w:pPr>
    </w:p>
    <w:p>
      <w:pPr>
        <w:jc w:val="center"/>
        <w:rPr>
          <w:sz w:val="72"/>
          <w:szCs w:val="72"/>
        </w:rPr>
      </w:pPr>
    </w:p>
    <w:p>
      <w:pPr>
        <w:jc w:val="center"/>
        <w:rPr>
          <w:sz w:val="72"/>
          <w:szCs w:val="72"/>
        </w:rPr>
      </w:pPr>
    </w:p>
    <w:p>
      <w:pPr>
        <w:jc w:val="center"/>
        <w:rPr>
          <w:sz w:val="72"/>
          <w:szCs w:val="72"/>
        </w:rPr>
      </w:pPr>
    </w:p>
    <w:p>
      <w:pPr>
        <w:rPr>
          <w:sz w:val="72"/>
          <w:szCs w:val="72"/>
        </w:rPr>
      </w:pPr>
    </w:p>
    <w:p>
      <w:pPr>
        <w:pStyle w:val="9"/>
        <w:jc w:val="center"/>
        <w:rPr>
          <w:sz w:val="84"/>
          <w:szCs w:val="84"/>
        </w:rPr>
      </w:pPr>
      <w:r>
        <w:rPr>
          <w:rFonts w:hint="eastAsia"/>
          <w:sz w:val="84"/>
          <w:szCs w:val="84"/>
        </w:rPr>
        <w:t>第一部分</w:t>
      </w:r>
      <w:r>
        <w:rPr>
          <w:sz w:val="84"/>
          <w:szCs w:val="84"/>
        </w:rPr>
        <w:t xml:space="preserve"> </w:t>
      </w:r>
    </w:p>
    <w:p>
      <w:pPr>
        <w:pStyle w:val="9"/>
        <w:jc w:val="center"/>
        <w:rPr>
          <w:sz w:val="84"/>
          <w:szCs w:val="84"/>
        </w:rPr>
      </w:pPr>
    </w:p>
    <w:p>
      <w:pPr>
        <w:pStyle w:val="9"/>
        <w:jc w:val="center"/>
        <w:rPr>
          <w:sz w:val="84"/>
          <w:szCs w:val="84"/>
        </w:rPr>
      </w:pPr>
      <w:r>
        <w:rPr>
          <w:rFonts w:hint="eastAsia"/>
          <w:sz w:val="84"/>
          <w:szCs w:val="84"/>
        </w:rPr>
        <w:t>道县文学艺术界联合会单位概况</w:t>
      </w:r>
    </w:p>
    <w:p>
      <w:pPr>
        <w:jc w:val="center"/>
        <w:rPr>
          <w:sz w:val="84"/>
          <w:szCs w:val="84"/>
        </w:rPr>
      </w:pPr>
    </w:p>
    <w:p>
      <w:pPr>
        <w:jc w:val="center"/>
        <w:rPr>
          <w:sz w:val="72"/>
          <w:szCs w:val="72"/>
        </w:rPr>
      </w:pPr>
    </w:p>
    <w:p>
      <w:pPr>
        <w:jc w:val="center"/>
        <w:rPr>
          <w:sz w:val="72"/>
          <w:szCs w:val="72"/>
        </w:rPr>
      </w:pPr>
    </w:p>
    <w:p>
      <w:pPr>
        <w:jc w:val="center"/>
        <w:rPr>
          <w:sz w:val="72"/>
          <w:szCs w:val="72"/>
        </w:rPr>
      </w:pPr>
    </w:p>
    <w:p>
      <w:pPr>
        <w:jc w:val="center"/>
        <w:rPr>
          <w:sz w:val="72"/>
          <w:szCs w:val="72"/>
        </w:rPr>
      </w:pPr>
    </w:p>
    <w:p>
      <w:pPr>
        <w:pStyle w:val="10"/>
        <w:ind w:left="720" w:firstLine="0" w:firstLineChars="0"/>
        <w:jc w:val="left"/>
        <w:rPr>
          <w:rFonts w:ascii="黑体" w:hAnsi="黑体" w:eastAsia="黑体"/>
          <w:sz w:val="32"/>
          <w:szCs w:val="32"/>
        </w:rPr>
      </w:pPr>
    </w:p>
    <w:p>
      <w:pPr>
        <w:pStyle w:val="10"/>
        <w:ind w:left="720" w:firstLine="0" w:firstLineChars="0"/>
        <w:jc w:val="left"/>
        <w:rPr>
          <w:rFonts w:ascii="黑体" w:hAnsi="黑体" w:eastAsia="黑体"/>
          <w:sz w:val="32"/>
          <w:szCs w:val="32"/>
        </w:rPr>
      </w:pPr>
    </w:p>
    <w:p>
      <w:pPr>
        <w:pStyle w:val="10"/>
        <w:ind w:left="720" w:firstLine="0" w:firstLineChars="0"/>
        <w:jc w:val="left"/>
        <w:rPr>
          <w:rFonts w:ascii="黑体" w:hAnsi="黑体" w:eastAsia="黑体"/>
          <w:sz w:val="32"/>
          <w:szCs w:val="32"/>
        </w:rPr>
      </w:pPr>
    </w:p>
    <w:p>
      <w:pPr>
        <w:pStyle w:val="10"/>
        <w:numPr>
          <w:ilvl w:val="0"/>
          <w:numId w:val="1"/>
        </w:numPr>
        <w:ind w:firstLineChars="0"/>
        <w:jc w:val="left"/>
        <w:rPr>
          <w:rFonts w:ascii="黑体" w:hAnsi="黑体" w:eastAsia="黑体"/>
          <w:sz w:val="32"/>
          <w:szCs w:val="32"/>
        </w:rPr>
      </w:pPr>
      <w:r>
        <w:rPr>
          <w:rFonts w:ascii="黑体" w:hAnsi="黑体" w:eastAsia="黑体"/>
          <w:sz w:val="32"/>
          <w:szCs w:val="32"/>
        </w:rPr>
        <w:t>部门职责</w:t>
      </w:r>
    </w:p>
    <w:p>
      <w:pPr>
        <w:widowControl/>
        <w:spacing w:line="600" w:lineRule="exact"/>
        <w:ind w:firstLine="640" w:firstLineChars="200"/>
        <w:rPr>
          <w:rFonts w:hint="eastAsia" w:ascii="仿宋" w:hAnsi="仿宋" w:eastAsia="仿宋" w:cs="仿宋"/>
          <w:color w:val="auto"/>
          <w:sz w:val="32"/>
          <w:szCs w:val="32"/>
        </w:rPr>
      </w:pPr>
      <w:r>
        <w:rPr>
          <w:rFonts w:hint="eastAsia" w:cs="宋体" w:asciiTheme="minorEastAsia" w:hAnsiTheme="minorEastAsia" w:eastAsiaTheme="minorEastAsia"/>
          <w:bCs/>
          <w:kern w:val="0"/>
          <w:sz w:val="32"/>
          <w:szCs w:val="32"/>
          <w:lang w:val="en-US" w:eastAsia="zh-CN" w:bidi="ar-SA"/>
        </w:rPr>
        <w:t>加强党对文艺工作的领导，加强全县文艺队伍思想政治建设。制定出台道县文艺工作者采风创作制度，组织文艺工作者开展主题文艺实践活动。</w:t>
      </w:r>
    </w:p>
    <w:p>
      <w:pPr>
        <w:widowControl/>
        <w:spacing w:line="600" w:lineRule="exact"/>
        <w:rPr>
          <w:rFonts w:ascii="黑体" w:hAnsi="黑体" w:eastAsia="黑体"/>
          <w:bCs/>
          <w:kern w:val="0"/>
          <w:sz w:val="32"/>
          <w:szCs w:val="32"/>
        </w:rPr>
      </w:pPr>
      <w:r>
        <w:rPr>
          <w:rFonts w:hint="eastAsia" w:ascii="黑体" w:hAnsi="黑体" w:eastAsia="黑体"/>
          <w:bCs/>
          <w:kern w:val="0"/>
          <w:sz w:val="32"/>
          <w:szCs w:val="32"/>
        </w:rPr>
        <w:t>二、机构设置及决算单位构成</w:t>
      </w:r>
    </w:p>
    <w:p>
      <w:pPr>
        <w:pStyle w:val="12"/>
        <w:snapToGrid w:val="0"/>
        <w:spacing w:line="600" w:lineRule="atLeast"/>
        <w:ind w:firstLine="640" w:firstLineChars="200"/>
        <w:jc w:val="left"/>
        <w:rPr>
          <w:rFonts w:hint="eastAsia" w:asciiTheme="minorEastAsia" w:hAnsiTheme="minorEastAsia" w:eastAsiaTheme="minorEastAsia"/>
          <w:bCs/>
          <w:kern w:val="0"/>
          <w:sz w:val="32"/>
          <w:szCs w:val="32"/>
          <w:lang w:val="en-US" w:eastAsia="zh-CN"/>
        </w:rPr>
      </w:pPr>
      <w:r>
        <w:rPr>
          <w:rFonts w:hint="eastAsia" w:asciiTheme="minorEastAsia" w:hAnsiTheme="minorEastAsia"/>
          <w:bCs/>
          <w:kern w:val="0"/>
          <w:sz w:val="32"/>
          <w:szCs w:val="32"/>
        </w:rPr>
        <w:t>（一）内设机构设置。</w:t>
      </w:r>
      <w:r>
        <w:rPr>
          <w:rFonts w:hint="eastAsia" w:ascii="仿宋" w:hAnsi="仿宋" w:eastAsia="仿宋" w:cs="仿宋"/>
          <w:color w:val="auto"/>
          <w:sz w:val="32"/>
          <w:szCs w:val="32"/>
        </w:rPr>
        <w:t>文联</w:t>
      </w:r>
      <w:r>
        <w:rPr>
          <w:rFonts w:hint="eastAsia" w:asciiTheme="minorEastAsia" w:hAnsiTheme="minorEastAsia"/>
          <w:bCs/>
          <w:kern w:val="0"/>
          <w:sz w:val="32"/>
          <w:szCs w:val="32"/>
        </w:rPr>
        <w:t>内设机构包括：办公室、组织联络室、权益保护与行业建设室。</w:t>
      </w:r>
      <w:r>
        <w:rPr>
          <w:rStyle w:val="14"/>
          <w:rFonts w:hint="eastAsia" w:asciiTheme="minorEastAsia" w:hAnsiTheme="minorEastAsia"/>
          <w:sz w:val="28"/>
          <w:szCs w:val="28"/>
          <w:lang w:val="en-US" w:eastAsia="zh-CN"/>
        </w:rPr>
        <w:t>现有工作人员5</w:t>
      </w:r>
      <w:r>
        <w:rPr>
          <w:rStyle w:val="14"/>
          <w:rFonts w:asciiTheme="minorEastAsia" w:hAnsiTheme="minorEastAsia" w:eastAsiaTheme="minorEastAsia"/>
          <w:sz w:val="28"/>
          <w:szCs w:val="28"/>
        </w:rPr>
        <w:t>人</w:t>
      </w:r>
      <w:r>
        <w:rPr>
          <w:rStyle w:val="14"/>
          <w:rFonts w:hint="eastAsia" w:asciiTheme="minorEastAsia" w:hAnsiTheme="minorEastAsia"/>
          <w:sz w:val="28"/>
          <w:szCs w:val="28"/>
          <w:lang w:eastAsia="zh-CN"/>
        </w:rPr>
        <w:t>。</w:t>
      </w:r>
    </w:p>
    <w:p>
      <w:pPr>
        <w:widowControl/>
        <w:spacing w:line="600" w:lineRule="exact"/>
        <w:ind w:firstLine="640" w:firstLineChars="200"/>
        <w:rPr>
          <w:rFonts w:hint="eastAsia" w:asciiTheme="minorEastAsia" w:hAnsiTheme="minorEastAsia" w:eastAsiaTheme="minorEastAsia"/>
          <w:bCs/>
          <w:kern w:val="0"/>
          <w:sz w:val="32"/>
          <w:szCs w:val="32"/>
          <w:lang w:eastAsia="zh-CN"/>
        </w:rPr>
      </w:pPr>
      <w:r>
        <w:rPr>
          <w:rFonts w:hint="eastAsia" w:asciiTheme="minorEastAsia" w:hAnsiTheme="minorEastAsia"/>
          <w:bCs/>
          <w:kern w:val="0"/>
          <w:sz w:val="32"/>
          <w:szCs w:val="32"/>
        </w:rPr>
        <w:t>（二）决算单位构成。文联只有本级，没有其他二级预算单位，因此，纳入202</w:t>
      </w:r>
      <w:r>
        <w:rPr>
          <w:rFonts w:hint="eastAsia" w:asciiTheme="minorEastAsia" w:hAnsiTheme="minorEastAsia"/>
          <w:bCs/>
          <w:kern w:val="0"/>
          <w:sz w:val="32"/>
          <w:szCs w:val="32"/>
          <w:lang w:val="en-US" w:eastAsia="zh-CN"/>
        </w:rPr>
        <w:t>1</w:t>
      </w:r>
      <w:r>
        <w:rPr>
          <w:rFonts w:hint="eastAsia" w:asciiTheme="minorEastAsia" w:hAnsiTheme="minorEastAsia"/>
          <w:bCs/>
          <w:kern w:val="0"/>
          <w:sz w:val="32"/>
          <w:szCs w:val="32"/>
        </w:rPr>
        <w:t>年部门预算编制范围的只有单位本级</w:t>
      </w:r>
      <w:r>
        <w:rPr>
          <w:rFonts w:hint="eastAsia" w:asciiTheme="minorEastAsia" w:hAnsiTheme="minorEastAsia"/>
          <w:bCs/>
          <w:kern w:val="0"/>
          <w:sz w:val="32"/>
          <w:szCs w:val="32"/>
          <w:lang w:eastAsia="zh-CN"/>
        </w:rPr>
        <w:t>。</w:t>
      </w:r>
    </w:p>
    <w:p>
      <w:pPr>
        <w:jc w:val="left"/>
        <w:rPr>
          <w:rFonts w:ascii="仿宋_GB2312" w:eastAsia="仿宋_GB2312" w:hAnsiTheme="minorEastAsia"/>
          <w:sz w:val="28"/>
          <w:szCs w:val="32"/>
        </w:rPr>
      </w:pPr>
    </w:p>
    <w:p>
      <w:pPr>
        <w:jc w:val="center"/>
        <w:rPr>
          <w:rFonts w:ascii="黑体" w:hAnsi="黑体" w:eastAsia="黑体"/>
          <w:sz w:val="28"/>
          <w:szCs w:val="28"/>
        </w:rPr>
      </w:pPr>
    </w:p>
    <w:p>
      <w:pPr>
        <w:jc w:val="center"/>
        <w:rPr>
          <w:rFonts w:ascii="黑体" w:hAnsi="黑体" w:eastAsia="黑体"/>
          <w:sz w:val="28"/>
          <w:szCs w:val="28"/>
        </w:rPr>
      </w:pPr>
    </w:p>
    <w:p>
      <w:pPr>
        <w:jc w:val="center"/>
        <w:rPr>
          <w:rFonts w:ascii="黑体" w:hAnsi="黑体" w:eastAsia="黑体"/>
          <w:sz w:val="28"/>
          <w:szCs w:val="28"/>
        </w:rPr>
      </w:pPr>
    </w:p>
    <w:p>
      <w:pPr>
        <w:jc w:val="center"/>
        <w:rPr>
          <w:rFonts w:ascii="黑体" w:hAnsi="黑体" w:eastAsia="黑体"/>
          <w:sz w:val="28"/>
          <w:szCs w:val="28"/>
        </w:rPr>
      </w:pPr>
    </w:p>
    <w:p>
      <w:pPr>
        <w:jc w:val="center"/>
        <w:rPr>
          <w:rFonts w:ascii="黑体" w:hAnsi="黑体" w:eastAsia="黑体"/>
          <w:sz w:val="28"/>
          <w:szCs w:val="28"/>
        </w:rPr>
      </w:pPr>
    </w:p>
    <w:p>
      <w:pPr>
        <w:jc w:val="center"/>
        <w:rPr>
          <w:rFonts w:ascii="黑体" w:hAnsi="黑体" w:eastAsia="黑体"/>
          <w:sz w:val="28"/>
          <w:szCs w:val="28"/>
        </w:rPr>
      </w:pPr>
    </w:p>
    <w:p>
      <w:pPr>
        <w:jc w:val="center"/>
        <w:rPr>
          <w:rFonts w:ascii="黑体" w:hAnsi="黑体" w:eastAsia="黑体"/>
          <w:sz w:val="28"/>
          <w:szCs w:val="28"/>
        </w:rPr>
      </w:pPr>
    </w:p>
    <w:p>
      <w:pPr>
        <w:jc w:val="center"/>
        <w:rPr>
          <w:rFonts w:ascii="黑体" w:hAnsi="黑体" w:eastAsia="黑体"/>
          <w:sz w:val="28"/>
          <w:szCs w:val="28"/>
        </w:rPr>
      </w:pPr>
    </w:p>
    <w:p>
      <w:pPr>
        <w:jc w:val="center"/>
        <w:rPr>
          <w:rFonts w:ascii="黑体" w:hAnsi="黑体" w:eastAsia="黑体"/>
          <w:sz w:val="28"/>
          <w:szCs w:val="28"/>
        </w:rPr>
      </w:pPr>
    </w:p>
    <w:p>
      <w:pPr>
        <w:jc w:val="center"/>
        <w:rPr>
          <w:rFonts w:ascii="黑体" w:hAnsi="黑体" w:eastAsia="黑体"/>
          <w:sz w:val="28"/>
          <w:szCs w:val="28"/>
        </w:rPr>
      </w:pPr>
    </w:p>
    <w:p>
      <w:pPr>
        <w:jc w:val="center"/>
        <w:rPr>
          <w:rFonts w:ascii="黑体" w:hAnsi="黑体" w:eastAsia="黑体"/>
          <w:sz w:val="28"/>
          <w:szCs w:val="28"/>
        </w:rPr>
      </w:pPr>
    </w:p>
    <w:p>
      <w:pPr>
        <w:jc w:val="center"/>
        <w:rPr>
          <w:rFonts w:ascii="黑体" w:hAnsi="黑体" w:eastAsia="黑体"/>
          <w:sz w:val="28"/>
          <w:szCs w:val="28"/>
        </w:rPr>
      </w:pPr>
    </w:p>
    <w:p>
      <w:pPr>
        <w:jc w:val="center"/>
        <w:rPr>
          <w:sz w:val="72"/>
          <w:szCs w:val="72"/>
        </w:rPr>
      </w:pPr>
    </w:p>
    <w:p>
      <w:pPr>
        <w:jc w:val="center"/>
        <w:rPr>
          <w:sz w:val="72"/>
          <w:szCs w:val="72"/>
        </w:rPr>
      </w:pPr>
    </w:p>
    <w:p>
      <w:pPr>
        <w:jc w:val="center"/>
        <w:rPr>
          <w:sz w:val="72"/>
          <w:szCs w:val="72"/>
        </w:rPr>
      </w:pPr>
    </w:p>
    <w:p>
      <w:pPr>
        <w:jc w:val="center"/>
        <w:rPr>
          <w:sz w:val="72"/>
          <w:szCs w:val="72"/>
        </w:rPr>
      </w:pPr>
    </w:p>
    <w:p>
      <w:pPr>
        <w:jc w:val="center"/>
        <w:rPr>
          <w:sz w:val="72"/>
          <w:szCs w:val="72"/>
        </w:rPr>
      </w:pPr>
    </w:p>
    <w:p>
      <w:pPr>
        <w:jc w:val="center"/>
        <w:rPr>
          <w:sz w:val="72"/>
          <w:szCs w:val="72"/>
        </w:rPr>
      </w:pPr>
      <w:r>
        <w:rPr>
          <w:rFonts w:hint="eastAsia"/>
          <w:sz w:val="72"/>
          <w:szCs w:val="72"/>
        </w:rPr>
        <w:t>第二部分</w:t>
      </w:r>
    </w:p>
    <w:p>
      <w:pPr>
        <w:jc w:val="center"/>
        <w:rPr>
          <w:sz w:val="72"/>
          <w:szCs w:val="72"/>
        </w:rPr>
      </w:pPr>
    </w:p>
    <w:p>
      <w:pPr>
        <w:jc w:val="center"/>
        <w:rPr>
          <w:sz w:val="72"/>
          <w:szCs w:val="72"/>
        </w:rPr>
      </w:pPr>
      <w:r>
        <w:rPr>
          <w:rFonts w:hint="eastAsia"/>
          <w:sz w:val="72"/>
          <w:szCs w:val="72"/>
        </w:rPr>
        <w:t>部门决算表</w:t>
      </w:r>
    </w:p>
    <w:p>
      <w:pPr>
        <w:jc w:val="center"/>
        <w:rPr>
          <w:sz w:val="72"/>
          <w:szCs w:val="72"/>
        </w:rPr>
      </w:pPr>
    </w:p>
    <w:p>
      <w:pPr>
        <w:jc w:val="center"/>
        <w:rPr>
          <w:sz w:val="72"/>
          <w:szCs w:val="72"/>
        </w:rPr>
      </w:pPr>
    </w:p>
    <w:p>
      <w:pPr>
        <w:jc w:val="center"/>
        <w:rPr>
          <w:sz w:val="72"/>
          <w:szCs w:val="72"/>
        </w:rPr>
      </w:pPr>
    </w:p>
    <w:p>
      <w:pPr>
        <w:jc w:val="center"/>
        <w:rPr>
          <w:sz w:val="72"/>
          <w:szCs w:val="72"/>
        </w:rPr>
      </w:pPr>
    </w:p>
    <w:p>
      <w:pPr>
        <w:jc w:val="center"/>
        <w:rPr>
          <w:sz w:val="72"/>
          <w:szCs w:val="72"/>
        </w:rPr>
      </w:pPr>
    </w:p>
    <w:p>
      <w:pPr>
        <w:jc w:val="center"/>
        <w:rPr>
          <w:sz w:val="72"/>
          <w:szCs w:val="72"/>
        </w:rPr>
      </w:pPr>
    </w:p>
    <w:p>
      <w:pPr>
        <w:jc w:val="left"/>
        <w:rPr>
          <w:sz w:val="32"/>
          <w:szCs w:val="32"/>
        </w:rPr>
      </w:pPr>
    </w:p>
    <w:p>
      <w:pPr>
        <w:jc w:val="left"/>
        <w:rPr>
          <w:rFonts w:asciiTheme="minorEastAsia" w:hAnsiTheme="minorEastAsia"/>
          <w:sz w:val="32"/>
          <w:szCs w:val="32"/>
        </w:rPr>
        <w:sectPr>
          <w:pgSz w:w="11906" w:h="16838"/>
          <w:pgMar w:top="720" w:right="720" w:bottom="720" w:left="720" w:header="851" w:footer="992" w:gutter="0"/>
          <w:cols w:space="425" w:num="1"/>
          <w:docGrid w:type="lines" w:linePitch="312" w:charSpace="0"/>
        </w:sectPr>
      </w:pPr>
    </w:p>
    <w:tbl>
      <w:tblPr>
        <w:tblStyle w:val="5"/>
        <w:tblW w:w="14081" w:type="dxa"/>
        <w:tblInd w:w="93" w:type="dxa"/>
        <w:tblLayout w:type="fixed"/>
        <w:tblCellMar>
          <w:top w:w="0" w:type="dxa"/>
          <w:left w:w="108" w:type="dxa"/>
          <w:bottom w:w="0" w:type="dxa"/>
          <w:right w:w="108" w:type="dxa"/>
        </w:tblCellMar>
      </w:tblPr>
      <w:tblGrid>
        <w:gridCol w:w="4126"/>
        <w:gridCol w:w="449"/>
        <w:gridCol w:w="631"/>
        <w:gridCol w:w="599"/>
        <w:gridCol w:w="98"/>
        <w:gridCol w:w="232"/>
        <w:gridCol w:w="3468"/>
        <w:gridCol w:w="845"/>
        <w:gridCol w:w="1460"/>
        <w:gridCol w:w="657"/>
        <w:gridCol w:w="1516"/>
      </w:tblGrid>
      <w:tr>
        <w:tblPrEx>
          <w:tblLayout w:type="fixed"/>
          <w:tblCellMar>
            <w:top w:w="0" w:type="dxa"/>
            <w:left w:w="108" w:type="dxa"/>
            <w:bottom w:w="0" w:type="dxa"/>
            <w:right w:w="108" w:type="dxa"/>
          </w:tblCellMar>
        </w:tblPrEx>
        <w:trPr>
          <w:trHeight w:val="360" w:hRule="atLeast"/>
        </w:trPr>
        <w:tc>
          <w:tcPr>
            <w:tcW w:w="14081" w:type="dxa"/>
            <w:gridSpan w:val="11"/>
            <w:tcBorders>
              <w:top w:val="nil"/>
              <w:left w:val="nil"/>
              <w:bottom w:val="nil"/>
              <w:right w:val="nil"/>
            </w:tcBorders>
            <w:shd w:val="clear" w:color="auto" w:fill="auto"/>
            <w:noWrap/>
            <w:vAlign w:val="center"/>
          </w:tcPr>
          <w:p>
            <w:pPr>
              <w:widowControl/>
              <w:jc w:val="center"/>
              <w:rPr>
                <w:rFonts w:ascii="华文中宋" w:hAnsi="华文中宋" w:eastAsia="华文中宋" w:cs="宋体"/>
                <w:color w:val="000000"/>
                <w:kern w:val="0"/>
                <w:sz w:val="32"/>
                <w:szCs w:val="32"/>
              </w:rPr>
            </w:pPr>
            <w:r>
              <w:rPr>
                <w:rFonts w:hint="eastAsia" w:ascii="华文中宋" w:hAnsi="华文中宋" w:eastAsia="华文中宋" w:cs="宋体"/>
                <w:color w:val="000000"/>
                <w:kern w:val="0"/>
                <w:sz w:val="32"/>
                <w:szCs w:val="32"/>
              </w:rPr>
              <w:t>收入支出决算总表</w:t>
            </w:r>
          </w:p>
        </w:tc>
      </w:tr>
      <w:tr>
        <w:tblPrEx>
          <w:tblLayout w:type="fixed"/>
          <w:tblCellMar>
            <w:top w:w="0" w:type="dxa"/>
            <w:left w:w="108" w:type="dxa"/>
            <w:bottom w:w="0" w:type="dxa"/>
            <w:right w:w="108" w:type="dxa"/>
          </w:tblCellMar>
        </w:tblPrEx>
        <w:trPr>
          <w:trHeight w:val="199" w:hRule="atLeast"/>
        </w:trPr>
        <w:tc>
          <w:tcPr>
            <w:tcW w:w="5206" w:type="dxa"/>
            <w:gridSpan w:val="3"/>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697" w:type="dxa"/>
            <w:gridSpan w:val="2"/>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32"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5773" w:type="dxa"/>
            <w:gridSpan w:val="3"/>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657"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16" w:type="dxa"/>
            <w:tcBorders>
              <w:top w:val="nil"/>
              <w:left w:val="nil"/>
              <w:bottom w:val="nil"/>
              <w:right w:val="nil"/>
            </w:tcBorders>
            <w:shd w:val="clear" w:color="000000" w:fill="FFFFFF"/>
            <w:noWrap/>
            <w:vAlign w:val="center"/>
          </w:tcPr>
          <w:p>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公开01表</w:t>
            </w:r>
          </w:p>
        </w:tc>
      </w:tr>
      <w:tr>
        <w:tblPrEx>
          <w:tblLayout w:type="fixed"/>
          <w:tblCellMar>
            <w:top w:w="0" w:type="dxa"/>
            <w:left w:w="108" w:type="dxa"/>
            <w:bottom w:w="0" w:type="dxa"/>
            <w:right w:w="108" w:type="dxa"/>
          </w:tblCellMar>
        </w:tblPrEx>
        <w:trPr>
          <w:trHeight w:val="300" w:hRule="atLeast"/>
        </w:trPr>
        <w:tc>
          <w:tcPr>
            <w:tcW w:w="5206" w:type="dxa"/>
            <w:gridSpan w:val="3"/>
            <w:tcBorders>
              <w:top w:val="nil"/>
              <w:left w:val="nil"/>
              <w:bottom w:val="nil"/>
              <w:right w:val="nil"/>
            </w:tcBorders>
            <w:shd w:val="clear" w:color="000000" w:fill="FFFFFF"/>
            <w:noWrap/>
            <w:vAlign w:val="center"/>
          </w:tcPr>
          <w:p>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部门：</w:t>
            </w:r>
            <w:r>
              <w:rPr>
                <w:rFonts w:ascii="宋体" w:hAnsi="宋体" w:eastAsia="宋体" w:cs="宋体"/>
                <w:color w:val="000000"/>
                <w:kern w:val="0"/>
                <w:sz w:val="20"/>
                <w:szCs w:val="20"/>
              </w:rPr>
              <w:t xml:space="preserve"> </w:t>
            </w:r>
          </w:p>
        </w:tc>
        <w:tc>
          <w:tcPr>
            <w:tcW w:w="697" w:type="dxa"/>
            <w:gridSpan w:val="2"/>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32"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5773" w:type="dxa"/>
            <w:gridSpan w:val="3"/>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657"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16" w:type="dxa"/>
            <w:tcBorders>
              <w:top w:val="nil"/>
              <w:left w:val="nil"/>
              <w:bottom w:val="nil"/>
              <w:right w:val="nil"/>
            </w:tcBorders>
            <w:shd w:val="clear" w:color="000000" w:fill="FFFFFF"/>
            <w:noWrap/>
            <w:vAlign w:val="center"/>
          </w:tcPr>
          <w:p>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单位：万元</w:t>
            </w:r>
          </w:p>
        </w:tc>
      </w:tr>
      <w:tr>
        <w:tblPrEx>
          <w:tblLayout w:type="fixed"/>
          <w:tblCellMar>
            <w:top w:w="0" w:type="dxa"/>
            <w:left w:w="108" w:type="dxa"/>
            <w:bottom w:w="0" w:type="dxa"/>
            <w:right w:w="108" w:type="dxa"/>
          </w:tblCellMar>
        </w:tblPrEx>
        <w:trPr>
          <w:trHeight w:val="340" w:hRule="atLeast"/>
        </w:trPr>
        <w:tc>
          <w:tcPr>
            <w:tcW w:w="5805" w:type="dxa"/>
            <w:gridSpan w:val="4"/>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收入</w:t>
            </w:r>
          </w:p>
        </w:tc>
        <w:tc>
          <w:tcPr>
            <w:tcW w:w="8276" w:type="dxa"/>
            <w:gridSpan w:val="7"/>
            <w:tcBorders>
              <w:top w:val="single" w:color="auto" w:sz="4" w:space="0"/>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支出</w:t>
            </w:r>
          </w:p>
        </w:tc>
      </w:tr>
      <w:tr>
        <w:tblPrEx>
          <w:tblLayout w:type="fixed"/>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项    目</w:t>
            </w:r>
          </w:p>
        </w:tc>
        <w:tc>
          <w:tcPr>
            <w:tcW w:w="449"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行次</w:t>
            </w:r>
          </w:p>
        </w:tc>
        <w:tc>
          <w:tcPr>
            <w:tcW w:w="1230" w:type="dxa"/>
            <w:gridSpan w:val="2"/>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决算数</w:t>
            </w:r>
          </w:p>
        </w:tc>
        <w:tc>
          <w:tcPr>
            <w:tcW w:w="3798" w:type="dxa"/>
            <w:gridSpan w:val="3"/>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项    目</w:t>
            </w:r>
          </w:p>
        </w:tc>
        <w:tc>
          <w:tcPr>
            <w:tcW w:w="845"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行次</w:t>
            </w:r>
          </w:p>
        </w:tc>
        <w:tc>
          <w:tcPr>
            <w:tcW w:w="3633" w:type="dxa"/>
            <w:gridSpan w:val="3"/>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决算数</w:t>
            </w:r>
          </w:p>
        </w:tc>
      </w:tr>
      <w:tr>
        <w:tblPrEx>
          <w:tblLayout w:type="fixed"/>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栏次</w:t>
            </w:r>
          </w:p>
        </w:tc>
        <w:tc>
          <w:tcPr>
            <w:tcW w:w="449" w:type="dxa"/>
            <w:tcBorders>
              <w:top w:val="nil"/>
              <w:left w:val="nil"/>
              <w:bottom w:val="single" w:color="auto" w:sz="4" w:space="0"/>
              <w:right w:val="single" w:color="auto" w:sz="4" w:space="0"/>
            </w:tcBorders>
            <w:shd w:val="clear" w:color="000000" w:fill="FFFFFF"/>
            <w:noWrap/>
            <w:vAlign w:val="center"/>
          </w:tcPr>
          <w:p>
            <w:pPr>
              <w:jc w:val="center"/>
              <w:rPr>
                <w:rFonts w:ascii="宋体" w:hAnsi="宋体" w:eastAsia="宋体" w:cs="宋体"/>
                <w:kern w:val="0"/>
                <w:sz w:val="24"/>
                <w:szCs w:val="24"/>
              </w:rPr>
            </w:pPr>
          </w:p>
        </w:tc>
        <w:tc>
          <w:tcPr>
            <w:tcW w:w="1230" w:type="dxa"/>
            <w:gridSpan w:val="2"/>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1</w:t>
            </w:r>
          </w:p>
        </w:tc>
        <w:tc>
          <w:tcPr>
            <w:tcW w:w="3798" w:type="dxa"/>
            <w:gridSpan w:val="3"/>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栏次</w:t>
            </w:r>
          </w:p>
        </w:tc>
        <w:tc>
          <w:tcPr>
            <w:tcW w:w="845" w:type="dxa"/>
            <w:tcBorders>
              <w:top w:val="nil"/>
              <w:left w:val="nil"/>
              <w:bottom w:val="single" w:color="auto" w:sz="4" w:space="0"/>
              <w:right w:val="single" w:color="auto" w:sz="4" w:space="0"/>
            </w:tcBorders>
            <w:shd w:val="clear" w:color="000000" w:fill="FFFFFF"/>
            <w:noWrap/>
            <w:vAlign w:val="center"/>
          </w:tcPr>
          <w:p>
            <w:pPr>
              <w:jc w:val="center"/>
              <w:rPr>
                <w:rFonts w:ascii="宋体" w:hAnsi="宋体" w:eastAsia="宋体" w:cs="宋体"/>
                <w:kern w:val="0"/>
                <w:sz w:val="24"/>
                <w:szCs w:val="24"/>
              </w:rPr>
            </w:pPr>
          </w:p>
        </w:tc>
        <w:tc>
          <w:tcPr>
            <w:tcW w:w="3633" w:type="dxa"/>
            <w:gridSpan w:val="3"/>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w:t>
            </w:r>
          </w:p>
        </w:tc>
      </w:tr>
      <w:tr>
        <w:tblPrEx>
          <w:tblLayout w:type="fixed"/>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一、一般公共预算财政拨款收入</w:t>
            </w:r>
          </w:p>
        </w:tc>
        <w:tc>
          <w:tcPr>
            <w:tcW w:w="449"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w:t>
            </w:r>
          </w:p>
        </w:tc>
        <w:tc>
          <w:tcPr>
            <w:tcW w:w="1230"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53.70</w:t>
            </w:r>
          </w:p>
        </w:tc>
        <w:tc>
          <w:tcPr>
            <w:tcW w:w="3798" w:type="dxa"/>
            <w:gridSpan w:val="3"/>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一、一般公共服务支出</w:t>
            </w:r>
          </w:p>
        </w:tc>
        <w:tc>
          <w:tcPr>
            <w:tcW w:w="845"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32</w:t>
            </w:r>
          </w:p>
        </w:tc>
        <w:tc>
          <w:tcPr>
            <w:tcW w:w="3633" w:type="dxa"/>
            <w:gridSpan w:val="3"/>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18.77</w:t>
            </w:r>
          </w:p>
        </w:tc>
      </w:tr>
      <w:tr>
        <w:tblPrEx>
          <w:tblLayout w:type="fixed"/>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二、政府性基金预算财政拨款收入</w:t>
            </w:r>
          </w:p>
        </w:tc>
        <w:tc>
          <w:tcPr>
            <w:tcW w:w="449"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w:t>
            </w:r>
          </w:p>
        </w:tc>
        <w:tc>
          <w:tcPr>
            <w:tcW w:w="1230" w:type="dxa"/>
            <w:gridSpan w:val="2"/>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二、外交支出</w:t>
            </w:r>
          </w:p>
        </w:tc>
        <w:tc>
          <w:tcPr>
            <w:tcW w:w="845"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33</w:t>
            </w:r>
          </w:p>
        </w:tc>
        <w:tc>
          <w:tcPr>
            <w:tcW w:w="3633" w:type="dxa"/>
            <w:gridSpan w:val="3"/>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r>
      <w:tr>
        <w:tblPrEx>
          <w:tblLayout w:type="fixed"/>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三、国有资本经营预算财政拨款收入</w:t>
            </w:r>
          </w:p>
        </w:tc>
        <w:tc>
          <w:tcPr>
            <w:tcW w:w="449"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w:t>
            </w:r>
          </w:p>
        </w:tc>
        <w:tc>
          <w:tcPr>
            <w:tcW w:w="1230" w:type="dxa"/>
            <w:gridSpan w:val="2"/>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三、国防支出</w:t>
            </w:r>
          </w:p>
        </w:tc>
        <w:tc>
          <w:tcPr>
            <w:tcW w:w="845"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34</w:t>
            </w:r>
          </w:p>
        </w:tc>
        <w:tc>
          <w:tcPr>
            <w:tcW w:w="3633" w:type="dxa"/>
            <w:gridSpan w:val="3"/>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r>
      <w:tr>
        <w:tblPrEx>
          <w:tblLayout w:type="fixed"/>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四、上级补助收入</w:t>
            </w:r>
          </w:p>
        </w:tc>
        <w:tc>
          <w:tcPr>
            <w:tcW w:w="449"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w:t>
            </w:r>
          </w:p>
        </w:tc>
        <w:tc>
          <w:tcPr>
            <w:tcW w:w="1230" w:type="dxa"/>
            <w:gridSpan w:val="2"/>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四、公共安全支出</w:t>
            </w:r>
          </w:p>
        </w:tc>
        <w:tc>
          <w:tcPr>
            <w:tcW w:w="845"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35</w:t>
            </w:r>
          </w:p>
        </w:tc>
        <w:tc>
          <w:tcPr>
            <w:tcW w:w="3633" w:type="dxa"/>
            <w:gridSpan w:val="3"/>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r>
      <w:tr>
        <w:tblPrEx>
          <w:tblLayout w:type="fixed"/>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五、事业收入</w:t>
            </w:r>
          </w:p>
        </w:tc>
        <w:tc>
          <w:tcPr>
            <w:tcW w:w="449"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w:t>
            </w:r>
          </w:p>
        </w:tc>
        <w:tc>
          <w:tcPr>
            <w:tcW w:w="1230" w:type="dxa"/>
            <w:gridSpan w:val="2"/>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五、教育支出</w:t>
            </w:r>
          </w:p>
        </w:tc>
        <w:tc>
          <w:tcPr>
            <w:tcW w:w="845"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36</w:t>
            </w:r>
          </w:p>
        </w:tc>
        <w:tc>
          <w:tcPr>
            <w:tcW w:w="3633" w:type="dxa"/>
            <w:gridSpan w:val="3"/>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r>
      <w:tr>
        <w:tblPrEx>
          <w:tblLayout w:type="fixed"/>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六、经营收入</w:t>
            </w:r>
          </w:p>
        </w:tc>
        <w:tc>
          <w:tcPr>
            <w:tcW w:w="449"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6</w:t>
            </w:r>
          </w:p>
        </w:tc>
        <w:tc>
          <w:tcPr>
            <w:tcW w:w="1230" w:type="dxa"/>
            <w:gridSpan w:val="2"/>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六、科学技术支出</w:t>
            </w:r>
          </w:p>
        </w:tc>
        <w:tc>
          <w:tcPr>
            <w:tcW w:w="845"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37</w:t>
            </w:r>
          </w:p>
        </w:tc>
        <w:tc>
          <w:tcPr>
            <w:tcW w:w="3633" w:type="dxa"/>
            <w:gridSpan w:val="3"/>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r>
      <w:tr>
        <w:tblPrEx>
          <w:tblLayout w:type="fixed"/>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七、附属单位上缴收入</w:t>
            </w:r>
          </w:p>
        </w:tc>
        <w:tc>
          <w:tcPr>
            <w:tcW w:w="449"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7</w:t>
            </w:r>
          </w:p>
        </w:tc>
        <w:tc>
          <w:tcPr>
            <w:tcW w:w="1230" w:type="dxa"/>
            <w:gridSpan w:val="2"/>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七、文化旅游体育与传媒支出</w:t>
            </w:r>
          </w:p>
        </w:tc>
        <w:tc>
          <w:tcPr>
            <w:tcW w:w="845"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38</w:t>
            </w:r>
          </w:p>
        </w:tc>
        <w:tc>
          <w:tcPr>
            <w:tcW w:w="3633" w:type="dxa"/>
            <w:gridSpan w:val="3"/>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31.83</w:t>
            </w:r>
          </w:p>
        </w:tc>
      </w:tr>
      <w:tr>
        <w:tblPrEx>
          <w:tblLayout w:type="fixed"/>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八、其他收入</w:t>
            </w:r>
          </w:p>
        </w:tc>
        <w:tc>
          <w:tcPr>
            <w:tcW w:w="449"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8</w:t>
            </w:r>
          </w:p>
        </w:tc>
        <w:tc>
          <w:tcPr>
            <w:tcW w:w="1230" w:type="dxa"/>
            <w:gridSpan w:val="2"/>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八、社会保障和就业支出</w:t>
            </w:r>
          </w:p>
        </w:tc>
        <w:tc>
          <w:tcPr>
            <w:tcW w:w="845"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39</w:t>
            </w:r>
          </w:p>
        </w:tc>
        <w:tc>
          <w:tcPr>
            <w:tcW w:w="3633" w:type="dxa"/>
            <w:gridSpan w:val="3"/>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r>
      <w:tr>
        <w:tblPrEx>
          <w:tblLayout w:type="fixed"/>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pPr>
              <w:jc w:val="left"/>
              <w:rPr>
                <w:rFonts w:ascii="宋体" w:hAnsi="宋体" w:eastAsia="宋体" w:cs="宋体"/>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9</w:t>
            </w:r>
          </w:p>
        </w:tc>
        <w:tc>
          <w:tcPr>
            <w:tcW w:w="1230" w:type="dxa"/>
            <w:gridSpan w:val="2"/>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kern w:val="0"/>
                <w:sz w:val="20"/>
                <w:szCs w:val="20"/>
              </w:rPr>
            </w:pPr>
            <w:r>
              <w:rPr>
                <w:rFonts w:hint="eastAsia" w:ascii="宋体" w:hAnsi="宋体" w:eastAsia="宋体" w:cs="宋体"/>
                <w:i w:val="0"/>
                <w:iCs w:val="0"/>
                <w:color w:val="000000"/>
                <w:kern w:val="0"/>
                <w:sz w:val="22"/>
                <w:szCs w:val="22"/>
                <w:u w:val="none"/>
                <w:lang w:val="en-US" w:eastAsia="zh-CN" w:bidi="ar"/>
              </w:rPr>
              <w:t>九、卫生健康支出</w:t>
            </w:r>
          </w:p>
        </w:tc>
        <w:tc>
          <w:tcPr>
            <w:tcW w:w="845"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40</w:t>
            </w:r>
          </w:p>
        </w:tc>
        <w:tc>
          <w:tcPr>
            <w:tcW w:w="3633" w:type="dxa"/>
            <w:gridSpan w:val="3"/>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b/>
                <w:bCs/>
                <w:kern w:val="0"/>
                <w:sz w:val="22"/>
              </w:rPr>
            </w:pPr>
          </w:p>
        </w:tc>
      </w:tr>
      <w:tr>
        <w:tblPrEx>
          <w:tblLayout w:type="fixed"/>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pPr>
              <w:jc w:val="left"/>
              <w:rPr>
                <w:rFonts w:hint="eastAsia" w:ascii="宋体" w:hAnsi="宋体" w:eastAsia="宋体" w:cs="宋体"/>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10</w:t>
            </w:r>
          </w:p>
        </w:tc>
        <w:tc>
          <w:tcPr>
            <w:tcW w:w="1230" w:type="dxa"/>
            <w:gridSpan w:val="2"/>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kern w:val="0"/>
                <w:sz w:val="20"/>
                <w:szCs w:val="20"/>
              </w:rPr>
            </w:pPr>
            <w:r>
              <w:rPr>
                <w:rFonts w:hint="eastAsia" w:ascii="宋体" w:hAnsi="宋体" w:eastAsia="宋体" w:cs="宋体"/>
                <w:i w:val="0"/>
                <w:iCs w:val="0"/>
                <w:color w:val="000000"/>
                <w:kern w:val="0"/>
                <w:sz w:val="22"/>
                <w:szCs w:val="22"/>
                <w:u w:val="none"/>
                <w:lang w:val="en-US" w:eastAsia="zh-CN" w:bidi="ar"/>
              </w:rPr>
              <w:t>十、节能环保支出</w:t>
            </w:r>
          </w:p>
        </w:tc>
        <w:tc>
          <w:tcPr>
            <w:tcW w:w="845"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41</w:t>
            </w:r>
          </w:p>
        </w:tc>
        <w:tc>
          <w:tcPr>
            <w:tcW w:w="3633" w:type="dxa"/>
            <w:gridSpan w:val="3"/>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b/>
                <w:bCs/>
                <w:kern w:val="0"/>
                <w:sz w:val="22"/>
              </w:rPr>
            </w:pPr>
          </w:p>
        </w:tc>
      </w:tr>
      <w:tr>
        <w:tblPrEx>
          <w:tblLayout w:type="fixed"/>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pPr>
              <w:jc w:val="left"/>
              <w:rPr>
                <w:rFonts w:hint="eastAsia" w:ascii="宋体" w:hAnsi="宋体" w:eastAsia="宋体" w:cs="宋体"/>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11</w:t>
            </w:r>
          </w:p>
        </w:tc>
        <w:tc>
          <w:tcPr>
            <w:tcW w:w="1230" w:type="dxa"/>
            <w:gridSpan w:val="2"/>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kern w:val="0"/>
                <w:sz w:val="20"/>
                <w:szCs w:val="20"/>
              </w:rPr>
            </w:pPr>
            <w:r>
              <w:rPr>
                <w:rFonts w:hint="eastAsia" w:ascii="宋体" w:hAnsi="宋体" w:eastAsia="宋体" w:cs="宋体"/>
                <w:i w:val="0"/>
                <w:iCs w:val="0"/>
                <w:color w:val="000000"/>
                <w:kern w:val="0"/>
                <w:sz w:val="22"/>
                <w:szCs w:val="22"/>
                <w:u w:val="none"/>
                <w:lang w:val="en-US" w:eastAsia="zh-CN" w:bidi="ar"/>
              </w:rPr>
              <w:t>十一、城乡社区支出</w:t>
            </w:r>
          </w:p>
        </w:tc>
        <w:tc>
          <w:tcPr>
            <w:tcW w:w="845"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42</w:t>
            </w:r>
          </w:p>
        </w:tc>
        <w:tc>
          <w:tcPr>
            <w:tcW w:w="3633" w:type="dxa"/>
            <w:gridSpan w:val="3"/>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b/>
                <w:bCs/>
                <w:kern w:val="0"/>
                <w:sz w:val="22"/>
              </w:rPr>
            </w:pPr>
          </w:p>
        </w:tc>
      </w:tr>
      <w:tr>
        <w:tblPrEx>
          <w:tblLayout w:type="fixed"/>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pPr>
              <w:jc w:val="left"/>
              <w:rPr>
                <w:rFonts w:hint="eastAsia" w:ascii="宋体" w:hAnsi="宋体" w:eastAsia="宋体" w:cs="宋体"/>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12</w:t>
            </w:r>
          </w:p>
        </w:tc>
        <w:tc>
          <w:tcPr>
            <w:tcW w:w="1230" w:type="dxa"/>
            <w:gridSpan w:val="2"/>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kern w:val="0"/>
                <w:sz w:val="20"/>
                <w:szCs w:val="20"/>
              </w:rPr>
            </w:pPr>
            <w:r>
              <w:rPr>
                <w:rFonts w:hint="eastAsia" w:ascii="宋体" w:hAnsi="宋体" w:eastAsia="宋体" w:cs="宋体"/>
                <w:i w:val="0"/>
                <w:iCs w:val="0"/>
                <w:color w:val="000000"/>
                <w:kern w:val="0"/>
                <w:sz w:val="22"/>
                <w:szCs w:val="22"/>
                <w:u w:val="none"/>
                <w:lang w:val="en-US" w:eastAsia="zh-CN" w:bidi="ar"/>
              </w:rPr>
              <w:t>十二、农林水支出</w:t>
            </w:r>
          </w:p>
        </w:tc>
        <w:tc>
          <w:tcPr>
            <w:tcW w:w="845"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43</w:t>
            </w:r>
          </w:p>
        </w:tc>
        <w:tc>
          <w:tcPr>
            <w:tcW w:w="3633" w:type="dxa"/>
            <w:gridSpan w:val="3"/>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b/>
                <w:bCs/>
                <w:kern w:val="0"/>
                <w:sz w:val="22"/>
              </w:rPr>
            </w:pPr>
          </w:p>
        </w:tc>
      </w:tr>
      <w:tr>
        <w:tblPrEx>
          <w:tblLayout w:type="fixed"/>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pPr>
              <w:jc w:val="left"/>
              <w:rPr>
                <w:rFonts w:hint="eastAsia" w:ascii="宋体" w:hAnsi="宋体" w:eastAsia="宋体" w:cs="宋体"/>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13</w:t>
            </w:r>
          </w:p>
        </w:tc>
        <w:tc>
          <w:tcPr>
            <w:tcW w:w="1230" w:type="dxa"/>
            <w:gridSpan w:val="2"/>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kern w:val="0"/>
                <w:sz w:val="20"/>
                <w:szCs w:val="20"/>
              </w:rPr>
            </w:pPr>
            <w:r>
              <w:rPr>
                <w:rFonts w:hint="eastAsia" w:ascii="宋体" w:hAnsi="宋体" w:eastAsia="宋体" w:cs="宋体"/>
                <w:i w:val="0"/>
                <w:iCs w:val="0"/>
                <w:color w:val="000000"/>
                <w:kern w:val="0"/>
                <w:sz w:val="22"/>
                <w:szCs w:val="22"/>
                <w:u w:val="none"/>
                <w:lang w:val="en-US" w:eastAsia="zh-CN" w:bidi="ar"/>
              </w:rPr>
              <w:t>十三、交通运输支出</w:t>
            </w:r>
          </w:p>
        </w:tc>
        <w:tc>
          <w:tcPr>
            <w:tcW w:w="845"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44</w:t>
            </w:r>
          </w:p>
        </w:tc>
        <w:tc>
          <w:tcPr>
            <w:tcW w:w="3633" w:type="dxa"/>
            <w:gridSpan w:val="3"/>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b/>
                <w:bCs/>
                <w:kern w:val="0"/>
                <w:sz w:val="22"/>
              </w:rPr>
            </w:pPr>
          </w:p>
        </w:tc>
      </w:tr>
      <w:tr>
        <w:tblPrEx>
          <w:tblLayout w:type="fixed"/>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pPr>
              <w:jc w:val="left"/>
              <w:rPr>
                <w:rFonts w:hint="eastAsia" w:ascii="宋体" w:hAnsi="宋体" w:eastAsia="宋体" w:cs="宋体"/>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14</w:t>
            </w:r>
          </w:p>
        </w:tc>
        <w:tc>
          <w:tcPr>
            <w:tcW w:w="1230" w:type="dxa"/>
            <w:gridSpan w:val="2"/>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kern w:val="0"/>
                <w:sz w:val="20"/>
                <w:szCs w:val="20"/>
              </w:rPr>
            </w:pPr>
            <w:r>
              <w:rPr>
                <w:rFonts w:hint="eastAsia" w:ascii="宋体" w:hAnsi="宋体" w:eastAsia="宋体" w:cs="宋体"/>
                <w:i w:val="0"/>
                <w:iCs w:val="0"/>
                <w:color w:val="000000"/>
                <w:kern w:val="0"/>
                <w:sz w:val="22"/>
                <w:szCs w:val="22"/>
                <w:u w:val="none"/>
                <w:lang w:val="en-US" w:eastAsia="zh-CN" w:bidi="ar"/>
              </w:rPr>
              <w:t>十四、资源勘探工业信息等支出</w:t>
            </w:r>
          </w:p>
        </w:tc>
        <w:tc>
          <w:tcPr>
            <w:tcW w:w="845"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45</w:t>
            </w:r>
          </w:p>
        </w:tc>
        <w:tc>
          <w:tcPr>
            <w:tcW w:w="3633" w:type="dxa"/>
            <w:gridSpan w:val="3"/>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b/>
                <w:bCs/>
                <w:kern w:val="0"/>
                <w:sz w:val="22"/>
              </w:rPr>
            </w:pPr>
          </w:p>
        </w:tc>
      </w:tr>
      <w:tr>
        <w:tblPrEx>
          <w:tblLayout w:type="fixed"/>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pPr>
              <w:jc w:val="left"/>
              <w:rPr>
                <w:rFonts w:hint="eastAsia" w:ascii="宋体" w:hAnsi="宋体" w:eastAsia="宋体" w:cs="宋体"/>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15</w:t>
            </w:r>
          </w:p>
        </w:tc>
        <w:tc>
          <w:tcPr>
            <w:tcW w:w="1230" w:type="dxa"/>
            <w:gridSpan w:val="2"/>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kern w:val="0"/>
                <w:sz w:val="20"/>
                <w:szCs w:val="20"/>
              </w:rPr>
            </w:pPr>
            <w:r>
              <w:rPr>
                <w:rFonts w:hint="eastAsia" w:ascii="宋体" w:hAnsi="宋体" w:eastAsia="宋体" w:cs="宋体"/>
                <w:i w:val="0"/>
                <w:iCs w:val="0"/>
                <w:color w:val="000000"/>
                <w:kern w:val="0"/>
                <w:sz w:val="22"/>
                <w:szCs w:val="22"/>
                <w:u w:val="none"/>
                <w:lang w:val="en-US" w:eastAsia="zh-CN" w:bidi="ar"/>
              </w:rPr>
              <w:t>十五、商业服务业等支出</w:t>
            </w:r>
          </w:p>
        </w:tc>
        <w:tc>
          <w:tcPr>
            <w:tcW w:w="845"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46</w:t>
            </w:r>
          </w:p>
        </w:tc>
        <w:tc>
          <w:tcPr>
            <w:tcW w:w="3633" w:type="dxa"/>
            <w:gridSpan w:val="3"/>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b/>
                <w:bCs/>
                <w:kern w:val="0"/>
                <w:sz w:val="22"/>
              </w:rPr>
            </w:pPr>
          </w:p>
        </w:tc>
      </w:tr>
      <w:tr>
        <w:tblPrEx>
          <w:tblLayout w:type="fixed"/>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pPr>
              <w:jc w:val="left"/>
              <w:rPr>
                <w:rFonts w:hint="eastAsia" w:ascii="宋体" w:hAnsi="宋体" w:eastAsia="宋体" w:cs="宋体"/>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16</w:t>
            </w:r>
          </w:p>
        </w:tc>
        <w:tc>
          <w:tcPr>
            <w:tcW w:w="1230" w:type="dxa"/>
            <w:gridSpan w:val="2"/>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kern w:val="0"/>
                <w:sz w:val="20"/>
                <w:szCs w:val="20"/>
              </w:rPr>
            </w:pPr>
            <w:r>
              <w:rPr>
                <w:rFonts w:hint="eastAsia" w:ascii="宋体" w:hAnsi="宋体" w:eastAsia="宋体" w:cs="宋体"/>
                <w:i w:val="0"/>
                <w:iCs w:val="0"/>
                <w:color w:val="000000"/>
                <w:kern w:val="0"/>
                <w:sz w:val="22"/>
                <w:szCs w:val="22"/>
                <w:u w:val="none"/>
                <w:lang w:val="en-US" w:eastAsia="zh-CN" w:bidi="ar"/>
              </w:rPr>
              <w:t>十六、金融支出</w:t>
            </w:r>
          </w:p>
        </w:tc>
        <w:tc>
          <w:tcPr>
            <w:tcW w:w="845"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47</w:t>
            </w:r>
          </w:p>
        </w:tc>
        <w:tc>
          <w:tcPr>
            <w:tcW w:w="3633" w:type="dxa"/>
            <w:gridSpan w:val="3"/>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b/>
                <w:bCs/>
                <w:kern w:val="0"/>
                <w:sz w:val="22"/>
              </w:rPr>
            </w:pPr>
          </w:p>
        </w:tc>
      </w:tr>
      <w:tr>
        <w:tblPrEx>
          <w:tblLayout w:type="fixed"/>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pPr>
              <w:jc w:val="left"/>
              <w:rPr>
                <w:rFonts w:hint="eastAsia" w:ascii="宋体" w:hAnsi="宋体" w:eastAsia="宋体" w:cs="宋体"/>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17</w:t>
            </w:r>
          </w:p>
        </w:tc>
        <w:tc>
          <w:tcPr>
            <w:tcW w:w="1230" w:type="dxa"/>
            <w:gridSpan w:val="2"/>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kern w:val="0"/>
                <w:sz w:val="20"/>
                <w:szCs w:val="20"/>
              </w:rPr>
            </w:pPr>
            <w:r>
              <w:rPr>
                <w:rFonts w:hint="eastAsia" w:ascii="宋体" w:hAnsi="宋体" w:eastAsia="宋体" w:cs="宋体"/>
                <w:i w:val="0"/>
                <w:iCs w:val="0"/>
                <w:color w:val="000000"/>
                <w:kern w:val="0"/>
                <w:sz w:val="22"/>
                <w:szCs w:val="22"/>
                <w:u w:val="none"/>
                <w:lang w:val="en-US" w:eastAsia="zh-CN" w:bidi="ar"/>
              </w:rPr>
              <w:t>十七、援助其他地区支出</w:t>
            </w:r>
          </w:p>
        </w:tc>
        <w:tc>
          <w:tcPr>
            <w:tcW w:w="845"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48</w:t>
            </w:r>
          </w:p>
        </w:tc>
        <w:tc>
          <w:tcPr>
            <w:tcW w:w="3633" w:type="dxa"/>
            <w:gridSpan w:val="3"/>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b/>
                <w:bCs/>
                <w:kern w:val="0"/>
                <w:sz w:val="22"/>
              </w:rPr>
            </w:pPr>
          </w:p>
        </w:tc>
      </w:tr>
      <w:tr>
        <w:tblPrEx>
          <w:tblLayout w:type="fixed"/>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pPr>
              <w:jc w:val="left"/>
              <w:rPr>
                <w:rFonts w:hint="eastAsia" w:ascii="宋体" w:hAnsi="宋体" w:eastAsia="宋体" w:cs="宋体"/>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18</w:t>
            </w:r>
          </w:p>
        </w:tc>
        <w:tc>
          <w:tcPr>
            <w:tcW w:w="1230" w:type="dxa"/>
            <w:gridSpan w:val="2"/>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kern w:val="0"/>
                <w:sz w:val="20"/>
                <w:szCs w:val="20"/>
              </w:rPr>
            </w:pPr>
            <w:r>
              <w:rPr>
                <w:rFonts w:hint="eastAsia" w:ascii="宋体" w:hAnsi="宋体" w:eastAsia="宋体" w:cs="宋体"/>
                <w:i w:val="0"/>
                <w:iCs w:val="0"/>
                <w:color w:val="000000"/>
                <w:kern w:val="0"/>
                <w:sz w:val="22"/>
                <w:szCs w:val="22"/>
                <w:u w:val="none"/>
                <w:lang w:val="en-US" w:eastAsia="zh-CN" w:bidi="ar"/>
              </w:rPr>
              <w:t>十八、自然资源海洋气象等支出</w:t>
            </w:r>
          </w:p>
        </w:tc>
        <w:tc>
          <w:tcPr>
            <w:tcW w:w="845"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49</w:t>
            </w:r>
          </w:p>
        </w:tc>
        <w:tc>
          <w:tcPr>
            <w:tcW w:w="3633" w:type="dxa"/>
            <w:gridSpan w:val="3"/>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b/>
                <w:bCs/>
                <w:kern w:val="0"/>
                <w:sz w:val="22"/>
              </w:rPr>
            </w:pPr>
          </w:p>
        </w:tc>
      </w:tr>
      <w:tr>
        <w:tblPrEx>
          <w:tblLayout w:type="fixed"/>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pPr>
              <w:jc w:val="left"/>
              <w:rPr>
                <w:rFonts w:hint="eastAsia" w:ascii="宋体" w:hAnsi="宋体" w:eastAsia="宋体" w:cs="宋体"/>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19</w:t>
            </w:r>
          </w:p>
        </w:tc>
        <w:tc>
          <w:tcPr>
            <w:tcW w:w="1230" w:type="dxa"/>
            <w:gridSpan w:val="2"/>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kern w:val="0"/>
                <w:sz w:val="20"/>
                <w:szCs w:val="20"/>
              </w:rPr>
            </w:pPr>
            <w:r>
              <w:rPr>
                <w:rFonts w:hint="eastAsia" w:ascii="宋体" w:hAnsi="宋体" w:eastAsia="宋体" w:cs="宋体"/>
                <w:i w:val="0"/>
                <w:iCs w:val="0"/>
                <w:color w:val="000000"/>
                <w:kern w:val="0"/>
                <w:sz w:val="22"/>
                <w:szCs w:val="22"/>
                <w:u w:val="none"/>
                <w:lang w:val="en-US" w:eastAsia="zh-CN" w:bidi="ar"/>
              </w:rPr>
              <w:t>十九、住房保障支出</w:t>
            </w:r>
          </w:p>
        </w:tc>
        <w:tc>
          <w:tcPr>
            <w:tcW w:w="845"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50</w:t>
            </w:r>
          </w:p>
        </w:tc>
        <w:tc>
          <w:tcPr>
            <w:tcW w:w="3633" w:type="dxa"/>
            <w:gridSpan w:val="3"/>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bCs/>
                <w:kern w:val="0"/>
                <w:sz w:val="22"/>
              </w:rPr>
            </w:pPr>
            <w:r>
              <w:rPr>
                <w:rFonts w:hint="eastAsia" w:ascii="宋体" w:hAnsi="宋体" w:eastAsia="宋体" w:cs="宋体"/>
                <w:i w:val="0"/>
                <w:iCs w:val="0"/>
                <w:color w:val="000000"/>
                <w:kern w:val="0"/>
                <w:sz w:val="22"/>
                <w:szCs w:val="22"/>
                <w:u w:val="none"/>
                <w:lang w:val="en-US" w:eastAsia="zh-CN" w:bidi="ar"/>
              </w:rPr>
              <w:t>3.10</w:t>
            </w:r>
          </w:p>
        </w:tc>
      </w:tr>
      <w:tr>
        <w:tblPrEx>
          <w:tblLayout w:type="fixed"/>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pPr>
              <w:jc w:val="left"/>
              <w:rPr>
                <w:rFonts w:hint="eastAsia" w:ascii="宋体" w:hAnsi="宋体" w:eastAsia="宋体" w:cs="宋体"/>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20</w:t>
            </w:r>
          </w:p>
        </w:tc>
        <w:tc>
          <w:tcPr>
            <w:tcW w:w="1230" w:type="dxa"/>
            <w:gridSpan w:val="2"/>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kern w:val="0"/>
                <w:sz w:val="20"/>
                <w:szCs w:val="20"/>
              </w:rPr>
            </w:pPr>
            <w:r>
              <w:rPr>
                <w:rFonts w:hint="eastAsia" w:ascii="宋体" w:hAnsi="宋体" w:eastAsia="宋体" w:cs="宋体"/>
                <w:i w:val="0"/>
                <w:iCs w:val="0"/>
                <w:color w:val="000000"/>
                <w:kern w:val="0"/>
                <w:sz w:val="22"/>
                <w:szCs w:val="22"/>
                <w:u w:val="none"/>
                <w:lang w:val="en-US" w:eastAsia="zh-CN" w:bidi="ar"/>
              </w:rPr>
              <w:t>二十、粮油物资储备支出</w:t>
            </w:r>
          </w:p>
        </w:tc>
        <w:tc>
          <w:tcPr>
            <w:tcW w:w="845"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51</w:t>
            </w:r>
          </w:p>
        </w:tc>
        <w:tc>
          <w:tcPr>
            <w:tcW w:w="3633" w:type="dxa"/>
            <w:gridSpan w:val="3"/>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b/>
                <w:bCs/>
                <w:kern w:val="0"/>
                <w:sz w:val="22"/>
              </w:rPr>
            </w:pPr>
          </w:p>
        </w:tc>
      </w:tr>
      <w:tr>
        <w:tblPrEx>
          <w:tblLayout w:type="fixed"/>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pPr>
              <w:jc w:val="left"/>
              <w:rPr>
                <w:rFonts w:hint="eastAsia" w:ascii="宋体" w:hAnsi="宋体" w:eastAsia="宋体" w:cs="宋体"/>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21</w:t>
            </w:r>
          </w:p>
        </w:tc>
        <w:tc>
          <w:tcPr>
            <w:tcW w:w="1230" w:type="dxa"/>
            <w:gridSpan w:val="2"/>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kern w:val="0"/>
                <w:sz w:val="20"/>
                <w:szCs w:val="20"/>
              </w:rPr>
            </w:pPr>
            <w:r>
              <w:rPr>
                <w:rFonts w:hint="eastAsia" w:ascii="宋体" w:hAnsi="宋体" w:eastAsia="宋体" w:cs="宋体"/>
                <w:i w:val="0"/>
                <w:iCs w:val="0"/>
                <w:color w:val="000000"/>
                <w:kern w:val="0"/>
                <w:sz w:val="22"/>
                <w:szCs w:val="22"/>
                <w:u w:val="none"/>
                <w:lang w:val="en-US" w:eastAsia="zh-CN" w:bidi="ar"/>
              </w:rPr>
              <w:t>二十一、国有资本经营预算支出</w:t>
            </w:r>
          </w:p>
        </w:tc>
        <w:tc>
          <w:tcPr>
            <w:tcW w:w="845"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52</w:t>
            </w:r>
          </w:p>
        </w:tc>
        <w:tc>
          <w:tcPr>
            <w:tcW w:w="3633" w:type="dxa"/>
            <w:gridSpan w:val="3"/>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b/>
                <w:bCs/>
                <w:kern w:val="0"/>
                <w:sz w:val="22"/>
              </w:rPr>
            </w:pPr>
          </w:p>
        </w:tc>
      </w:tr>
      <w:tr>
        <w:tblPrEx>
          <w:tblLayout w:type="fixed"/>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pPr>
              <w:jc w:val="left"/>
              <w:rPr>
                <w:rFonts w:hint="eastAsia" w:ascii="宋体" w:hAnsi="宋体" w:eastAsia="宋体" w:cs="宋体"/>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22</w:t>
            </w:r>
          </w:p>
        </w:tc>
        <w:tc>
          <w:tcPr>
            <w:tcW w:w="1230" w:type="dxa"/>
            <w:gridSpan w:val="2"/>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kern w:val="0"/>
                <w:sz w:val="20"/>
                <w:szCs w:val="20"/>
              </w:rPr>
            </w:pPr>
            <w:r>
              <w:rPr>
                <w:rFonts w:hint="eastAsia" w:ascii="宋体" w:hAnsi="宋体" w:eastAsia="宋体" w:cs="宋体"/>
                <w:i w:val="0"/>
                <w:iCs w:val="0"/>
                <w:color w:val="000000"/>
                <w:kern w:val="0"/>
                <w:sz w:val="22"/>
                <w:szCs w:val="22"/>
                <w:u w:val="none"/>
                <w:lang w:val="en-US" w:eastAsia="zh-CN" w:bidi="ar"/>
              </w:rPr>
              <w:t>二十二、灾害防治及应急管理支出</w:t>
            </w:r>
          </w:p>
        </w:tc>
        <w:tc>
          <w:tcPr>
            <w:tcW w:w="845"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53</w:t>
            </w:r>
          </w:p>
        </w:tc>
        <w:tc>
          <w:tcPr>
            <w:tcW w:w="3633" w:type="dxa"/>
            <w:gridSpan w:val="3"/>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b/>
                <w:bCs/>
                <w:kern w:val="0"/>
                <w:sz w:val="22"/>
              </w:rPr>
            </w:pPr>
          </w:p>
        </w:tc>
      </w:tr>
      <w:tr>
        <w:tblPrEx>
          <w:tblLayout w:type="fixed"/>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pPr>
              <w:jc w:val="left"/>
              <w:rPr>
                <w:rFonts w:hint="eastAsia" w:ascii="宋体" w:hAnsi="宋体" w:eastAsia="宋体" w:cs="宋体"/>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23</w:t>
            </w:r>
          </w:p>
        </w:tc>
        <w:tc>
          <w:tcPr>
            <w:tcW w:w="1230" w:type="dxa"/>
            <w:gridSpan w:val="2"/>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kern w:val="0"/>
                <w:sz w:val="20"/>
                <w:szCs w:val="20"/>
              </w:rPr>
            </w:pPr>
            <w:r>
              <w:rPr>
                <w:rFonts w:hint="eastAsia" w:ascii="宋体" w:hAnsi="宋体" w:eastAsia="宋体" w:cs="宋体"/>
                <w:i w:val="0"/>
                <w:iCs w:val="0"/>
                <w:color w:val="000000"/>
                <w:kern w:val="0"/>
                <w:sz w:val="22"/>
                <w:szCs w:val="22"/>
                <w:u w:val="none"/>
                <w:lang w:val="en-US" w:eastAsia="zh-CN" w:bidi="ar"/>
              </w:rPr>
              <w:t>二十三、其他支出</w:t>
            </w:r>
          </w:p>
        </w:tc>
        <w:tc>
          <w:tcPr>
            <w:tcW w:w="845"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54</w:t>
            </w:r>
          </w:p>
        </w:tc>
        <w:tc>
          <w:tcPr>
            <w:tcW w:w="3633" w:type="dxa"/>
            <w:gridSpan w:val="3"/>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b/>
                <w:bCs/>
                <w:kern w:val="0"/>
                <w:sz w:val="22"/>
              </w:rPr>
            </w:pPr>
          </w:p>
        </w:tc>
      </w:tr>
      <w:tr>
        <w:tblPrEx>
          <w:tblLayout w:type="fixed"/>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0"/>
                <w:szCs w:val="20"/>
                <w:u w:val="none"/>
                <w:lang w:val="en-US" w:eastAsia="zh-CN" w:bidi="ar"/>
              </w:rPr>
              <w:t>24</w:t>
            </w:r>
          </w:p>
        </w:tc>
        <w:tc>
          <w:tcPr>
            <w:tcW w:w="1230" w:type="dxa"/>
            <w:gridSpan w:val="2"/>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kern w:val="0"/>
                <w:sz w:val="20"/>
                <w:szCs w:val="20"/>
              </w:rPr>
            </w:pPr>
            <w:r>
              <w:rPr>
                <w:rFonts w:hint="eastAsia" w:ascii="宋体" w:hAnsi="宋体" w:eastAsia="宋体" w:cs="宋体"/>
                <w:i w:val="0"/>
                <w:iCs w:val="0"/>
                <w:color w:val="000000"/>
                <w:kern w:val="0"/>
                <w:sz w:val="22"/>
                <w:szCs w:val="22"/>
                <w:u w:val="none"/>
                <w:lang w:val="en-US" w:eastAsia="zh-CN" w:bidi="ar"/>
              </w:rPr>
              <w:t>二十四、债务还本支出</w:t>
            </w:r>
          </w:p>
        </w:tc>
        <w:tc>
          <w:tcPr>
            <w:tcW w:w="845"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55</w:t>
            </w:r>
          </w:p>
        </w:tc>
        <w:tc>
          <w:tcPr>
            <w:tcW w:w="3633" w:type="dxa"/>
            <w:gridSpan w:val="3"/>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b/>
                <w:bCs/>
                <w:kern w:val="0"/>
                <w:sz w:val="22"/>
              </w:rPr>
            </w:pPr>
          </w:p>
        </w:tc>
      </w:tr>
      <w:tr>
        <w:tblPrEx>
          <w:tblLayout w:type="fixed"/>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pPr>
              <w:jc w:val="left"/>
              <w:rPr>
                <w:rFonts w:hint="eastAsia" w:ascii="宋体" w:hAnsi="宋体" w:eastAsia="宋体" w:cs="宋体"/>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0"/>
                <w:szCs w:val="20"/>
                <w:u w:val="none"/>
                <w:lang w:val="en-US" w:eastAsia="zh-CN" w:bidi="ar"/>
              </w:rPr>
              <w:t>25</w:t>
            </w:r>
          </w:p>
        </w:tc>
        <w:tc>
          <w:tcPr>
            <w:tcW w:w="1230" w:type="dxa"/>
            <w:gridSpan w:val="2"/>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kern w:val="0"/>
                <w:sz w:val="20"/>
                <w:szCs w:val="20"/>
              </w:rPr>
            </w:pPr>
            <w:r>
              <w:rPr>
                <w:rFonts w:hint="eastAsia" w:ascii="宋体" w:hAnsi="宋体" w:eastAsia="宋体" w:cs="宋体"/>
                <w:i w:val="0"/>
                <w:iCs w:val="0"/>
                <w:color w:val="000000"/>
                <w:kern w:val="0"/>
                <w:sz w:val="22"/>
                <w:szCs w:val="22"/>
                <w:u w:val="none"/>
                <w:lang w:val="en-US" w:eastAsia="zh-CN" w:bidi="ar"/>
              </w:rPr>
              <w:t>二十五、债务付息支出</w:t>
            </w:r>
          </w:p>
        </w:tc>
        <w:tc>
          <w:tcPr>
            <w:tcW w:w="845"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56</w:t>
            </w:r>
          </w:p>
        </w:tc>
        <w:tc>
          <w:tcPr>
            <w:tcW w:w="3633" w:type="dxa"/>
            <w:gridSpan w:val="3"/>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b/>
                <w:bCs/>
                <w:kern w:val="0"/>
                <w:sz w:val="22"/>
              </w:rPr>
            </w:pPr>
          </w:p>
        </w:tc>
      </w:tr>
      <w:tr>
        <w:tblPrEx>
          <w:tblLayout w:type="fixed"/>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pPr>
              <w:jc w:val="left"/>
              <w:rPr>
                <w:rFonts w:hint="eastAsia" w:ascii="宋体" w:hAnsi="宋体" w:eastAsia="宋体" w:cs="宋体"/>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0"/>
                <w:szCs w:val="20"/>
                <w:u w:val="none"/>
                <w:lang w:val="en-US" w:eastAsia="zh-CN" w:bidi="ar"/>
              </w:rPr>
              <w:t>26</w:t>
            </w:r>
          </w:p>
        </w:tc>
        <w:tc>
          <w:tcPr>
            <w:tcW w:w="1230" w:type="dxa"/>
            <w:gridSpan w:val="2"/>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kern w:val="0"/>
                <w:sz w:val="20"/>
                <w:szCs w:val="20"/>
              </w:rPr>
            </w:pPr>
            <w:r>
              <w:rPr>
                <w:rFonts w:hint="eastAsia" w:ascii="宋体" w:hAnsi="宋体" w:eastAsia="宋体" w:cs="宋体"/>
                <w:i w:val="0"/>
                <w:iCs w:val="0"/>
                <w:color w:val="000000"/>
                <w:kern w:val="0"/>
                <w:sz w:val="22"/>
                <w:szCs w:val="22"/>
                <w:u w:val="none"/>
                <w:lang w:val="en-US" w:eastAsia="zh-CN" w:bidi="ar"/>
              </w:rPr>
              <w:t>二十六、抗疫特别国债安排的支出</w:t>
            </w:r>
          </w:p>
        </w:tc>
        <w:tc>
          <w:tcPr>
            <w:tcW w:w="845"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57</w:t>
            </w:r>
          </w:p>
        </w:tc>
        <w:tc>
          <w:tcPr>
            <w:tcW w:w="3633" w:type="dxa"/>
            <w:gridSpan w:val="3"/>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b/>
                <w:bCs/>
                <w:kern w:val="0"/>
                <w:sz w:val="22"/>
              </w:rPr>
            </w:pPr>
          </w:p>
        </w:tc>
      </w:tr>
      <w:tr>
        <w:tblPrEx>
          <w:tblLayout w:type="fixed"/>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20"/>
                <w:szCs w:val="20"/>
              </w:rPr>
            </w:pPr>
            <w:r>
              <w:rPr>
                <w:rFonts w:hint="eastAsia" w:ascii="宋体" w:hAnsi="宋体" w:eastAsia="宋体" w:cs="宋体"/>
                <w:b/>
                <w:bCs/>
                <w:i w:val="0"/>
                <w:iCs w:val="0"/>
                <w:color w:val="000000"/>
                <w:kern w:val="0"/>
                <w:sz w:val="22"/>
                <w:szCs w:val="22"/>
                <w:u w:val="none"/>
                <w:lang w:val="en-US" w:eastAsia="zh-CN" w:bidi="ar"/>
              </w:rPr>
              <w:t>本年收入合计</w:t>
            </w:r>
          </w:p>
        </w:tc>
        <w:tc>
          <w:tcPr>
            <w:tcW w:w="449"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27</w:t>
            </w:r>
          </w:p>
        </w:tc>
        <w:tc>
          <w:tcPr>
            <w:tcW w:w="1230"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53.70</w:t>
            </w:r>
          </w:p>
        </w:tc>
        <w:tc>
          <w:tcPr>
            <w:tcW w:w="3798" w:type="dxa"/>
            <w:gridSpan w:val="3"/>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20"/>
                <w:szCs w:val="20"/>
              </w:rPr>
            </w:pPr>
            <w:r>
              <w:rPr>
                <w:rFonts w:hint="eastAsia" w:ascii="宋体" w:hAnsi="宋体" w:eastAsia="宋体" w:cs="宋体"/>
                <w:b/>
                <w:bCs/>
                <w:i w:val="0"/>
                <w:iCs w:val="0"/>
                <w:color w:val="000000"/>
                <w:kern w:val="0"/>
                <w:sz w:val="22"/>
                <w:szCs w:val="22"/>
                <w:u w:val="none"/>
                <w:lang w:val="en-US" w:eastAsia="zh-CN" w:bidi="ar"/>
              </w:rPr>
              <w:t>本年支出合计</w:t>
            </w:r>
          </w:p>
        </w:tc>
        <w:tc>
          <w:tcPr>
            <w:tcW w:w="845"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58</w:t>
            </w:r>
          </w:p>
        </w:tc>
        <w:tc>
          <w:tcPr>
            <w:tcW w:w="3633" w:type="dxa"/>
            <w:gridSpan w:val="3"/>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bCs/>
                <w:kern w:val="0"/>
                <w:sz w:val="22"/>
              </w:rPr>
            </w:pPr>
            <w:r>
              <w:rPr>
                <w:rFonts w:hint="eastAsia" w:ascii="宋体" w:hAnsi="宋体" w:eastAsia="宋体" w:cs="宋体"/>
                <w:i w:val="0"/>
                <w:iCs w:val="0"/>
                <w:color w:val="000000"/>
                <w:kern w:val="0"/>
                <w:sz w:val="22"/>
                <w:szCs w:val="22"/>
                <w:u w:val="none"/>
                <w:lang w:val="en-US" w:eastAsia="zh-CN" w:bidi="ar"/>
              </w:rPr>
              <w:t>53.70</w:t>
            </w:r>
          </w:p>
        </w:tc>
      </w:tr>
      <w:tr>
        <w:tblPrEx>
          <w:tblLayout w:type="fixed"/>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b/>
                <w:bCs/>
                <w:kern w:val="0"/>
                <w:sz w:val="22"/>
              </w:rPr>
            </w:pPr>
            <w:r>
              <w:rPr>
                <w:rFonts w:hint="eastAsia" w:ascii="宋体" w:hAnsi="宋体" w:eastAsia="宋体" w:cs="宋体"/>
                <w:i w:val="0"/>
                <w:iCs w:val="0"/>
                <w:color w:val="000000"/>
                <w:kern w:val="0"/>
                <w:sz w:val="22"/>
                <w:szCs w:val="22"/>
                <w:u w:val="none"/>
                <w:lang w:val="en-US" w:eastAsia="zh-CN" w:bidi="ar"/>
              </w:rPr>
              <w:t>使用非财政拨款结余</w:t>
            </w:r>
          </w:p>
        </w:tc>
        <w:tc>
          <w:tcPr>
            <w:tcW w:w="449"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28</w:t>
            </w:r>
          </w:p>
        </w:tc>
        <w:tc>
          <w:tcPr>
            <w:tcW w:w="1230" w:type="dxa"/>
            <w:gridSpan w:val="2"/>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b/>
                <w:bCs/>
                <w:kern w:val="0"/>
                <w:sz w:val="22"/>
              </w:rPr>
            </w:pPr>
            <w:r>
              <w:rPr>
                <w:rFonts w:hint="eastAsia" w:ascii="宋体" w:hAnsi="宋体" w:eastAsia="宋体" w:cs="宋体"/>
                <w:i w:val="0"/>
                <w:iCs w:val="0"/>
                <w:color w:val="000000"/>
                <w:kern w:val="0"/>
                <w:sz w:val="22"/>
                <w:szCs w:val="22"/>
                <w:u w:val="none"/>
                <w:lang w:val="en-US" w:eastAsia="zh-CN" w:bidi="ar"/>
              </w:rPr>
              <w:t>结余分配</w:t>
            </w:r>
          </w:p>
        </w:tc>
        <w:tc>
          <w:tcPr>
            <w:tcW w:w="845"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59</w:t>
            </w:r>
          </w:p>
        </w:tc>
        <w:tc>
          <w:tcPr>
            <w:tcW w:w="3633" w:type="dxa"/>
            <w:gridSpan w:val="3"/>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r>
      <w:tr>
        <w:tblPrEx>
          <w:tblLayout w:type="fixed"/>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年初结转和结余</w:t>
            </w:r>
          </w:p>
        </w:tc>
        <w:tc>
          <w:tcPr>
            <w:tcW w:w="449"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29</w:t>
            </w:r>
          </w:p>
        </w:tc>
        <w:tc>
          <w:tcPr>
            <w:tcW w:w="1230" w:type="dxa"/>
            <w:gridSpan w:val="2"/>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年末结转和结余</w:t>
            </w:r>
          </w:p>
        </w:tc>
        <w:tc>
          <w:tcPr>
            <w:tcW w:w="845"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60</w:t>
            </w:r>
          </w:p>
        </w:tc>
        <w:tc>
          <w:tcPr>
            <w:tcW w:w="3633" w:type="dxa"/>
            <w:gridSpan w:val="3"/>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r>
      <w:tr>
        <w:tblPrEx>
          <w:tblLayout w:type="fixed"/>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pPr>
              <w:jc w:val="left"/>
              <w:rPr>
                <w:rFonts w:ascii="宋体" w:hAnsi="宋体" w:eastAsia="宋体" w:cs="宋体"/>
                <w:kern w:val="0"/>
                <w:sz w:val="22"/>
              </w:rPr>
            </w:pPr>
          </w:p>
        </w:tc>
        <w:tc>
          <w:tcPr>
            <w:tcW w:w="449"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30</w:t>
            </w:r>
          </w:p>
        </w:tc>
        <w:tc>
          <w:tcPr>
            <w:tcW w:w="1230" w:type="dxa"/>
            <w:gridSpan w:val="2"/>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pPr>
              <w:jc w:val="left"/>
              <w:rPr>
                <w:rFonts w:ascii="宋体" w:hAnsi="宋体" w:eastAsia="宋体" w:cs="宋体"/>
                <w:kern w:val="0"/>
                <w:sz w:val="22"/>
              </w:rPr>
            </w:pPr>
          </w:p>
        </w:tc>
        <w:tc>
          <w:tcPr>
            <w:tcW w:w="845"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61</w:t>
            </w:r>
          </w:p>
        </w:tc>
        <w:tc>
          <w:tcPr>
            <w:tcW w:w="3633" w:type="dxa"/>
            <w:gridSpan w:val="3"/>
            <w:tcBorders>
              <w:top w:val="nil"/>
              <w:left w:val="nil"/>
              <w:bottom w:val="single" w:color="auto" w:sz="4" w:space="0"/>
              <w:right w:val="single" w:color="auto" w:sz="4" w:space="0"/>
            </w:tcBorders>
            <w:shd w:val="clear" w:color="auto" w:fill="auto"/>
            <w:noWrap/>
            <w:vAlign w:val="center"/>
          </w:tcPr>
          <w:p>
            <w:pPr>
              <w:jc w:val="left"/>
              <w:rPr>
                <w:rFonts w:ascii="宋体" w:hAnsi="宋体" w:eastAsia="宋体" w:cs="宋体"/>
                <w:kern w:val="0"/>
                <w:sz w:val="22"/>
              </w:rPr>
            </w:pPr>
          </w:p>
        </w:tc>
      </w:tr>
      <w:tr>
        <w:tblPrEx>
          <w:tblLayout w:type="fixed"/>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宋体" w:hAnsi="宋体" w:eastAsia="宋体" w:cs="宋体"/>
                <w:b/>
                <w:bCs/>
                <w:kern w:val="0"/>
                <w:sz w:val="22"/>
              </w:rPr>
            </w:pPr>
            <w:r>
              <w:rPr>
                <w:rFonts w:hint="eastAsia" w:ascii="宋体" w:hAnsi="宋体" w:eastAsia="宋体" w:cs="宋体"/>
                <w:b/>
                <w:bCs/>
                <w:i w:val="0"/>
                <w:iCs w:val="0"/>
                <w:color w:val="000000"/>
                <w:kern w:val="0"/>
                <w:sz w:val="22"/>
                <w:szCs w:val="22"/>
                <w:u w:val="none"/>
                <w:lang w:val="en-US" w:eastAsia="zh-CN" w:bidi="ar"/>
              </w:rPr>
              <w:t>总计</w:t>
            </w:r>
          </w:p>
        </w:tc>
        <w:tc>
          <w:tcPr>
            <w:tcW w:w="449"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31</w:t>
            </w:r>
          </w:p>
        </w:tc>
        <w:tc>
          <w:tcPr>
            <w:tcW w:w="1230"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53.70</w:t>
            </w:r>
          </w:p>
        </w:tc>
        <w:tc>
          <w:tcPr>
            <w:tcW w:w="3798" w:type="dxa"/>
            <w:gridSpan w:val="3"/>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宋体" w:hAnsi="宋体" w:eastAsia="宋体" w:cs="宋体"/>
                <w:b/>
                <w:bCs/>
                <w:kern w:val="0"/>
                <w:sz w:val="22"/>
              </w:rPr>
            </w:pPr>
            <w:r>
              <w:rPr>
                <w:rFonts w:hint="eastAsia" w:ascii="宋体" w:hAnsi="宋体" w:eastAsia="宋体" w:cs="宋体"/>
                <w:b/>
                <w:bCs/>
                <w:i w:val="0"/>
                <w:iCs w:val="0"/>
                <w:color w:val="000000"/>
                <w:kern w:val="0"/>
                <w:sz w:val="22"/>
                <w:szCs w:val="22"/>
                <w:u w:val="none"/>
                <w:lang w:val="en-US" w:eastAsia="zh-CN" w:bidi="ar"/>
              </w:rPr>
              <w:t>总计</w:t>
            </w:r>
          </w:p>
        </w:tc>
        <w:tc>
          <w:tcPr>
            <w:tcW w:w="845"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62</w:t>
            </w:r>
          </w:p>
        </w:tc>
        <w:tc>
          <w:tcPr>
            <w:tcW w:w="3633" w:type="dxa"/>
            <w:gridSpan w:val="3"/>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b/>
                <w:bCs/>
                <w:kern w:val="0"/>
                <w:sz w:val="22"/>
              </w:rPr>
            </w:pPr>
            <w:r>
              <w:rPr>
                <w:rFonts w:hint="eastAsia" w:ascii="宋体" w:hAnsi="宋体" w:eastAsia="宋体" w:cs="宋体"/>
                <w:i w:val="0"/>
                <w:iCs w:val="0"/>
                <w:color w:val="000000"/>
                <w:kern w:val="0"/>
                <w:sz w:val="22"/>
                <w:szCs w:val="22"/>
                <w:u w:val="none"/>
                <w:lang w:val="en-US" w:eastAsia="zh-CN" w:bidi="ar"/>
              </w:rPr>
              <w:t>53.70</w:t>
            </w:r>
          </w:p>
        </w:tc>
      </w:tr>
      <w:tr>
        <w:tblPrEx>
          <w:tblLayout w:type="fixed"/>
          <w:tblCellMar>
            <w:top w:w="0" w:type="dxa"/>
            <w:left w:w="108" w:type="dxa"/>
            <w:bottom w:w="0" w:type="dxa"/>
            <w:right w:w="108" w:type="dxa"/>
          </w:tblCellMar>
        </w:tblPrEx>
        <w:trPr>
          <w:trHeight w:val="1020" w:hRule="atLeast"/>
        </w:trPr>
        <w:tc>
          <w:tcPr>
            <w:tcW w:w="14081" w:type="dxa"/>
            <w:gridSpan w:val="11"/>
            <w:tcBorders>
              <w:top w:val="nil"/>
              <w:left w:val="nil"/>
              <w:bottom w:val="nil"/>
              <w:right w:val="nil"/>
            </w:tcBorders>
            <w:shd w:val="clear" w:color="auto" w:fill="auto"/>
            <w:vAlign w:val="center"/>
          </w:tcPr>
          <w:p>
            <w:pPr>
              <w:widowControl/>
              <w:jc w:val="left"/>
              <w:rPr>
                <w:rFonts w:hint="eastAsia" w:ascii="宋体" w:hAnsi="宋体" w:eastAsia="宋体" w:cs="宋体"/>
                <w:kern w:val="0"/>
                <w:sz w:val="24"/>
                <w:szCs w:val="24"/>
                <w:lang w:eastAsia="zh-CN"/>
              </w:rPr>
            </w:pPr>
            <w:r>
              <w:rPr>
                <w:rFonts w:hint="eastAsia" w:ascii="宋体" w:hAnsi="宋体" w:eastAsia="宋体" w:cs="宋体"/>
                <w:kern w:val="0"/>
                <w:sz w:val="24"/>
                <w:szCs w:val="24"/>
              </w:rPr>
              <w:t>注：1.本表反映部门本年度的总收支和年末结转结余情况。</w:t>
            </w:r>
          </w:p>
          <w:p>
            <w:pPr>
              <w:widowControl/>
              <w:jc w:val="left"/>
              <w:rPr>
                <w:rFonts w:ascii="宋体" w:hAnsi="宋体" w:eastAsia="宋体" w:cs="宋体"/>
                <w:kern w:val="0"/>
                <w:sz w:val="24"/>
                <w:szCs w:val="24"/>
              </w:rPr>
            </w:pPr>
            <w:r>
              <w:rPr>
                <w:rFonts w:hint="eastAsia" w:ascii="宋体" w:hAnsi="宋体" w:eastAsia="宋体" w:cs="宋体"/>
                <w:kern w:val="0"/>
                <w:sz w:val="24"/>
                <w:szCs w:val="24"/>
              </w:rPr>
              <w:t xml:space="preserve"> 2.本套报表金额单位转换时可能存在尾数误差。</w:t>
            </w:r>
          </w:p>
        </w:tc>
      </w:tr>
    </w:tbl>
    <w:p>
      <w:pPr>
        <w:jc w:val="center"/>
        <w:rPr>
          <w:rFonts w:ascii="黑体" w:hAnsi="黑体" w:eastAsia="黑体"/>
          <w:sz w:val="28"/>
          <w:szCs w:val="28"/>
        </w:rPr>
        <w:sectPr>
          <w:pgSz w:w="16838" w:h="11906" w:orient="landscape"/>
          <w:pgMar w:top="1797" w:right="1440" w:bottom="1797" w:left="1440" w:header="851" w:footer="992" w:gutter="0"/>
          <w:cols w:space="425" w:num="1"/>
          <w:docGrid w:type="linesAndChars" w:linePitch="312" w:charSpace="0"/>
        </w:sectPr>
      </w:pPr>
    </w:p>
    <w:tbl>
      <w:tblPr>
        <w:tblStyle w:val="5"/>
        <w:tblW w:w="15386" w:type="dxa"/>
        <w:tblInd w:w="0" w:type="dxa"/>
        <w:tblLayout w:type="fixed"/>
        <w:tblCellMar>
          <w:top w:w="0" w:type="dxa"/>
          <w:left w:w="0" w:type="dxa"/>
          <w:bottom w:w="0" w:type="dxa"/>
          <w:right w:w="0" w:type="dxa"/>
        </w:tblCellMar>
      </w:tblPr>
      <w:tblGrid>
        <w:gridCol w:w="1030"/>
        <w:gridCol w:w="74"/>
        <w:gridCol w:w="1879"/>
        <w:gridCol w:w="1671"/>
        <w:gridCol w:w="1671"/>
        <w:gridCol w:w="1671"/>
        <w:gridCol w:w="1671"/>
        <w:gridCol w:w="1671"/>
        <w:gridCol w:w="1671"/>
        <w:gridCol w:w="2377"/>
      </w:tblGrid>
      <w:tr>
        <w:tblPrEx>
          <w:tblLayout w:type="fixed"/>
        </w:tblPrEx>
        <w:trPr>
          <w:trHeight w:val="435" w:hRule="atLeast"/>
        </w:trPr>
        <w:tc>
          <w:tcPr>
            <w:tcW w:w="15386" w:type="dxa"/>
            <w:gridSpan w:val="10"/>
            <w:tcBorders>
              <w:top w:val="nil"/>
              <w:left w:val="nil"/>
              <w:bottom w:val="nil"/>
              <w:right w:val="nil"/>
            </w:tcBorders>
            <w:shd w:val="clear" w:color="auto" w:fill="auto"/>
            <w:noWrap/>
            <w:tcMar>
              <w:top w:w="15" w:type="dxa"/>
              <w:left w:w="15" w:type="dxa"/>
              <w:bottom w:w="0" w:type="dxa"/>
              <w:right w:w="15" w:type="dxa"/>
            </w:tcMar>
            <w:vAlign w:val="center"/>
          </w:tcPr>
          <w:p>
            <w:pPr>
              <w:jc w:val="center"/>
              <w:rPr>
                <w:rFonts w:ascii="华文中宋" w:hAnsi="华文中宋" w:eastAsia="华文中宋" w:cs="宋体"/>
                <w:color w:val="000000"/>
                <w:sz w:val="32"/>
                <w:szCs w:val="32"/>
              </w:rPr>
            </w:pPr>
            <w:r>
              <w:rPr>
                <w:rFonts w:hint="eastAsia" w:ascii="华文中宋" w:hAnsi="华文中宋" w:eastAsia="华文中宋"/>
                <w:color w:val="000000"/>
                <w:sz w:val="32"/>
                <w:szCs w:val="32"/>
              </w:rPr>
              <w:t>收入决算表</w:t>
            </w:r>
          </w:p>
        </w:tc>
      </w:tr>
      <w:tr>
        <w:tblPrEx>
          <w:tblLayout w:type="fixed"/>
          <w:tblCellMar>
            <w:top w:w="0" w:type="dxa"/>
            <w:left w:w="0" w:type="dxa"/>
            <w:bottom w:w="0" w:type="dxa"/>
            <w:right w:w="0" w:type="dxa"/>
          </w:tblCellMar>
        </w:tblPrEx>
        <w:trPr>
          <w:trHeight w:val="285" w:hRule="atLeast"/>
        </w:trPr>
        <w:tc>
          <w:tcPr>
            <w:tcW w:w="1030"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74"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879"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671"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671"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671"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671"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671"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671"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2377"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color w:val="000000"/>
                <w:sz w:val="20"/>
                <w:szCs w:val="20"/>
              </w:rPr>
            </w:pPr>
            <w:r>
              <w:rPr>
                <w:rFonts w:hint="eastAsia"/>
                <w:color w:val="000000"/>
                <w:sz w:val="20"/>
                <w:szCs w:val="20"/>
              </w:rPr>
              <w:t>公开02表</w:t>
            </w:r>
          </w:p>
        </w:tc>
      </w:tr>
      <w:tr>
        <w:tblPrEx>
          <w:tblLayout w:type="fixed"/>
          <w:tblCellMar>
            <w:top w:w="0" w:type="dxa"/>
            <w:left w:w="0" w:type="dxa"/>
            <w:bottom w:w="0" w:type="dxa"/>
            <w:right w:w="0" w:type="dxa"/>
          </w:tblCellMar>
        </w:tblPrEx>
        <w:trPr>
          <w:trHeight w:val="285" w:hRule="atLeast"/>
        </w:trPr>
        <w:tc>
          <w:tcPr>
            <w:tcW w:w="1104" w:type="dxa"/>
            <w:gridSpan w:val="2"/>
            <w:tcBorders>
              <w:top w:val="nil"/>
              <w:left w:val="nil"/>
              <w:bottom w:val="nil"/>
              <w:right w:val="nil"/>
            </w:tcBorders>
            <w:shd w:val="clear" w:color="000000" w:fill="FFFFFF"/>
            <w:noWrap/>
            <w:tcMar>
              <w:top w:w="15" w:type="dxa"/>
              <w:left w:w="15" w:type="dxa"/>
              <w:bottom w:w="0" w:type="dxa"/>
              <w:right w:w="15" w:type="dxa"/>
            </w:tcMar>
            <w:vAlign w:val="center"/>
          </w:tcPr>
          <w:p>
            <w:pPr>
              <w:rPr>
                <w:rFonts w:ascii="宋体" w:hAnsi="宋体" w:eastAsia="宋体" w:cs="宋体"/>
                <w:color w:val="000000"/>
                <w:sz w:val="20"/>
                <w:szCs w:val="20"/>
              </w:rPr>
            </w:pPr>
            <w:r>
              <w:rPr>
                <w:rFonts w:hint="eastAsia"/>
                <w:color w:val="000000"/>
                <w:sz w:val="20"/>
                <w:szCs w:val="20"/>
              </w:rPr>
              <w:t>部门：</w:t>
            </w:r>
          </w:p>
        </w:tc>
        <w:tc>
          <w:tcPr>
            <w:tcW w:w="1879"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671"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671"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671" w:type="dxa"/>
            <w:tcBorders>
              <w:top w:val="nil"/>
              <w:left w:val="nil"/>
              <w:bottom w:val="nil"/>
              <w:right w:val="nil"/>
            </w:tcBorders>
            <w:shd w:val="clear" w:color="000000" w:fill="FFFFFF"/>
            <w:noWrap/>
            <w:tcMar>
              <w:top w:w="15" w:type="dxa"/>
              <w:left w:w="15" w:type="dxa"/>
              <w:bottom w:w="0" w:type="dxa"/>
              <w:right w:w="15" w:type="dxa"/>
            </w:tcMar>
            <w:vAlign w:val="center"/>
          </w:tcPr>
          <w:p>
            <w:pPr>
              <w:jc w:val="center"/>
              <w:rPr>
                <w:rFonts w:ascii="宋体" w:hAnsi="宋体" w:eastAsia="宋体" w:cs="宋体"/>
                <w:color w:val="000000"/>
                <w:sz w:val="20"/>
                <w:szCs w:val="20"/>
              </w:rPr>
            </w:pPr>
            <w:r>
              <w:rPr>
                <w:rFonts w:hint="eastAsia"/>
                <w:color w:val="000000"/>
                <w:sz w:val="20"/>
                <w:szCs w:val="20"/>
              </w:rPr>
              <w:t>　</w:t>
            </w:r>
          </w:p>
        </w:tc>
        <w:tc>
          <w:tcPr>
            <w:tcW w:w="1671"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671"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671"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2377"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color w:val="000000"/>
                <w:sz w:val="20"/>
                <w:szCs w:val="20"/>
              </w:rPr>
            </w:pPr>
            <w:r>
              <w:rPr>
                <w:rFonts w:hint="eastAsia"/>
                <w:color w:val="000000"/>
                <w:sz w:val="20"/>
                <w:szCs w:val="20"/>
              </w:rPr>
              <w:t>单位：万元</w:t>
            </w:r>
          </w:p>
        </w:tc>
      </w:tr>
      <w:tr>
        <w:tblPrEx>
          <w:tblLayout w:type="fixed"/>
          <w:tblCellMar>
            <w:top w:w="0" w:type="dxa"/>
            <w:left w:w="0" w:type="dxa"/>
            <w:bottom w:w="0" w:type="dxa"/>
            <w:right w:w="0" w:type="dxa"/>
          </w:tblCellMar>
        </w:tblPrEx>
        <w:trPr>
          <w:trHeight w:val="450" w:hRule="atLeast"/>
        </w:trPr>
        <w:tc>
          <w:tcPr>
            <w:tcW w:w="2983" w:type="dxa"/>
            <w:gridSpan w:val="3"/>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项    目</w:t>
            </w:r>
          </w:p>
        </w:tc>
        <w:tc>
          <w:tcPr>
            <w:tcW w:w="1671"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本年收入合计</w:t>
            </w:r>
          </w:p>
        </w:tc>
        <w:tc>
          <w:tcPr>
            <w:tcW w:w="1671"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财政拨款收入</w:t>
            </w:r>
          </w:p>
        </w:tc>
        <w:tc>
          <w:tcPr>
            <w:tcW w:w="1671"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上级补助收入</w:t>
            </w:r>
          </w:p>
        </w:tc>
        <w:tc>
          <w:tcPr>
            <w:tcW w:w="1671"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事业收入</w:t>
            </w:r>
          </w:p>
        </w:tc>
        <w:tc>
          <w:tcPr>
            <w:tcW w:w="1671"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经营收入</w:t>
            </w:r>
          </w:p>
        </w:tc>
        <w:tc>
          <w:tcPr>
            <w:tcW w:w="1671"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附属单位上缴收入</w:t>
            </w:r>
          </w:p>
        </w:tc>
        <w:tc>
          <w:tcPr>
            <w:tcW w:w="237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其他收入</w:t>
            </w:r>
          </w:p>
        </w:tc>
      </w:tr>
      <w:tr>
        <w:tblPrEx>
          <w:tblLayout w:type="fixed"/>
          <w:tblCellMar>
            <w:top w:w="0" w:type="dxa"/>
            <w:left w:w="0" w:type="dxa"/>
            <w:bottom w:w="0" w:type="dxa"/>
            <w:right w:w="0" w:type="dxa"/>
          </w:tblCellMar>
        </w:tblPrEx>
        <w:trPr>
          <w:trHeight w:val="450" w:hRule="atLeast"/>
        </w:trPr>
        <w:tc>
          <w:tcPr>
            <w:tcW w:w="1104" w:type="dxa"/>
            <w:gridSpan w:val="2"/>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功能分类科目编码</w:t>
            </w:r>
          </w:p>
        </w:tc>
        <w:tc>
          <w:tcPr>
            <w:tcW w:w="1879" w:type="dxa"/>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科目名称</w:t>
            </w:r>
          </w:p>
        </w:tc>
        <w:tc>
          <w:tcPr>
            <w:tcW w:w="1671"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671"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671"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671"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671"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671"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2377"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r>
      <w:tr>
        <w:tblPrEx>
          <w:tblLayout w:type="fixed"/>
          <w:tblCellMar>
            <w:top w:w="0" w:type="dxa"/>
            <w:left w:w="0" w:type="dxa"/>
            <w:bottom w:w="0" w:type="dxa"/>
            <w:right w:w="0" w:type="dxa"/>
          </w:tblCellMar>
        </w:tblPrEx>
        <w:trPr>
          <w:trHeight w:val="450" w:hRule="atLeast"/>
        </w:trPr>
        <w:tc>
          <w:tcPr>
            <w:tcW w:w="1104" w:type="dxa"/>
            <w:gridSpan w:val="2"/>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879" w:type="dxa"/>
            <w:vMerge w:val="continue"/>
            <w:tcBorders>
              <w:top w:val="nil"/>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671"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671"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671"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671"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671"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671"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2377"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r>
      <w:tr>
        <w:tblPrEx>
          <w:tblLayout w:type="fixed"/>
          <w:tblCellMar>
            <w:top w:w="0" w:type="dxa"/>
            <w:left w:w="0" w:type="dxa"/>
            <w:bottom w:w="0" w:type="dxa"/>
            <w:right w:w="0" w:type="dxa"/>
          </w:tblCellMar>
        </w:tblPrEx>
        <w:trPr>
          <w:trHeight w:val="450" w:hRule="atLeast"/>
        </w:trPr>
        <w:tc>
          <w:tcPr>
            <w:tcW w:w="2983" w:type="dxa"/>
            <w:gridSpan w:val="3"/>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center"/>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栏次</w:t>
            </w:r>
          </w:p>
        </w:tc>
        <w:tc>
          <w:tcPr>
            <w:tcW w:w="1671"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center"/>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1</w:t>
            </w:r>
          </w:p>
        </w:tc>
        <w:tc>
          <w:tcPr>
            <w:tcW w:w="1671"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center"/>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2</w:t>
            </w:r>
          </w:p>
        </w:tc>
        <w:tc>
          <w:tcPr>
            <w:tcW w:w="1671"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center"/>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3</w:t>
            </w:r>
          </w:p>
        </w:tc>
        <w:tc>
          <w:tcPr>
            <w:tcW w:w="1671"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center"/>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4</w:t>
            </w:r>
          </w:p>
        </w:tc>
        <w:tc>
          <w:tcPr>
            <w:tcW w:w="1671"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center"/>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5</w:t>
            </w:r>
          </w:p>
        </w:tc>
        <w:tc>
          <w:tcPr>
            <w:tcW w:w="1671"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center"/>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6</w:t>
            </w:r>
          </w:p>
        </w:tc>
        <w:tc>
          <w:tcPr>
            <w:tcW w:w="237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center"/>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7</w:t>
            </w:r>
          </w:p>
        </w:tc>
      </w:tr>
      <w:tr>
        <w:tblPrEx>
          <w:tblLayout w:type="fixed"/>
          <w:tblCellMar>
            <w:top w:w="0" w:type="dxa"/>
            <w:left w:w="0" w:type="dxa"/>
            <w:bottom w:w="0" w:type="dxa"/>
            <w:right w:w="0" w:type="dxa"/>
          </w:tblCellMar>
        </w:tblPrEx>
        <w:trPr>
          <w:trHeight w:val="450" w:hRule="atLeast"/>
        </w:trPr>
        <w:tc>
          <w:tcPr>
            <w:tcW w:w="2983" w:type="dxa"/>
            <w:gridSpan w:val="3"/>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center"/>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合计</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宋体" w:hAnsi="宋体" w:eastAsia="宋体" w:cs="宋体"/>
                <w:sz w:val="24"/>
                <w:szCs w:val="24"/>
              </w:rPr>
            </w:pPr>
            <w:r>
              <w:rPr>
                <w:rFonts w:hint="eastAsia" w:ascii="宋体" w:hAnsi="宋体" w:eastAsia="宋体" w:cs="宋体"/>
                <w:b/>
                <w:bCs/>
                <w:i w:val="0"/>
                <w:iCs w:val="0"/>
                <w:color w:val="000000"/>
                <w:kern w:val="0"/>
                <w:sz w:val="22"/>
                <w:szCs w:val="22"/>
                <w:u w:val="none"/>
                <w:lang w:val="en-US" w:eastAsia="zh-CN" w:bidi="ar"/>
              </w:rPr>
              <w:t>53.70</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宋体" w:hAnsi="宋体" w:eastAsia="宋体" w:cs="宋体"/>
                <w:sz w:val="24"/>
                <w:szCs w:val="24"/>
              </w:rPr>
            </w:pPr>
            <w:r>
              <w:rPr>
                <w:rFonts w:hint="eastAsia" w:ascii="宋体" w:hAnsi="宋体" w:eastAsia="宋体" w:cs="宋体"/>
                <w:b/>
                <w:bCs/>
                <w:i w:val="0"/>
                <w:iCs w:val="0"/>
                <w:color w:val="000000"/>
                <w:kern w:val="0"/>
                <w:sz w:val="22"/>
                <w:szCs w:val="22"/>
                <w:u w:val="none"/>
                <w:lang w:val="en-US" w:eastAsia="zh-CN" w:bidi="ar"/>
              </w:rPr>
              <w:t>53.70</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p>
        </w:tc>
        <w:tc>
          <w:tcPr>
            <w:tcW w:w="237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p>
        </w:tc>
      </w:tr>
      <w:tr>
        <w:tblPrEx>
          <w:tblLayout w:type="fixed"/>
          <w:tblCellMar>
            <w:top w:w="0" w:type="dxa"/>
            <w:left w:w="0" w:type="dxa"/>
            <w:bottom w:w="0" w:type="dxa"/>
            <w:right w:w="0" w:type="dxa"/>
          </w:tblCellMar>
        </w:tblPrEx>
        <w:trPr>
          <w:trHeight w:val="450" w:hRule="atLeast"/>
        </w:trPr>
        <w:tc>
          <w:tcPr>
            <w:tcW w:w="103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201</w:t>
            </w:r>
          </w:p>
        </w:tc>
        <w:tc>
          <w:tcPr>
            <w:tcW w:w="1953"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一般公共服务支出</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18.77</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18.77</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p>
        </w:tc>
        <w:tc>
          <w:tcPr>
            <w:tcW w:w="237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p>
        </w:tc>
      </w:tr>
      <w:tr>
        <w:tblPrEx>
          <w:tblLayout w:type="fixed"/>
          <w:tblCellMar>
            <w:top w:w="0" w:type="dxa"/>
            <w:left w:w="0" w:type="dxa"/>
            <w:bottom w:w="0" w:type="dxa"/>
            <w:right w:w="0" w:type="dxa"/>
          </w:tblCellMar>
        </w:tblPrEx>
        <w:trPr>
          <w:trHeight w:val="450" w:hRule="atLeast"/>
        </w:trPr>
        <w:tc>
          <w:tcPr>
            <w:tcW w:w="103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20103</w:t>
            </w:r>
          </w:p>
        </w:tc>
        <w:tc>
          <w:tcPr>
            <w:tcW w:w="1953"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政府办公厅（室）及相关机构事务</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华文中宋" w:hAnsi="华文中宋" w:eastAsia="华文中宋" w:cs="宋体"/>
                <w:sz w:val="24"/>
                <w:szCs w:val="24"/>
              </w:rPr>
            </w:pPr>
            <w:r>
              <w:rPr>
                <w:rFonts w:hint="eastAsia" w:ascii="宋体" w:hAnsi="宋体" w:eastAsia="宋体" w:cs="宋体"/>
                <w:i w:val="0"/>
                <w:iCs w:val="0"/>
                <w:color w:val="000000"/>
                <w:kern w:val="0"/>
                <w:sz w:val="22"/>
                <w:szCs w:val="22"/>
                <w:u w:val="none"/>
                <w:lang w:val="en-US" w:eastAsia="zh-CN" w:bidi="ar"/>
              </w:rPr>
              <w:t>1.48</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1.48</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p>
        </w:tc>
        <w:tc>
          <w:tcPr>
            <w:tcW w:w="237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p>
        </w:tc>
      </w:tr>
      <w:tr>
        <w:tblPrEx>
          <w:tblLayout w:type="fixed"/>
          <w:tblCellMar>
            <w:top w:w="0" w:type="dxa"/>
            <w:left w:w="0" w:type="dxa"/>
            <w:bottom w:w="0" w:type="dxa"/>
            <w:right w:w="0" w:type="dxa"/>
          </w:tblCellMar>
        </w:tblPrEx>
        <w:trPr>
          <w:trHeight w:val="450" w:hRule="atLeast"/>
        </w:trPr>
        <w:tc>
          <w:tcPr>
            <w:tcW w:w="103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2010350</w:t>
            </w:r>
          </w:p>
        </w:tc>
        <w:tc>
          <w:tcPr>
            <w:tcW w:w="1953"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 xml:space="preserve">  事业运行</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ascii="华文中宋" w:hAnsi="华文中宋" w:eastAsia="华文中宋"/>
              </w:rPr>
            </w:pPr>
            <w:r>
              <w:rPr>
                <w:rFonts w:hint="eastAsia" w:ascii="宋体" w:hAnsi="宋体" w:eastAsia="宋体" w:cs="宋体"/>
                <w:i w:val="0"/>
                <w:iCs w:val="0"/>
                <w:color w:val="000000"/>
                <w:kern w:val="0"/>
                <w:sz w:val="22"/>
                <w:szCs w:val="22"/>
                <w:u w:val="none"/>
                <w:lang w:val="en-US" w:eastAsia="zh-CN" w:bidi="ar"/>
              </w:rPr>
              <w:t>1.48</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1.48</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237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r>
      <w:tr>
        <w:tblPrEx>
          <w:tblLayout w:type="fixed"/>
          <w:tblCellMar>
            <w:top w:w="0" w:type="dxa"/>
            <w:left w:w="0" w:type="dxa"/>
            <w:bottom w:w="0" w:type="dxa"/>
            <w:right w:w="0" w:type="dxa"/>
          </w:tblCellMar>
        </w:tblPrEx>
        <w:trPr>
          <w:trHeight w:val="450" w:hRule="atLeast"/>
        </w:trPr>
        <w:tc>
          <w:tcPr>
            <w:tcW w:w="103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20129</w:t>
            </w:r>
          </w:p>
        </w:tc>
        <w:tc>
          <w:tcPr>
            <w:tcW w:w="1953"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群众团体事务</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ascii="华文中宋" w:hAnsi="华文中宋" w:eastAsia="华文中宋"/>
              </w:rPr>
            </w:pPr>
            <w:r>
              <w:rPr>
                <w:rFonts w:hint="eastAsia" w:ascii="宋体" w:hAnsi="宋体" w:eastAsia="宋体" w:cs="宋体"/>
                <w:i w:val="0"/>
                <w:iCs w:val="0"/>
                <w:color w:val="000000"/>
                <w:kern w:val="0"/>
                <w:sz w:val="22"/>
                <w:szCs w:val="22"/>
                <w:u w:val="none"/>
                <w:lang w:val="en-US" w:eastAsia="zh-CN" w:bidi="ar"/>
              </w:rPr>
              <w:t>1.50</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1.50</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237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r>
      <w:tr>
        <w:tblPrEx>
          <w:tblLayout w:type="fixed"/>
          <w:tblCellMar>
            <w:top w:w="0" w:type="dxa"/>
            <w:left w:w="0" w:type="dxa"/>
            <w:bottom w:w="0" w:type="dxa"/>
            <w:right w:w="0" w:type="dxa"/>
          </w:tblCellMar>
        </w:tblPrEx>
        <w:trPr>
          <w:trHeight w:val="450" w:hRule="atLeast"/>
        </w:trPr>
        <w:tc>
          <w:tcPr>
            <w:tcW w:w="103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2012901</w:t>
            </w:r>
          </w:p>
        </w:tc>
        <w:tc>
          <w:tcPr>
            <w:tcW w:w="1953"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 xml:space="preserve">  行政运行</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ascii="华文中宋" w:hAnsi="华文中宋" w:eastAsia="华文中宋"/>
              </w:rPr>
            </w:pPr>
            <w:r>
              <w:rPr>
                <w:rFonts w:hint="eastAsia" w:ascii="宋体" w:hAnsi="宋体" w:eastAsia="宋体" w:cs="宋体"/>
                <w:i w:val="0"/>
                <w:iCs w:val="0"/>
                <w:color w:val="000000"/>
                <w:kern w:val="0"/>
                <w:sz w:val="22"/>
                <w:szCs w:val="22"/>
                <w:u w:val="none"/>
                <w:lang w:val="en-US" w:eastAsia="zh-CN" w:bidi="ar"/>
              </w:rPr>
              <w:t>1.50</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1.50</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237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r>
      <w:tr>
        <w:tblPrEx>
          <w:tblLayout w:type="fixed"/>
          <w:tblCellMar>
            <w:top w:w="0" w:type="dxa"/>
            <w:left w:w="0" w:type="dxa"/>
            <w:bottom w:w="0" w:type="dxa"/>
            <w:right w:w="0" w:type="dxa"/>
          </w:tblCellMar>
        </w:tblPrEx>
        <w:trPr>
          <w:trHeight w:val="450" w:hRule="atLeast"/>
        </w:trPr>
        <w:tc>
          <w:tcPr>
            <w:tcW w:w="103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20133</w:t>
            </w:r>
          </w:p>
        </w:tc>
        <w:tc>
          <w:tcPr>
            <w:tcW w:w="1953"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宣传事务</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ascii="华文中宋" w:hAnsi="华文中宋" w:eastAsia="华文中宋"/>
              </w:rPr>
            </w:pPr>
            <w:r>
              <w:rPr>
                <w:rFonts w:hint="eastAsia" w:ascii="宋体" w:hAnsi="宋体" w:eastAsia="宋体" w:cs="宋体"/>
                <w:i w:val="0"/>
                <w:iCs w:val="0"/>
                <w:color w:val="000000"/>
                <w:kern w:val="0"/>
                <w:sz w:val="22"/>
                <w:szCs w:val="22"/>
                <w:u w:val="none"/>
                <w:lang w:val="en-US" w:eastAsia="zh-CN" w:bidi="ar"/>
              </w:rPr>
              <w:t>15.79</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15.79</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237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r>
      <w:tr>
        <w:tblPrEx>
          <w:tblLayout w:type="fixed"/>
          <w:tblCellMar>
            <w:top w:w="0" w:type="dxa"/>
            <w:left w:w="0" w:type="dxa"/>
            <w:bottom w:w="0" w:type="dxa"/>
            <w:right w:w="0" w:type="dxa"/>
          </w:tblCellMar>
        </w:tblPrEx>
        <w:trPr>
          <w:trHeight w:val="450" w:hRule="atLeast"/>
        </w:trPr>
        <w:tc>
          <w:tcPr>
            <w:tcW w:w="103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2013399</w:t>
            </w:r>
          </w:p>
        </w:tc>
        <w:tc>
          <w:tcPr>
            <w:tcW w:w="1953"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 xml:space="preserve">  其他宣传事务支出</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ascii="华文中宋" w:hAnsi="华文中宋" w:eastAsia="华文中宋"/>
              </w:rPr>
            </w:pPr>
            <w:r>
              <w:rPr>
                <w:rFonts w:hint="eastAsia" w:ascii="宋体" w:hAnsi="宋体" w:eastAsia="宋体" w:cs="宋体"/>
                <w:i w:val="0"/>
                <w:iCs w:val="0"/>
                <w:color w:val="000000"/>
                <w:kern w:val="0"/>
                <w:sz w:val="22"/>
                <w:szCs w:val="22"/>
                <w:u w:val="none"/>
                <w:lang w:val="en-US" w:eastAsia="zh-CN" w:bidi="ar"/>
              </w:rPr>
              <w:t>15.79</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15.79</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237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r>
      <w:tr>
        <w:tblPrEx>
          <w:tblLayout w:type="fixed"/>
          <w:tblCellMar>
            <w:top w:w="0" w:type="dxa"/>
            <w:left w:w="0" w:type="dxa"/>
            <w:bottom w:w="0" w:type="dxa"/>
            <w:right w:w="0" w:type="dxa"/>
          </w:tblCellMar>
        </w:tblPrEx>
        <w:trPr>
          <w:trHeight w:val="450" w:hRule="atLeast"/>
        </w:trPr>
        <w:tc>
          <w:tcPr>
            <w:tcW w:w="103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207</w:t>
            </w:r>
          </w:p>
        </w:tc>
        <w:tc>
          <w:tcPr>
            <w:tcW w:w="1953"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文化旅游体育与传媒支出</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ascii="华文中宋" w:hAnsi="华文中宋" w:eastAsia="华文中宋"/>
              </w:rPr>
            </w:pPr>
            <w:r>
              <w:rPr>
                <w:rFonts w:hint="eastAsia" w:ascii="宋体" w:hAnsi="宋体" w:eastAsia="宋体" w:cs="宋体"/>
                <w:i w:val="0"/>
                <w:iCs w:val="0"/>
                <w:color w:val="000000"/>
                <w:kern w:val="0"/>
                <w:sz w:val="22"/>
                <w:szCs w:val="22"/>
                <w:u w:val="none"/>
                <w:lang w:val="en-US" w:eastAsia="zh-CN" w:bidi="ar"/>
              </w:rPr>
              <w:t>31.83</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31.83</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237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r>
      <w:tr>
        <w:tblPrEx>
          <w:tblLayout w:type="fixed"/>
          <w:tblCellMar>
            <w:top w:w="0" w:type="dxa"/>
            <w:left w:w="0" w:type="dxa"/>
            <w:bottom w:w="0" w:type="dxa"/>
            <w:right w:w="0" w:type="dxa"/>
          </w:tblCellMar>
        </w:tblPrEx>
        <w:trPr>
          <w:trHeight w:val="450" w:hRule="atLeast"/>
        </w:trPr>
        <w:tc>
          <w:tcPr>
            <w:tcW w:w="103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20701</w:t>
            </w:r>
          </w:p>
        </w:tc>
        <w:tc>
          <w:tcPr>
            <w:tcW w:w="1953"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文化和旅游</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ascii="华文中宋" w:hAnsi="华文中宋" w:eastAsia="华文中宋"/>
              </w:rPr>
            </w:pPr>
            <w:r>
              <w:rPr>
                <w:rFonts w:hint="eastAsia" w:ascii="宋体" w:hAnsi="宋体" w:eastAsia="宋体" w:cs="宋体"/>
                <w:i w:val="0"/>
                <w:iCs w:val="0"/>
                <w:color w:val="000000"/>
                <w:kern w:val="0"/>
                <w:sz w:val="22"/>
                <w:szCs w:val="22"/>
                <w:u w:val="none"/>
                <w:lang w:val="en-US" w:eastAsia="zh-CN" w:bidi="ar"/>
              </w:rPr>
              <w:t>31.83</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31.83</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237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r>
      <w:tr>
        <w:tblPrEx>
          <w:tblLayout w:type="fixed"/>
          <w:tblCellMar>
            <w:top w:w="0" w:type="dxa"/>
            <w:left w:w="0" w:type="dxa"/>
            <w:bottom w:w="0" w:type="dxa"/>
            <w:right w:w="0" w:type="dxa"/>
          </w:tblCellMar>
        </w:tblPrEx>
        <w:trPr>
          <w:trHeight w:val="450" w:hRule="atLeast"/>
        </w:trPr>
        <w:tc>
          <w:tcPr>
            <w:tcW w:w="103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2070101</w:t>
            </w:r>
          </w:p>
        </w:tc>
        <w:tc>
          <w:tcPr>
            <w:tcW w:w="1953"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 xml:space="preserve">  行政运行</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ascii="华文中宋" w:hAnsi="华文中宋" w:eastAsia="华文中宋"/>
              </w:rPr>
            </w:pPr>
            <w:r>
              <w:rPr>
                <w:rFonts w:hint="eastAsia" w:ascii="宋体" w:hAnsi="宋体" w:eastAsia="宋体" w:cs="宋体"/>
                <w:i w:val="0"/>
                <w:iCs w:val="0"/>
                <w:color w:val="000000"/>
                <w:kern w:val="0"/>
                <w:sz w:val="22"/>
                <w:szCs w:val="22"/>
                <w:u w:val="none"/>
                <w:lang w:val="en-US" w:eastAsia="zh-CN" w:bidi="ar"/>
              </w:rPr>
              <w:t>27.18</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27.18</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237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r>
      <w:tr>
        <w:tblPrEx>
          <w:tblLayout w:type="fixed"/>
          <w:tblCellMar>
            <w:top w:w="0" w:type="dxa"/>
            <w:left w:w="0" w:type="dxa"/>
            <w:bottom w:w="0" w:type="dxa"/>
            <w:right w:w="0" w:type="dxa"/>
          </w:tblCellMar>
        </w:tblPrEx>
        <w:trPr>
          <w:trHeight w:val="450" w:hRule="atLeast"/>
        </w:trPr>
        <w:tc>
          <w:tcPr>
            <w:tcW w:w="103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2070199</w:t>
            </w:r>
          </w:p>
        </w:tc>
        <w:tc>
          <w:tcPr>
            <w:tcW w:w="1953"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 xml:space="preserve">  其他文化和旅游支出</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ascii="华文中宋" w:hAnsi="华文中宋" w:eastAsia="华文中宋"/>
              </w:rPr>
            </w:pPr>
            <w:r>
              <w:rPr>
                <w:rFonts w:hint="eastAsia" w:ascii="宋体" w:hAnsi="宋体" w:eastAsia="宋体" w:cs="宋体"/>
                <w:i w:val="0"/>
                <w:iCs w:val="0"/>
                <w:color w:val="000000"/>
                <w:kern w:val="0"/>
                <w:sz w:val="22"/>
                <w:szCs w:val="22"/>
                <w:u w:val="none"/>
                <w:lang w:val="en-US" w:eastAsia="zh-CN" w:bidi="ar"/>
              </w:rPr>
              <w:t>4.65</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4.65</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237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r>
      <w:tr>
        <w:tblPrEx>
          <w:tblLayout w:type="fixed"/>
          <w:tblCellMar>
            <w:top w:w="0" w:type="dxa"/>
            <w:left w:w="0" w:type="dxa"/>
            <w:bottom w:w="0" w:type="dxa"/>
            <w:right w:w="0" w:type="dxa"/>
          </w:tblCellMar>
        </w:tblPrEx>
        <w:trPr>
          <w:trHeight w:val="450" w:hRule="atLeast"/>
        </w:trPr>
        <w:tc>
          <w:tcPr>
            <w:tcW w:w="103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221</w:t>
            </w:r>
          </w:p>
        </w:tc>
        <w:tc>
          <w:tcPr>
            <w:tcW w:w="1953"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住房保障支出</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ascii="华文中宋" w:hAnsi="华文中宋" w:eastAsia="华文中宋"/>
              </w:rPr>
            </w:pPr>
            <w:r>
              <w:rPr>
                <w:rFonts w:hint="eastAsia" w:ascii="宋体" w:hAnsi="宋体" w:eastAsia="宋体" w:cs="宋体"/>
                <w:i w:val="0"/>
                <w:iCs w:val="0"/>
                <w:color w:val="000000"/>
                <w:kern w:val="0"/>
                <w:sz w:val="22"/>
                <w:szCs w:val="22"/>
                <w:u w:val="none"/>
                <w:lang w:val="en-US" w:eastAsia="zh-CN" w:bidi="ar"/>
              </w:rPr>
              <w:t>3.10</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3.10</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237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r>
      <w:tr>
        <w:tblPrEx>
          <w:tblLayout w:type="fixed"/>
          <w:tblCellMar>
            <w:top w:w="0" w:type="dxa"/>
            <w:left w:w="0" w:type="dxa"/>
            <w:bottom w:w="0" w:type="dxa"/>
            <w:right w:w="0" w:type="dxa"/>
          </w:tblCellMar>
        </w:tblPrEx>
        <w:trPr>
          <w:trHeight w:val="450" w:hRule="atLeast"/>
        </w:trPr>
        <w:tc>
          <w:tcPr>
            <w:tcW w:w="103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22102</w:t>
            </w:r>
          </w:p>
        </w:tc>
        <w:tc>
          <w:tcPr>
            <w:tcW w:w="1953"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住房改革支出</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ascii="华文中宋" w:hAnsi="华文中宋" w:eastAsia="华文中宋"/>
              </w:rPr>
            </w:pPr>
            <w:r>
              <w:rPr>
                <w:rFonts w:hint="eastAsia" w:ascii="宋体" w:hAnsi="宋体" w:eastAsia="宋体" w:cs="宋体"/>
                <w:i w:val="0"/>
                <w:iCs w:val="0"/>
                <w:color w:val="000000"/>
                <w:kern w:val="0"/>
                <w:sz w:val="22"/>
                <w:szCs w:val="22"/>
                <w:u w:val="none"/>
                <w:lang w:val="en-US" w:eastAsia="zh-CN" w:bidi="ar"/>
              </w:rPr>
              <w:t>3.10</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3.10</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237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r>
      <w:tr>
        <w:tblPrEx>
          <w:tblLayout w:type="fixed"/>
          <w:tblCellMar>
            <w:top w:w="0" w:type="dxa"/>
            <w:left w:w="0" w:type="dxa"/>
            <w:bottom w:w="0" w:type="dxa"/>
            <w:right w:w="0" w:type="dxa"/>
          </w:tblCellMar>
        </w:tblPrEx>
        <w:trPr>
          <w:trHeight w:val="450" w:hRule="atLeast"/>
        </w:trPr>
        <w:tc>
          <w:tcPr>
            <w:tcW w:w="103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2210201</w:t>
            </w:r>
          </w:p>
        </w:tc>
        <w:tc>
          <w:tcPr>
            <w:tcW w:w="1953"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 xml:space="preserve">  住房公积金</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ascii="华文中宋" w:hAnsi="华文中宋" w:eastAsia="华文中宋"/>
              </w:rPr>
            </w:pPr>
            <w:r>
              <w:rPr>
                <w:rFonts w:hint="eastAsia" w:ascii="宋体" w:hAnsi="宋体" w:eastAsia="宋体" w:cs="宋体"/>
                <w:i w:val="0"/>
                <w:iCs w:val="0"/>
                <w:color w:val="000000"/>
                <w:kern w:val="0"/>
                <w:sz w:val="22"/>
                <w:szCs w:val="22"/>
                <w:u w:val="none"/>
                <w:lang w:val="en-US" w:eastAsia="zh-CN" w:bidi="ar"/>
              </w:rPr>
              <w:t>3.10</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3.10</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237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r>
      <w:tr>
        <w:tblPrEx>
          <w:tblLayout w:type="fixed"/>
          <w:tblCellMar>
            <w:top w:w="0" w:type="dxa"/>
            <w:left w:w="0" w:type="dxa"/>
            <w:bottom w:w="0" w:type="dxa"/>
            <w:right w:w="0" w:type="dxa"/>
          </w:tblCellMar>
        </w:tblPrEx>
        <w:trPr>
          <w:trHeight w:val="615" w:hRule="atLeast"/>
        </w:trPr>
        <w:tc>
          <w:tcPr>
            <w:tcW w:w="15386" w:type="dxa"/>
            <w:gridSpan w:val="10"/>
            <w:tcBorders>
              <w:top w:val="nil"/>
              <w:left w:val="nil"/>
              <w:bottom w:val="nil"/>
              <w:right w:val="nil"/>
            </w:tcBorders>
            <w:shd w:val="clear" w:color="auto" w:fill="auto"/>
            <w:tcMar>
              <w:top w:w="15" w:type="dxa"/>
              <w:left w:w="15" w:type="dxa"/>
              <w:bottom w:w="0" w:type="dxa"/>
              <w:right w:w="15" w:type="dxa"/>
            </w:tcMar>
            <w:vAlign w:val="center"/>
          </w:tcPr>
          <w:p>
            <w:pPr>
              <w:rPr>
                <w:rFonts w:ascii="宋体" w:hAnsi="宋体" w:eastAsia="宋体" w:cs="宋体"/>
                <w:sz w:val="24"/>
                <w:szCs w:val="24"/>
              </w:rPr>
            </w:pPr>
            <w:r>
              <w:rPr>
                <w:rFonts w:hint="eastAsia"/>
              </w:rPr>
              <w:t>注：本表反映部门本年度取得的各项收入情况。</w:t>
            </w:r>
          </w:p>
        </w:tc>
      </w:tr>
    </w:tbl>
    <w:p>
      <w:pPr>
        <w:widowControl/>
        <w:jc w:val="lef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 xml:space="preserve"> </w:t>
      </w:r>
      <w:r>
        <w:rPr>
          <w:rFonts w:ascii="Times New Roman" w:hAnsi="Times New Roman" w:eastAsia="黑体" w:cs="Times New Roman"/>
          <w:bCs/>
          <w:kern w:val="0"/>
          <w:sz w:val="32"/>
          <w:szCs w:val="32"/>
        </w:rPr>
        <w:br w:type="page"/>
      </w:r>
    </w:p>
    <w:p>
      <w:pPr>
        <w:widowControl/>
        <w:rPr>
          <w:rFonts w:ascii="Times New Roman" w:hAnsi="Times New Roman" w:eastAsia="方正小标宋_GBK" w:cs="Times New Roman"/>
          <w:color w:val="000000"/>
          <w:kern w:val="0"/>
          <w:sz w:val="36"/>
          <w:szCs w:val="36"/>
        </w:rPr>
      </w:pPr>
    </w:p>
    <w:tbl>
      <w:tblPr>
        <w:tblStyle w:val="5"/>
        <w:tblW w:w="14111" w:type="dxa"/>
        <w:tblInd w:w="93" w:type="dxa"/>
        <w:tblLayout w:type="fixed"/>
        <w:tblCellMar>
          <w:top w:w="0" w:type="dxa"/>
          <w:left w:w="108" w:type="dxa"/>
          <w:bottom w:w="0" w:type="dxa"/>
          <w:right w:w="108" w:type="dxa"/>
        </w:tblCellMar>
      </w:tblPr>
      <w:tblGrid>
        <w:gridCol w:w="986"/>
        <w:gridCol w:w="822"/>
        <w:gridCol w:w="222"/>
        <w:gridCol w:w="1411"/>
        <w:gridCol w:w="1646"/>
        <w:gridCol w:w="1679"/>
        <w:gridCol w:w="1679"/>
        <w:gridCol w:w="1679"/>
        <w:gridCol w:w="1679"/>
        <w:gridCol w:w="2308"/>
      </w:tblGrid>
      <w:tr>
        <w:tblPrEx>
          <w:tblLayout w:type="fixed"/>
          <w:tblCellMar>
            <w:top w:w="0" w:type="dxa"/>
            <w:left w:w="108" w:type="dxa"/>
            <w:bottom w:w="0" w:type="dxa"/>
            <w:right w:w="108" w:type="dxa"/>
          </w:tblCellMar>
        </w:tblPrEx>
        <w:trPr>
          <w:trHeight w:val="435" w:hRule="atLeast"/>
        </w:trPr>
        <w:tc>
          <w:tcPr>
            <w:tcW w:w="14111" w:type="dxa"/>
            <w:gridSpan w:val="10"/>
            <w:tcBorders>
              <w:top w:val="nil"/>
              <w:left w:val="nil"/>
              <w:bottom w:val="nil"/>
              <w:right w:val="nil"/>
            </w:tcBorders>
            <w:shd w:val="clear" w:color="auto" w:fill="auto"/>
            <w:noWrap/>
            <w:vAlign w:val="center"/>
          </w:tcPr>
          <w:p>
            <w:pPr>
              <w:widowControl/>
              <w:jc w:val="center"/>
              <w:rPr>
                <w:rFonts w:ascii="华文中宋" w:hAnsi="华文中宋" w:eastAsia="华文中宋" w:cs="宋体"/>
                <w:color w:val="000000"/>
                <w:kern w:val="0"/>
                <w:sz w:val="32"/>
                <w:szCs w:val="32"/>
              </w:rPr>
            </w:pPr>
            <w:r>
              <w:rPr>
                <w:rFonts w:hint="eastAsia" w:ascii="华文中宋" w:hAnsi="华文中宋" w:eastAsia="华文中宋" w:cs="宋体"/>
                <w:color w:val="000000"/>
                <w:kern w:val="0"/>
                <w:sz w:val="32"/>
                <w:szCs w:val="32"/>
              </w:rPr>
              <w:t>支出决算表</w:t>
            </w:r>
          </w:p>
        </w:tc>
      </w:tr>
      <w:tr>
        <w:tblPrEx>
          <w:tblLayout w:type="fixed"/>
          <w:tblCellMar>
            <w:top w:w="0" w:type="dxa"/>
            <w:left w:w="108" w:type="dxa"/>
            <w:bottom w:w="0" w:type="dxa"/>
            <w:right w:w="108" w:type="dxa"/>
          </w:tblCellMar>
        </w:tblPrEx>
        <w:trPr>
          <w:trHeight w:val="285" w:hRule="atLeast"/>
        </w:trPr>
        <w:tc>
          <w:tcPr>
            <w:tcW w:w="1808" w:type="dxa"/>
            <w:gridSpan w:val="2"/>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22"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411"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646"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679"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679"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679"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679"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308" w:type="dxa"/>
            <w:tcBorders>
              <w:top w:val="nil"/>
              <w:left w:val="nil"/>
              <w:bottom w:val="nil"/>
              <w:right w:val="nil"/>
            </w:tcBorders>
            <w:shd w:val="clear" w:color="000000" w:fill="FFFFFF"/>
            <w:noWrap/>
            <w:vAlign w:val="center"/>
          </w:tcPr>
          <w:p>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公开03表</w:t>
            </w:r>
          </w:p>
        </w:tc>
      </w:tr>
      <w:tr>
        <w:tblPrEx>
          <w:tblLayout w:type="fixed"/>
          <w:tblCellMar>
            <w:top w:w="0" w:type="dxa"/>
            <w:left w:w="108" w:type="dxa"/>
            <w:bottom w:w="0" w:type="dxa"/>
            <w:right w:w="108" w:type="dxa"/>
          </w:tblCellMar>
        </w:tblPrEx>
        <w:trPr>
          <w:trHeight w:val="285" w:hRule="atLeast"/>
        </w:trPr>
        <w:tc>
          <w:tcPr>
            <w:tcW w:w="1808" w:type="dxa"/>
            <w:gridSpan w:val="2"/>
            <w:tcBorders>
              <w:top w:val="nil"/>
              <w:left w:val="nil"/>
              <w:bottom w:val="nil"/>
              <w:right w:val="nil"/>
            </w:tcBorders>
            <w:shd w:val="clear" w:color="000000" w:fill="FFFFFF"/>
            <w:noWrap/>
            <w:vAlign w:val="center"/>
          </w:tcPr>
          <w:p>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部门：</w:t>
            </w:r>
          </w:p>
        </w:tc>
        <w:tc>
          <w:tcPr>
            <w:tcW w:w="222"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411"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646"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679"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679" w:type="dxa"/>
            <w:tcBorders>
              <w:top w:val="nil"/>
              <w:left w:val="nil"/>
              <w:bottom w:val="nil"/>
              <w:right w:val="nil"/>
            </w:tcBorders>
            <w:shd w:val="clear" w:color="000000" w:fill="FFFFFF"/>
            <w:noWrap/>
            <w:vAlign w:val="center"/>
          </w:tcPr>
          <w:p>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1679"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679"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308" w:type="dxa"/>
            <w:tcBorders>
              <w:top w:val="nil"/>
              <w:left w:val="nil"/>
              <w:bottom w:val="nil"/>
              <w:right w:val="nil"/>
            </w:tcBorders>
            <w:shd w:val="clear" w:color="000000" w:fill="FFFFFF"/>
            <w:noWrap/>
            <w:vAlign w:val="center"/>
          </w:tcPr>
          <w:p>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单位：万元</w:t>
            </w:r>
          </w:p>
        </w:tc>
      </w:tr>
      <w:tr>
        <w:tblPrEx>
          <w:tblLayout w:type="fixed"/>
          <w:tblCellMar>
            <w:top w:w="0" w:type="dxa"/>
            <w:left w:w="108" w:type="dxa"/>
            <w:bottom w:w="0" w:type="dxa"/>
            <w:right w:w="108" w:type="dxa"/>
          </w:tblCellMar>
        </w:tblPrEx>
        <w:trPr>
          <w:trHeight w:val="450" w:hRule="atLeast"/>
        </w:trPr>
        <w:tc>
          <w:tcPr>
            <w:tcW w:w="3441" w:type="dxa"/>
            <w:gridSpan w:val="4"/>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项    目</w:t>
            </w:r>
          </w:p>
        </w:tc>
        <w:tc>
          <w:tcPr>
            <w:tcW w:w="1646"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本年支出合计</w:t>
            </w:r>
          </w:p>
        </w:tc>
        <w:tc>
          <w:tcPr>
            <w:tcW w:w="1679"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基本支出</w:t>
            </w:r>
          </w:p>
        </w:tc>
        <w:tc>
          <w:tcPr>
            <w:tcW w:w="1679"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项目支出</w:t>
            </w:r>
          </w:p>
        </w:tc>
        <w:tc>
          <w:tcPr>
            <w:tcW w:w="1679"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上缴上级支出</w:t>
            </w:r>
          </w:p>
        </w:tc>
        <w:tc>
          <w:tcPr>
            <w:tcW w:w="1679"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经营支出</w:t>
            </w:r>
          </w:p>
        </w:tc>
        <w:tc>
          <w:tcPr>
            <w:tcW w:w="2308"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对附属单位补助支出</w:t>
            </w:r>
          </w:p>
        </w:tc>
      </w:tr>
      <w:tr>
        <w:tblPrEx>
          <w:tblLayout w:type="fixed"/>
          <w:tblCellMar>
            <w:top w:w="0" w:type="dxa"/>
            <w:left w:w="108" w:type="dxa"/>
            <w:bottom w:w="0" w:type="dxa"/>
            <w:right w:w="108" w:type="dxa"/>
          </w:tblCellMar>
        </w:tblPrEx>
        <w:trPr>
          <w:trHeight w:val="450" w:hRule="atLeast"/>
        </w:trPr>
        <w:tc>
          <w:tcPr>
            <w:tcW w:w="2030" w:type="dxa"/>
            <w:gridSpan w:val="3"/>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功能分类科目编码</w:t>
            </w:r>
          </w:p>
        </w:tc>
        <w:tc>
          <w:tcPr>
            <w:tcW w:w="1411" w:type="dxa"/>
            <w:vMerge w:val="restart"/>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科目名称</w:t>
            </w:r>
          </w:p>
        </w:tc>
        <w:tc>
          <w:tcPr>
            <w:tcW w:w="1646"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679"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679"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679"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679"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2308"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r>
      <w:tr>
        <w:tblPrEx>
          <w:tblLayout w:type="fixed"/>
          <w:tblCellMar>
            <w:top w:w="0" w:type="dxa"/>
            <w:left w:w="108" w:type="dxa"/>
            <w:bottom w:w="0" w:type="dxa"/>
            <w:right w:w="108" w:type="dxa"/>
          </w:tblCellMar>
        </w:tblPrEx>
        <w:trPr>
          <w:trHeight w:val="450" w:hRule="atLeast"/>
        </w:trPr>
        <w:tc>
          <w:tcPr>
            <w:tcW w:w="2030" w:type="dxa"/>
            <w:gridSpan w:val="3"/>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411"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646"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679"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679"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679"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679"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2308"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r>
      <w:tr>
        <w:tblPrEx>
          <w:tblLayout w:type="fixed"/>
          <w:tblCellMar>
            <w:top w:w="0" w:type="dxa"/>
            <w:left w:w="108" w:type="dxa"/>
            <w:bottom w:w="0" w:type="dxa"/>
            <w:right w:w="108" w:type="dxa"/>
          </w:tblCellMar>
        </w:tblPrEx>
        <w:trPr>
          <w:trHeight w:val="450" w:hRule="atLeast"/>
        </w:trPr>
        <w:tc>
          <w:tcPr>
            <w:tcW w:w="3441" w:type="dxa"/>
            <w:gridSpan w:val="4"/>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栏次</w:t>
            </w:r>
          </w:p>
        </w:tc>
        <w:tc>
          <w:tcPr>
            <w:tcW w:w="1646"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1</w:t>
            </w:r>
          </w:p>
        </w:tc>
        <w:tc>
          <w:tcPr>
            <w:tcW w:w="1679"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w:t>
            </w:r>
          </w:p>
        </w:tc>
        <w:tc>
          <w:tcPr>
            <w:tcW w:w="1679"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3</w:t>
            </w:r>
          </w:p>
        </w:tc>
        <w:tc>
          <w:tcPr>
            <w:tcW w:w="1679"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4</w:t>
            </w:r>
          </w:p>
        </w:tc>
        <w:tc>
          <w:tcPr>
            <w:tcW w:w="1679"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5</w:t>
            </w:r>
          </w:p>
        </w:tc>
        <w:tc>
          <w:tcPr>
            <w:tcW w:w="2308"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6</w:t>
            </w:r>
          </w:p>
        </w:tc>
      </w:tr>
      <w:tr>
        <w:tblPrEx>
          <w:tblLayout w:type="fixed"/>
          <w:tblCellMar>
            <w:top w:w="0" w:type="dxa"/>
            <w:left w:w="108" w:type="dxa"/>
            <w:bottom w:w="0" w:type="dxa"/>
            <w:right w:w="108" w:type="dxa"/>
          </w:tblCellMar>
        </w:tblPrEx>
        <w:trPr>
          <w:trHeight w:val="450" w:hRule="atLeast"/>
        </w:trPr>
        <w:tc>
          <w:tcPr>
            <w:tcW w:w="3441" w:type="dxa"/>
            <w:gridSpan w:val="4"/>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合计</w:t>
            </w:r>
          </w:p>
        </w:tc>
        <w:tc>
          <w:tcPr>
            <w:tcW w:w="164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b/>
                <w:bCs/>
                <w:i w:val="0"/>
                <w:iCs w:val="0"/>
                <w:color w:val="000000"/>
                <w:kern w:val="0"/>
                <w:sz w:val="22"/>
                <w:szCs w:val="22"/>
                <w:u w:val="none"/>
                <w:lang w:val="en-US" w:eastAsia="zh-CN" w:bidi="ar"/>
              </w:rPr>
              <w:t>53.70</w:t>
            </w:r>
          </w:p>
        </w:tc>
        <w:tc>
          <w:tcPr>
            <w:tcW w:w="1679"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b/>
                <w:bCs/>
                <w:i w:val="0"/>
                <w:iCs w:val="0"/>
                <w:color w:val="000000"/>
                <w:kern w:val="0"/>
                <w:sz w:val="22"/>
                <w:szCs w:val="22"/>
                <w:u w:val="none"/>
                <w:lang w:val="en-US" w:eastAsia="zh-CN" w:bidi="ar"/>
              </w:rPr>
              <w:t>46.70</w:t>
            </w:r>
          </w:p>
        </w:tc>
        <w:tc>
          <w:tcPr>
            <w:tcW w:w="1679"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b/>
                <w:bCs/>
                <w:i w:val="0"/>
                <w:iCs w:val="0"/>
                <w:color w:val="000000"/>
                <w:kern w:val="0"/>
                <w:sz w:val="22"/>
                <w:szCs w:val="22"/>
                <w:u w:val="none"/>
                <w:lang w:val="en-US" w:eastAsia="zh-CN" w:bidi="ar"/>
              </w:rPr>
              <w:t>7.00</w:t>
            </w:r>
          </w:p>
        </w:tc>
        <w:tc>
          <w:tcPr>
            <w:tcW w:w="1679"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4"/>
                <w:szCs w:val="24"/>
              </w:rPr>
            </w:pPr>
          </w:p>
        </w:tc>
      </w:tr>
      <w:tr>
        <w:tblPrEx>
          <w:tblLayout w:type="fixed"/>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201</w:t>
            </w:r>
          </w:p>
        </w:tc>
        <w:tc>
          <w:tcPr>
            <w:tcW w:w="2455" w:type="dxa"/>
            <w:gridSpan w:val="3"/>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一般公共服务支出</w:t>
            </w:r>
          </w:p>
        </w:tc>
        <w:tc>
          <w:tcPr>
            <w:tcW w:w="164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18.77</w:t>
            </w:r>
          </w:p>
        </w:tc>
        <w:tc>
          <w:tcPr>
            <w:tcW w:w="1679"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11.77</w:t>
            </w:r>
          </w:p>
        </w:tc>
        <w:tc>
          <w:tcPr>
            <w:tcW w:w="1679"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7.00</w:t>
            </w:r>
          </w:p>
        </w:tc>
        <w:tc>
          <w:tcPr>
            <w:tcW w:w="1679"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4"/>
                <w:szCs w:val="24"/>
              </w:rPr>
            </w:pPr>
          </w:p>
        </w:tc>
      </w:tr>
      <w:tr>
        <w:tblPrEx>
          <w:tblLayout w:type="fixed"/>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20103</w:t>
            </w:r>
          </w:p>
        </w:tc>
        <w:tc>
          <w:tcPr>
            <w:tcW w:w="2455" w:type="dxa"/>
            <w:gridSpan w:val="3"/>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政府办公厅（室）及相关机构事务</w:t>
            </w:r>
          </w:p>
        </w:tc>
        <w:tc>
          <w:tcPr>
            <w:tcW w:w="164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1.48</w:t>
            </w:r>
          </w:p>
        </w:tc>
        <w:tc>
          <w:tcPr>
            <w:tcW w:w="1679"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1.48</w:t>
            </w:r>
          </w:p>
        </w:tc>
        <w:tc>
          <w:tcPr>
            <w:tcW w:w="1679"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4"/>
                <w:szCs w:val="24"/>
              </w:rPr>
            </w:pPr>
          </w:p>
        </w:tc>
      </w:tr>
      <w:tr>
        <w:tblPrEx>
          <w:tblLayout w:type="fixed"/>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2010350</w:t>
            </w:r>
          </w:p>
        </w:tc>
        <w:tc>
          <w:tcPr>
            <w:tcW w:w="2455" w:type="dxa"/>
            <w:gridSpan w:val="3"/>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 xml:space="preserve">  事业运行</w:t>
            </w:r>
          </w:p>
        </w:tc>
        <w:tc>
          <w:tcPr>
            <w:tcW w:w="164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1.48</w:t>
            </w:r>
          </w:p>
        </w:tc>
        <w:tc>
          <w:tcPr>
            <w:tcW w:w="1679"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1.48</w:t>
            </w:r>
          </w:p>
        </w:tc>
        <w:tc>
          <w:tcPr>
            <w:tcW w:w="1679"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4"/>
                <w:szCs w:val="24"/>
              </w:rPr>
            </w:pPr>
          </w:p>
        </w:tc>
      </w:tr>
      <w:tr>
        <w:tblPrEx>
          <w:tblLayout w:type="fixed"/>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20129</w:t>
            </w:r>
          </w:p>
        </w:tc>
        <w:tc>
          <w:tcPr>
            <w:tcW w:w="2455" w:type="dxa"/>
            <w:gridSpan w:val="3"/>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群众团体事务</w:t>
            </w:r>
          </w:p>
        </w:tc>
        <w:tc>
          <w:tcPr>
            <w:tcW w:w="164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1.50</w:t>
            </w:r>
          </w:p>
        </w:tc>
        <w:tc>
          <w:tcPr>
            <w:tcW w:w="1679"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1.50</w:t>
            </w:r>
          </w:p>
        </w:tc>
        <w:tc>
          <w:tcPr>
            <w:tcW w:w="1679"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4"/>
                <w:szCs w:val="24"/>
              </w:rPr>
            </w:pPr>
          </w:p>
        </w:tc>
      </w:tr>
      <w:tr>
        <w:tblPrEx>
          <w:tblLayout w:type="fixed"/>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2012901</w:t>
            </w:r>
          </w:p>
        </w:tc>
        <w:tc>
          <w:tcPr>
            <w:tcW w:w="2455" w:type="dxa"/>
            <w:gridSpan w:val="3"/>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 xml:space="preserve">  行政运行</w:t>
            </w:r>
          </w:p>
        </w:tc>
        <w:tc>
          <w:tcPr>
            <w:tcW w:w="164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1.50</w:t>
            </w:r>
          </w:p>
        </w:tc>
        <w:tc>
          <w:tcPr>
            <w:tcW w:w="1679"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1.50</w:t>
            </w:r>
          </w:p>
        </w:tc>
        <w:tc>
          <w:tcPr>
            <w:tcW w:w="1679"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4"/>
                <w:szCs w:val="24"/>
              </w:rPr>
            </w:pPr>
          </w:p>
        </w:tc>
      </w:tr>
      <w:tr>
        <w:tblPrEx>
          <w:tblLayout w:type="fixed"/>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20133</w:t>
            </w:r>
          </w:p>
        </w:tc>
        <w:tc>
          <w:tcPr>
            <w:tcW w:w="2455" w:type="dxa"/>
            <w:gridSpan w:val="3"/>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宣传事务</w:t>
            </w:r>
          </w:p>
        </w:tc>
        <w:tc>
          <w:tcPr>
            <w:tcW w:w="164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15.79</w:t>
            </w:r>
          </w:p>
        </w:tc>
        <w:tc>
          <w:tcPr>
            <w:tcW w:w="1679"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8.79</w:t>
            </w:r>
          </w:p>
        </w:tc>
        <w:tc>
          <w:tcPr>
            <w:tcW w:w="1679"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7.00</w:t>
            </w:r>
          </w:p>
        </w:tc>
        <w:tc>
          <w:tcPr>
            <w:tcW w:w="1679"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4"/>
                <w:szCs w:val="24"/>
              </w:rPr>
            </w:pPr>
          </w:p>
        </w:tc>
      </w:tr>
      <w:tr>
        <w:tblPrEx>
          <w:tblLayout w:type="fixed"/>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2013399</w:t>
            </w:r>
          </w:p>
        </w:tc>
        <w:tc>
          <w:tcPr>
            <w:tcW w:w="2455" w:type="dxa"/>
            <w:gridSpan w:val="3"/>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 xml:space="preserve">  其他宣传事务支出</w:t>
            </w:r>
          </w:p>
        </w:tc>
        <w:tc>
          <w:tcPr>
            <w:tcW w:w="164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15.79</w:t>
            </w:r>
          </w:p>
        </w:tc>
        <w:tc>
          <w:tcPr>
            <w:tcW w:w="1679"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8.79</w:t>
            </w:r>
          </w:p>
        </w:tc>
        <w:tc>
          <w:tcPr>
            <w:tcW w:w="1679"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7.00</w:t>
            </w:r>
          </w:p>
        </w:tc>
        <w:tc>
          <w:tcPr>
            <w:tcW w:w="1679"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4"/>
                <w:szCs w:val="24"/>
              </w:rPr>
            </w:pPr>
          </w:p>
        </w:tc>
      </w:tr>
      <w:tr>
        <w:tblPrEx>
          <w:tblLayout w:type="fixed"/>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207</w:t>
            </w:r>
          </w:p>
        </w:tc>
        <w:tc>
          <w:tcPr>
            <w:tcW w:w="2455" w:type="dxa"/>
            <w:gridSpan w:val="3"/>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文化旅游体育与传媒支出</w:t>
            </w:r>
          </w:p>
        </w:tc>
        <w:tc>
          <w:tcPr>
            <w:tcW w:w="164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31.83</w:t>
            </w:r>
          </w:p>
        </w:tc>
        <w:tc>
          <w:tcPr>
            <w:tcW w:w="1679"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31.83</w:t>
            </w:r>
          </w:p>
        </w:tc>
        <w:tc>
          <w:tcPr>
            <w:tcW w:w="1679"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4"/>
                <w:szCs w:val="24"/>
              </w:rPr>
            </w:pPr>
          </w:p>
        </w:tc>
      </w:tr>
      <w:tr>
        <w:tblPrEx>
          <w:tblLayout w:type="fixed"/>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20701</w:t>
            </w:r>
          </w:p>
        </w:tc>
        <w:tc>
          <w:tcPr>
            <w:tcW w:w="2455" w:type="dxa"/>
            <w:gridSpan w:val="3"/>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文化和旅游</w:t>
            </w:r>
          </w:p>
        </w:tc>
        <w:tc>
          <w:tcPr>
            <w:tcW w:w="164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31.83</w:t>
            </w:r>
          </w:p>
        </w:tc>
        <w:tc>
          <w:tcPr>
            <w:tcW w:w="1679"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31.83</w:t>
            </w:r>
          </w:p>
        </w:tc>
        <w:tc>
          <w:tcPr>
            <w:tcW w:w="1679"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4"/>
                <w:szCs w:val="24"/>
              </w:rPr>
            </w:pPr>
          </w:p>
        </w:tc>
      </w:tr>
      <w:tr>
        <w:tblPrEx>
          <w:tblLayout w:type="fixed"/>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2070101</w:t>
            </w:r>
          </w:p>
        </w:tc>
        <w:tc>
          <w:tcPr>
            <w:tcW w:w="2455" w:type="dxa"/>
            <w:gridSpan w:val="3"/>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 xml:space="preserve">  行政运行</w:t>
            </w:r>
          </w:p>
        </w:tc>
        <w:tc>
          <w:tcPr>
            <w:tcW w:w="164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27.18</w:t>
            </w:r>
          </w:p>
        </w:tc>
        <w:tc>
          <w:tcPr>
            <w:tcW w:w="1679"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27.18</w:t>
            </w:r>
          </w:p>
        </w:tc>
        <w:tc>
          <w:tcPr>
            <w:tcW w:w="1679"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4"/>
                <w:szCs w:val="24"/>
              </w:rPr>
            </w:pPr>
          </w:p>
        </w:tc>
      </w:tr>
      <w:tr>
        <w:tblPrEx>
          <w:tblLayout w:type="fixed"/>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2070199</w:t>
            </w:r>
          </w:p>
        </w:tc>
        <w:tc>
          <w:tcPr>
            <w:tcW w:w="2455" w:type="dxa"/>
            <w:gridSpan w:val="3"/>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 xml:space="preserve">  其他文化和旅游支出</w:t>
            </w:r>
          </w:p>
        </w:tc>
        <w:tc>
          <w:tcPr>
            <w:tcW w:w="164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4.65</w:t>
            </w:r>
          </w:p>
        </w:tc>
        <w:tc>
          <w:tcPr>
            <w:tcW w:w="1679"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4.65</w:t>
            </w:r>
          </w:p>
        </w:tc>
        <w:tc>
          <w:tcPr>
            <w:tcW w:w="1679"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4"/>
                <w:szCs w:val="24"/>
              </w:rPr>
            </w:pPr>
          </w:p>
        </w:tc>
      </w:tr>
      <w:tr>
        <w:tblPrEx>
          <w:tblLayout w:type="fixed"/>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221</w:t>
            </w:r>
          </w:p>
        </w:tc>
        <w:tc>
          <w:tcPr>
            <w:tcW w:w="2455" w:type="dxa"/>
            <w:gridSpan w:val="3"/>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住房保障支出</w:t>
            </w:r>
          </w:p>
        </w:tc>
        <w:tc>
          <w:tcPr>
            <w:tcW w:w="164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3.10</w:t>
            </w:r>
          </w:p>
        </w:tc>
        <w:tc>
          <w:tcPr>
            <w:tcW w:w="1679"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3.10</w:t>
            </w:r>
          </w:p>
        </w:tc>
        <w:tc>
          <w:tcPr>
            <w:tcW w:w="1679"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4"/>
                <w:szCs w:val="24"/>
              </w:rPr>
            </w:pPr>
          </w:p>
        </w:tc>
      </w:tr>
      <w:tr>
        <w:tblPrEx>
          <w:tblLayout w:type="fixed"/>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22102</w:t>
            </w:r>
          </w:p>
        </w:tc>
        <w:tc>
          <w:tcPr>
            <w:tcW w:w="2455" w:type="dxa"/>
            <w:gridSpan w:val="3"/>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住房改革支出</w:t>
            </w:r>
          </w:p>
        </w:tc>
        <w:tc>
          <w:tcPr>
            <w:tcW w:w="164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3.10</w:t>
            </w:r>
          </w:p>
        </w:tc>
        <w:tc>
          <w:tcPr>
            <w:tcW w:w="1679"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3.10</w:t>
            </w:r>
          </w:p>
        </w:tc>
        <w:tc>
          <w:tcPr>
            <w:tcW w:w="1679"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4"/>
                <w:szCs w:val="24"/>
              </w:rPr>
            </w:pPr>
          </w:p>
        </w:tc>
      </w:tr>
      <w:tr>
        <w:tblPrEx>
          <w:tblLayout w:type="fixed"/>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2210201</w:t>
            </w:r>
          </w:p>
        </w:tc>
        <w:tc>
          <w:tcPr>
            <w:tcW w:w="2455" w:type="dxa"/>
            <w:gridSpan w:val="3"/>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 xml:space="preserve">  住房公积金</w:t>
            </w:r>
          </w:p>
        </w:tc>
        <w:tc>
          <w:tcPr>
            <w:tcW w:w="164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3.10</w:t>
            </w:r>
          </w:p>
        </w:tc>
        <w:tc>
          <w:tcPr>
            <w:tcW w:w="1679"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3.10</w:t>
            </w:r>
          </w:p>
        </w:tc>
        <w:tc>
          <w:tcPr>
            <w:tcW w:w="1679"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4"/>
                <w:szCs w:val="24"/>
              </w:rPr>
            </w:pPr>
          </w:p>
        </w:tc>
      </w:tr>
      <w:tr>
        <w:tblPrEx>
          <w:tblLayout w:type="fixed"/>
          <w:tblCellMar>
            <w:top w:w="0" w:type="dxa"/>
            <w:left w:w="108" w:type="dxa"/>
            <w:bottom w:w="0" w:type="dxa"/>
            <w:right w:w="108" w:type="dxa"/>
          </w:tblCellMar>
        </w:tblPrEx>
        <w:trPr>
          <w:trHeight w:val="630" w:hRule="atLeast"/>
        </w:trPr>
        <w:tc>
          <w:tcPr>
            <w:tcW w:w="14111" w:type="dxa"/>
            <w:gridSpan w:val="10"/>
            <w:tcBorders>
              <w:top w:val="nil"/>
              <w:left w:val="nil"/>
              <w:bottom w:val="nil"/>
              <w:right w:val="nil"/>
            </w:tcBorders>
            <w:shd w:val="clear" w:color="auto" w:fill="auto"/>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注：本表反映部门本年度各项支出情况。</w:t>
            </w:r>
          </w:p>
        </w:tc>
      </w:tr>
    </w:tbl>
    <w:p>
      <w:pPr>
        <w:widowControl/>
        <w:ind w:left="93"/>
        <w:jc w:val="center"/>
        <w:rPr>
          <w:rFonts w:ascii="Times New Roman" w:hAnsi="Times New Roman" w:eastAsia="方正小标宋_GBK" w:cs="Times New Roman"/>
          <w:color w:val="000000"/>
          <w:kern w:val="0"/>
          <w:sz w:val="36"/>
          <w:szCs w:val="21"/>
        </w:rPr>
      </w:pPr>
    </w:p>
    <w:p>
      <w:pPr>
        <w:widowControl/>
        <w:ind w:left="93"/>
        <w:jc w:val="center"/>
        <w:rPr>
          <w:rFonts w:ascii="Times New Roman" w:hAnsi="Times New Roman" w:eastAsia="方正小标宋_GBK" w:cs="Times New Roman"/>
          <w:color w:val="000000"/>
          <w:kern w:val="0"/>
          <w:sz w:val="36"/>
          <w:szCs w:val="21"/>
        </w:rPr>
      </w:pPr>
    </w:p>
    <w:p>
      <w:pPr>
        <w:widowControl/>
        <w:ind w:left="93"/>
        <w:jc w:val="center"/>
        <w:rPr>
          <w:rFonts w:ascii="Times New Roman" w:hAnsi="Times New Roman" w:eastAsia="方正小标宋_GBK" w:cs="Times New Roman"/>
          <w:color w:val="000000"/>
          <w:kern w:val="0"/>
          <w:sz w:val="36"/>
          <w:szCs w:val="21"/>
        </w:rPr>
      </w:pPr>
    </w:p>
    <w:p>
      <w:pPr>
        <w:widowControl/>
        <w:ind w:left="93"/>
        <w:jc w:val="center"/>
        <w:rPr>
          <w:rFonts w:ascii="Times New Roman" w:hAnsi="Times New Roman" w:eastAsia="方正小标宋_GBK" w:cs="Times New Roman"/>
          <w:color w:val="000000"/>
          <w:kern w:val="0"/>
          <w:sz w:val="36"/>
          <w:szCs w:val="21"/>
        </w:rPr>
      </w:pPr>
    </w:p>
    <w:tbl>
      <w:tblPr>
        <w:tblStyle w:val="5"/>
        <w:tblW w:w="15521" w:type="dxa"/>
        <w:tblInd w:w="93" w:type="dxa"/>
        <w:tblLayout w:type="fixed"/>
        <w:tblCellMar>
          <w:top w:w="0" w:type="dxa"/>
          <w:left w:w="108" w:type="dxa"/>
          <w:bottom w:w="0" w:type="dxa"/>
          <w:right w:w="108" w:type="dxa"/>
        </w:tblCellMar>
      </w:tblPr>
      <w:tblGrid>
        <w:gridCol w:w="3595"/>
        <w:gridCol w:w="436"/>
        <w:gridCol w:w="1078"/>
        <w:gridCol w:w="496"/>
        <w:gridCol w:w="2915"/>
        <w:gridCol w:w="632"/>
        <w:gridCol w:w="435"/>
        <w:gridCol w:w="1573"/>
        <w:gridCol w:w="1394"/>
        <w:gridCol w:w="1394"/>
        <w:gridCol w:w="1573"/>
      </w:tblGrid>
      <w:tr>
        <w:tblPrEx>
          <w:tblLayout w:type="fixed"/>
          <w:tblCellMar>
            <w:top w:w="0" w:type="dxa"/>
            <w:left w:w="108" w:type="dxa"/>
            <w:bottom w:w="0" w:type="dxa"/>
            <w:right w:w="108" w:type="dxa"/>
          </w:tblCellMar>
        </w:tblPrEx>
        <w:trPr>
          <w:trHeight w:val="285" w:hRule="atLeast"/>
        </w:trPr>
        <w:tc>
          <w:tcPr>
            <w:tcW w:w="3595" w:type="dxa"/>
            <w:tcBorders>
              <w:top w:val="nil"/>
              <w:left w:val="nil"/>
              <w:bottom w:val="nil"/>
              <w:right w:val="nil"/>
            </w:tcBorders>
            <w:shd w:val="clear" w:color="auto" w:fill="auto"/>
            <w:noWrap/>
            <w:vAlign w:val="center"/>
          </w:tcPr>
          <w:p>
            <w:pPr>
              <w:widowControl/>
              <w:jc w:val="left"/>
              <w:rPr>
                <w:rFonts w:ascii="黑体" w:hAnsi="黑体" w:eastAsia="黑体" w:cs="宋体"/>
                <w:kern w:val="0"/>
                <w:sz w:val="24"/>
                <w:szCs w:val="24"/>
              </w:rPr>
            </w:pPr>
            <w:bookmarkStart w:id="0" w:name="RANGE!A1:I22"/>
            <w:bookmarkEnd w:id="0"/>
            <w:bookmarkStart w:id="1" w:name="RANGE!A1:F16"/>
          </w:p>
        </w:tc>
        <w:tc>
          <w:tcPr>
            <w:tcW w:w="436" w:type="dxa"/>
            <w:tcBorders>
              <w:top w:val="nil"/>
              <w:left w:val="nil"/>
              <w:bottom w:val="nil"/>
              <w:right w:val="nil"/>
            </w:tcBorders>
            <w:shd w:val="clear" w:color="auto" w:fill="auto"/>
            <w:noWrap/>
            <w:vAlign w:val="center"/>
          </w:tcPr>
          <w:p>
            <w:pPr>
              <w:widowControl/>
              <w:jc w:val="right"/>
              <w:rPr>
                <w:rFonts w:ascii="宋体" w:hAnsi="宋体" w:eastAsia="宋体" w:cs="宋体"/>
                <w:kern w:val="0"/>
                <w:sz w:val="24"/>
                <w:szCs w:val="24"/>
              </w:rPr>
            </w:pPr>
          </w:p>
        </w:tc>
        <w:tc>
          <w:tcPr>
            <w:tcW w:w="1574" w:type="dxa"/>
            <w:gridSpan w:val="2"/>
            <w:tcBorders>
              <w:top w:val="nil"/>
              <w:left w:val="nil"/>
              <w:bottom w:val="nil"/>
              <w:right w:val="nil"/>
            </w:tcBorders>
            <w:shd w:val="clear" w:color="auto" w:fill="auto"/>
            <w:noWrap/>
            <w:vAlign w:val="center"/>
          </w:tcPr>
          <w:p>
            <w:pPr>
              <w:widowControl/>
              <w:jc w:val="right"/>
              <w:rPr>
                <w:rFonts w:ascii="宋体" w:hAnsi="宋体" w:eastAsia="宋体" w:cs="宋体"/>
                <w:kern w:val="0"/>
                <w:sz w:val="24"/>
                <w:szCs w:val="24"/>
              </w:rPr>
            </w:pPr>
          </w:p>
        </w:tc>
        <w:tc>
          <w:tcPr>
            <w:tcW w:w="3547" w:type="dxa"/>
            <w:gridSpan w:val="2"/>
            <w:tcBorders>
              <w:top w:val="nil"/>
              <w:left w:val="nil"/>
              <w:bottom w:val="nil"/>
              <w:right w:val="nil"/>
            </w:tcBorders>
            <w:shd w:val="clear" w:color="auto" w:fill="auto"/>
            <w:noWrap/>
            <w:vAlign w:val="center"/>
          </w:tcPr>
          <w:p>
            <w:pPr>
              <w:widowControl/>
              <w:jc w:val="right"/>
              <w:rPr>
                <w:rFonts w:ascii="宋体" w:hAnsi="宋体" w:eastAsia="宋体" w:cs="宋体"/>
                <w:kern w:val="0"/>
                <w:sz w:val="24"/>
                <w:szCs w:val="24"/>
              </w:rPr>
            </w:pPr>
          </w:p>
        </w:tc>
        <w:tc>
          <w:tcPr>
            <w:tcW w:w="435" w:type="dxa"/>
            <w:tcBorders>
              <w:top w:val="nil"/>
              <w:left w:val="nil"/>
              <w:bottom w:val="nil"/>
              <w:right w:val="nil"/>
            </w:tcBorders>
            <w:shd w:val="clear" w:color="auto" w:fill="auto"/>
            <w:noWrap/>
            <w:vAlign w:val="center"/>
          </w:tcPr>
          <w:p>
            <w:pPr>
              <w:widowControl/>
              <w:jc w:val="right"/>
              <w:rPr>
                <w:rFonts w:ascii="宋体" w:hAnsi="宋体" w:eastAsia="宋体" w:cs="宋体"/>
                <w:kern w:val="0"/>
                <w:sz w:val="24"/>
                <w:szCs w:val="24"/>
              </w:rPr>
            </w:pPr>
          </w:p>
        </w:tc>
        <w:tc>
          <w:tcPr>
            <w:tcW w:w="1573" w:type="dxa"/>
            <w:tcBorders>
              <w:top w:val="nil"/>
              <w:left w:val="nil"/>
              <w:bottom w:val="nil"/>
              <w:right w:val="nil"/>
            </w:tcBorders>
            <w:shd w:val="clear" w:color="auto" w:fill="auto"/>
            <w:noWrap/>
            <w:vAlign w:val="center"/>
          </w:tcPr>
          <w:p>
            <w:pPr>
              <w:widowControl/>
              <w:jc w:val="right"/>
              <w:rPr>
                <w:rFonts w:ascii="宋体" w:hAnsi="宋体" w:eastAsia="宋体" w:cs="宋体"/>
                <w:kern w:val="0"/>
                <w:sz w:val="24"/>
                <w:szCs w:val="24"/>
              </w:rPr>
            </w:pPr>
          </w:p>
        </w:tc>
        <w:tc>
          <w:tcPr>
            <w:tcW w:w="1394" w:type="dxa"/>
            <w:tcBorders>
              <w:top w:val="nil"/>
              <w:left w:val="nil"/>
              <w:bottom w:val="nil"/>
              <w:right w:val="nil"/>
            </w:tcBorders>
            <w:shd w:val="clear" w:color="auto" w:fill="auto"/>
            <w:noWrap/>
            <w:vAlign w:val="center"/>
          </w:tcPr>
          <w:p>
            <w:pPr>
              <w:widowControl/>
              <w:jc w:val="right"/>
              <w:rPr>
                <w:rFonts w:ascii="宋体" w:hAnsi="宋体" w:eastAsia="宋体" w:cs="宋体"/>
                <w:kern w:val="0"/>
                <w:sz w:val="24"/>
                <w:szCs w:val="24"/>
              </w:rPr>
            </w:pPr>
          </w:p>
        </w:tc>
        <w:tc>
          <w:tcPr>
            <w:tcW w:w="1394" w:type="dxa"/>
            <w:tcBorders>
              <w:top w:val="nil"/>
              <w:left w:val="nil"/>
              <w:bottom w:val="nil"/>
              <w:right w:val="nil"/>
            </w:tcBorders>
            <w:shd w:val="clear" w:color="auto" w:fill="auto"/>
            <w:noWrap/>
            <w:vAlign w:val="center"/>
          </w:tcPr>
          <w:p>
            <w:pPr>
              <w:widowControl/>
              <w:jc w:val="right"/>
              <w:rPr>
                <w:rFonts w:ascii="宋体" w:hAnsi="宋体" w:eastAsia="宋体" w:cs="宋体"/>
                <w:kern w:val="0"/>
                <w:sz w:val="24"/>
                <w:szCs w:val="24"/>
              </w:rPr>
            </w:pPr>
          </w:p>
        </w:tc>
        <w:tc>
          <w:tcPr>
            <w:tcW w:w="1573" w:type="dxa"/>
            <w:tcBorders>
              <w:top w:val="nil"/>
              <w:left w:val="nil"/>
              <w:bottom w:val="nil"/>
              <w:right w:val="nil"/>
            </w:tcBorders>
            <w:shd w:val="clear" w:color="auto" w:fill="auto"/>
            <w:noWrap/>
            <w:vAlign w:val="center"/>
          </w:tcPr>
          <w:p>
            <w:pPr>
              <w:widowControl/>
              <w:jc w:val="right"/>
              <w:rPr>
                <w:rFonts w:ascii="宋体" w:hAnsi="宋体" w:eastAsia="宋体" w:cs="宋体"/>
                <w:kern w:val="0"/>
                <w:sz w:val="24"/>
                <w:szCs w:val="24"/>
              </w:rPr>
            </w:pPr>
          </w:p>
        </w:tc>
      </w:tr>
      <w:tr>
        <w:tblPrEx>
          <w:tblLayout w:type="fixed"/>
          <w:tblCellMar>
            <w:top w:w="0" w:type="dxa"/>
            <w:left w:w="108" w:type="dxa"/>
            <w:bottom w:w="0" w:type="dxa"/>
            <w:right w:w="108" w:type="dxa"/>
          </w:tblCellMar>
        </w:tblPrEx>
        <w:trPr>
          <w:trHeight w:val="360" w:hRule="atLeast"/>
        </w:trPr>
        <w:tc>
          <w:tcPr>
            <w:tcW w:w="15521" w:type="dxa"/>
            <w:gridSpan w:val="11"/>
            <w:tcBorders>
              <w:top w:val="nil"/>
              <w:left w:val="nil"/>
              <w:bottom w:val="nil"/>
              <w:right w:val="nil"/>
            </w:tcBorders>
            <w:shd w:val="clear" w:color="auto" w:fill="auto"/>
            <w:noWrap/>
            <w:vAlign w:val="center"/>
          </w:tcPr>
          <w:p>
            <w:pPr>
              <w:widowControl/>
              <w:jc w:val="center"/>
              <w:rPr>
                <w:rFonts w:ascii="华文中宋" w:hAnsi="华文中宋" w:eastAsia="华文中宋" w:cs="宋体"/>
                <w:color w:val="000000"/>
                <w:kern w:val="0"/>
                <w:sz w:val="32"/>
                <w:szCs w:val="32"/>
              </w:rPr>
            </w:pPr>
            <w:r>
              <w:rPr>
                <w:rFonts w:hint="eastAsia" w:ascii="华文中宋" w:hAnsi="华文中宋" w:eastAsia="华文中宋" w:cs="宋体"/>
                <w:color w:val="000000"/>
                <w:kern w:val="0"/>
                <w:sz w:val="32"/>
                <w:szCs w:val="32"/>
              </w:rPr>
              <w:t>财政拨款收入支出决算总表</w:t>
            </w:r>
          </w:p>
        </w:tc>
      </w:tr>
      <w:tr>
        <w:tblPrEx>
          <w:tblLayout w:type="fixed"/>
          <w:tblCellMar>
            <w:top w:w="0" w:type="dxa"/>
            <w:left w:w="108" w:type="dxa"/>
            <w:bottom w:w="0" w:type="dxa"/>
            <w:right w:w="108" w:type="dxa"/>
          </w:tblCellMar>
        </w:tblPrEx>
        <w:trPr>
          <w:trHeight w:val="199" w:hRule="atLeast"/>
        </w:trPr>
        <w:tc>
          <w:tcPr>
            <w:tcW w:w="3595"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36"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078"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043" w:type="dxa"/>
            <w:gridSpan w:val="3"/>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35"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3"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94"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94"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3" w:type="dxa"/>
            <w:tcBorders>
              <w:top w:val="nil"/>
              <w:left w:val="nil"/>
              <w:bottom w:val="nil"/>
              <w:right w:val="nil"/>
            </w:tcBorders>
            <w:shd w:val="clear" w:color="000000" w:fill="FFFFFF"/>
            <w:noWrap/>
            <w:vAlign w:val="center"/>
          </w:tcPr>
          <w:p>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公开04表</w:t>
            </w:r>
          </w:p>
        </w:tc>
      </w:tr>
      <w:tr>
        <w:tblPrEx>
          <w:tblLayout w:type="fixed"/>
          <w:tblCellMar>
            <w:top w:w="0" w:type="dxa"/>
            <w:left w:w="108" w:type="dxa"/>
            <w:bottom w:w="0" w:type="dxa"/>
            <w:right w:w="108" w:type="dxa"/>
          </w:tblCellMar>
        </w:tblPrEx>
        <w:trPr>
          <w:trHeight w:val="300" w:hRule="atLeast"/>
        </w:trPr>
        <w:tc>
          <w:tcPr>
            <w:tcW w:w="3595" w:type="dxa"/>
            <w:tcBorders>
              <w:top w:val="nil"/>
              <w:left w:val="nil"/>
              <w:bottom w:val="nil"/>
              <w:right w:val="nil"/>
            </w:tcBorders>
            <w:shd w:val="clear" w:color="000000" w:fill="FFFFFF"/>
            <w:noWrap/>
            <w:vAlign w:val="center"/>
          </w:tcPr>
          <w:p>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部门：</w:t>
            </w:r>
          </w:p>
        </w:tc>
        <w:tc>
          <w:tcPr>
            <w:tcW w:w="436"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078"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043" w:type="dxa"/>
            <w:gridSpan w:val="3"/>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35"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3"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94"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94"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3" w:type="dxa"/>
            <w:tcBorders>
              <w:top w:val="nil"/>
              <w:left w:val="nil"/>
              <w:bottom w:val="nil"/>
              <w:right w:val="nil"/>
            </w:tcBorders>
            <w:shd w:val="clear" w:color="000000" w:fill="FFFFFF"/>
            <w:noWrap/>
            <w:vAlign w:val="center"/>
          </w:tcPr>
          <w:p>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单位：万元</w:t>
            </w:r>
          </w:p>
        </w:tc>
      </w:tr>
      <w:tr>
        <w:tblPrEx>
          <w:tblLayout w:type="fixed"/>
          <w:tblCellMar>
            <w:top w:w="0" w:type="dxa"/>
            <w:left w:w="108" w:type="dxa"/>
            <w:bottom w:w="0" w:type="dxa"/>
            <w:right w:w="108" w:type="dxa"/>
          </w:tblCellMar>
        </w:tblPrEx>
        <w:trPr>
          <w:trHeight w:val="402" w:hRule="atLeast"/>
        </w:trPr>
        <w:tc>
          <w:tcPr>
            <w:tcW w:w="5109"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收入</w:t>
            </w:r>
          </w:p>
        </w:tc>
        <w:tc>
          <w:tcPr>
            <w:tcW w:w="10412" w:type="dxa"/>
            <w:gridSpan w:val="8"/>
            <w:tcBorders>
              <w:top w:val="single" w:color="auto" w:sz="4" w:space="0"/>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支出</w:t>
            </w:r>
          </w:p>
        </w:tc>
      </w:tr>
      <w:tr>
        <w:tblPrEx>
          <w:tblLayout w:type="fixed"/>
          <w:tblCellMar>
            <w:top w:w="0" w:type="dxa"/>
            <w:left w:w="108" w:type="dxa"/>
            <w:bottom w:w="0" w:type="dxa"/>
            <w:right w:w="108" w:type="dxa"/>
          </w:tblCellMar>
        </w:tblPrEx>
        <w:trPr>
          <w:trHeight w:val="630"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项    目</w:t>
            </w: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行次</w:t>
            </w:r>
          </w:p>
        </w:tc>
        <w:tc>
          <w:tcPr>
            <w:tcW w:w="1078"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金额</w:t>
            </w:r>
          </w:p>
        </w:tc>
        <w:tc>
          <w:tcPr>
            <w:tcW w:w="3411"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项    目</w:t>
            </w:r>
          </w:p>
        </w:tc>
        <w:tc>
          <w:tcPr>
            <w:tcW w:w="106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行次</w:t>
            </w: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合计</w:t>
            </w:r>
          </w:p>
        </w:tc>
        <w:tc>
          <w:tcPr>
            <w:tcW w:w="1394"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一般公共预算财政拨款</w:t>
            </w:r>
          </w:p>
        </w:tc>
        <w:tc>
          <w:tcPr>
            <w:tcW w:w="1394"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政府性基金预算财政拨款</w:t>
            </w:r>
          </w:p>
        </w:tc>
        <w:tc>
          <w:tcPr>
            <w:tcW w:w="157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国有资本经营预算财政拨款</w:t>
            </w:r>
          </w:p>
        </w:tc>
      </w:tr>
      <w:tr>
        <w:tblPrEx>
          <w:tblLayout w:type="fixed"/>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栏次</w:t>
            </w:r>
          </w:p>
        </w:tc>
        <w:tc>
          <w:tcPr>
            <w:tcW w:w="436"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kern w:val="0"/>
                <w:sz w:val="24"/>
                <w:szCs w:val="24"/>
              </w:rPr>
            </w:pPr>
          </w:p>
        </w:tc>
        <w:tc>
          <w:tcPr>
            <w:tcW w:w="1078"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1</w:t>
            </w:r>
          </w:p>
        </w:tc>
        <w:tc>
          <w:tcPr>
            <w:tcW w:w="3411"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栏次</w:t>
            </w:r>
          </w:p>
        </w:tc>
        <w:tc>
          <w:tcPr>
            <w:tcW w:w="1067" w:type="dxa"/>
            <w:gridSpan w:val="2"/>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kern w:val="0"/>
                <w:sz w:val="24"/>
                <w:szCs w:val="24"/>
              </w:rPr>
            </w:pPr>
          </w:p>
        </w:tc>
        <w:tc>
          <w:tcPr>
            <w:tcW w:w="157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w:t>
            </w:r>
          </w:p>
        </w:tc>
        <w:tc>
          <w:tcPr>
            <w:tcW w:w="1394"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3</w:t>
            </w:r>
          </w:p>
        </w:tc>
        <w:tc>
          <w:tcPr>
            <w:tcW w:w="1394"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4</w:t>
            </w:r>
          </w:p>
        </w:tc>
        <w:tc>
          <w:tcPr>
            <w:tcW w:w="157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5</w:t>
            </w:r>
          </w:p>
        </w:tc>
      </w:tr>
      <w:tr>
        <w:tblPrEx>
          <w:tblLayout w:type="fixed"/>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一、一般公共预算财政拨款</w:t>
            </w:r>
          </w:p>
        </w:tc>
        <w:tc>
          <w:tcPr>
            <w:tcW w:w="43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w:t>
            </w:r>
          </w:p>
        </w:tc>
        <w:tc>
          <w:tcPr>
            <w:tcW w:w="1078"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53.70</w:t>
            </w:r>
          </w:p>
        </w:tc>
        <w:tc>
          <w:tcPr>
            <w:tcW w:w="3411"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一、一般公共服务支出</w:t>
            </w:r>
          </w:p>
        </w:tc>
        <w:tc>
          <w:tcPr>
            <w:tcW w:w="1067"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33</w:t>
            </w:r>
          </w:p>
        </w:tc>
        <w:tc>
          <w:tcPr>
            <w:tcW w:w="157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18.77</w:t>
            </w:r>
          </w:p>
        </w:tc>
        <w:tc>
          <w:tcPr>
            <w:tcW w:w="1394"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18.77</w:t>
            </w:r>
          </w:p>
        </w:tc>
        <w:tc>
          <w:tcPr>
            <w:tcW w:w="1394"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r>
      <w:tr>
        <w:tblPrEx>
          <w:tblLayout w:type="fixed"/>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二、政府性基金预算财政拨款</w:t>
            </w:r>
          </w:p>
        </w:tc>
        <w:tc>
          <w:tcPr>
            <w:tcW w:w="43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w:t>
            </w:r>
          </w:p>
        </w:tc>
        <w:tc>
          <w:tcPr>
            <w:tcW w:w="1078"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二、外交支出</w:t>
            </w:r>
          </w:p>
        </w:tc>
        <w:tc>
          <w:tcPr>
            <w:tcW w:w="1067"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34</w:t>
            </w:r>
          </w:p>
        </w:tc>
        <w:tc>
          <w:tcPr>
            <w:tcW w:w="1573"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r>
      <w:tr>
        <w:tblPrEx>
          <w:tblLayout w:type="fixed"/>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三、国有资本经营财政拨款</w:t>
            </w:r>
          </w:p>
        </w:tc>
        <w:tc>
          <w:tcPr>
            <w:tcW w:w="43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w:t>
            </w:r>
          </w:p>
        </w:tc>
        <w:tc>
          <w:tcPr>
            <w:tcW w:w="1078"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三、国防支出</w:t>
            </w:r>
          </w:p>
        </w:tc>
        <w:tc>
          <w:tcPr>
            <w:tcW w:w="1067"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35</w:t>
            </w:r>
          </w:p>
        </w:tc>
        <w:tc>
          <w:tcPr>
            <w:tcW w:w="1573"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r>
      <w:tr>
        <w:tblPrEx>
          <w:tblLayout w:type="fixed"/>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jc w:val="left"/>
              <w:rPr>
                <w:rFonts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w:t>
            </w:r>
          </w:p>
        </w:tc>
        <w:tc>
          <w:tcPr>
            <w:tcW w:w="1078"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四、公共安全支出</w:t>
            </w:r>
          </w:p>
        </w:tc>
        <w:tc>
          <w:tcPr>
            <w:tcW w:w="1067"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36</w:t>
            </w:r>
          </w:p>
        </w:tc>
        <w:tc>
          <w:tcPr>
            <w:tcW w:w="1573"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r>
      <w:tr>
        <w:tblPrEx>
          <w:tblLayout w:type="fixed"/>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jc w:val="left"/>
              <w:rPr>
                <w:rFonts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w:t>
            </w:r>
          </w:p>
        </w:tc>
        <w:tc>
          <w:tcPr>
            <w:tcW w:w="1078"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五、教育支出</w:t>
            </w:r>
          </w:p>
        </w:tc>
        <w:tc>
          <w:tcPr>
            <w:tcW w:w="1067"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37</w:t>
            </w:r>
          </w:p>
        </w:tc>
        <w:tc>
          <w:tcPr>
            <w:tcW w:w="1573"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r>
      <w:tr>
        <w:tblPrEx>
          <w:tblLayout w:type="fixed"/>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jc w:val="left"/>
              <w:rPr>
                <w:rFonts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6</w:t>
            </w:r>
          </w:p>
        </w:tc>
        <w:tc>
          <w:tcPr>
            <w:tcW w:w="1078"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六、科学技术支出</w:t>
            </w:r>
          </w:p>
        </w:tc>
        <w:tc>
          <w:tcPr>
            <w:tcW w:w="1067"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38</w:t>
            </w:r>
          </w:p>
        </w:tc>
        <w:tc>
          <w:tcPr>
            <w:tcW w:w="1573"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r>
      <w:tr>
        <w:tblPrEx>
          <w:tblLayout w:type="fixed"/>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jc w:val="left"/>
              <w:rPr>
                <w:rFonts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7</w:t>
            </w:r>
          </w:p>
        </w:tc>
        <w:tc>
          <w:tcPr>
            <w:tcW w:w="1078"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七、文化旅游体育与传媒支出</w:t>
            </w:r>
          </w:p>
        </w:tc>
        <w:tc>
          <w:tcPr>
            <w:tcW w:w="1067"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39</w:t>
            </w:r>
          </w:p>
        </w:tc>
        <w:tc>
          <w:tcPr>
            <w:tcW w:w="157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31.83</w:t>
            </w:r>
          </w:p>
        </w:tc>
        <w:tc>
          <w:tcPr>
            <w:tcW w:w="1394"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31.83</w:t>
            </w:r>
          </w:p>
        </w:tc>
        <w:tc>
          <w:tcPr>
            <w:tcW w:w="1394"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r>
      <w:tr>
        <w:tblPrEx>
          <w:tblLayout w:type="fixed"/>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jc w:val="left"/>
              <w:rPr>
                <w:rFonts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8</w:t>
            </w:r>
          </w:p>
        </w:tc>
        <w:tc>
          <w:tcPr>
            <w:tcW w:w="1078"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八、社会保障和就业支出</w:t>
            </w:r>
          </w:p>
        </w:tc>
        <w:tc>
          <w:tcPr>
            <w:tcW w:w="1067"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40</w:t>
            </w:r>
          </w:p>
        </w:tc>
        <w:tc>
          <w:tcPr>
            <w:tcW w:w="1573"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r>
      <w:tr>
        <w:tblPrEx>
          <w:tblLayout w:type="fixed"/>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9</w:t>
            </w:r>
          </w:p>
        </w:tc>
        <w:tc>
          <w:tcPr>
            <w:tcW w:w="1078"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九、卫生健康支出</w:t>
            </w:r>
          </w:p>
        </w:tc>
        <w:tc>
          <w:tcPr>
            <w:tcW w:w="1067"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41</w:t>
            </w:r>
          </w:p>
        </w:tc>
        <w:tc>
          <w:tcPr>
            <w:tcW w:w="1573"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r>
      <w:tr>
        <w:tblPrEx>
          <w:tblLayout w:type="fixed"/>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10</w:t>
            </w:r>
          </w:p>
        </w:tc>
        <w:tc>
          <w:tcPr>
            <w:tcW w:w="1078"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十、节能环保支出</w:t>
            </w:r>
          </w:p>
        </w:tc>
        <w:tc>
          <w:tcPr>
            <w:tcW w:w="1067"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42</w:t>
            </w:r>
          </w:p>
        </w:tc>
        <w:tc>
          <w:tcPr>
            <w:tcW w:w="1573"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r>
      <w:tr>
        <w:tblPrEx>
          <w:tblLayout w:type="fixed"/>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11</w:t>
            </w:r>
          </w:p>
        </w:tc>
        <w:tc>
          <w:tcPr>
            <w:tcW w:w="1078"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十一、城乡社区支出</w:t>
            </w:r>
          </w:p>
        </w:tc>
        <w:tc>
          <w:tcPr>
            <w:tcW w:w="1067"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43</w:t>
            </w:r>
          </w:p>
        </w:tc>
        <w:tc>
          <w:tcPr>
            <w:tcW w:w="1573"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r>
      <w:tr>
        <w:tblPrEx>
          <w:tblLayout w:type="fixed"/>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12</w:t>
            </w:r>
          </w:p>
        </w:tc>
        <w:tc>
          <w:tcPr>
            <w:tcW w:w="1078"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十二、农林水支出</w:t>
            </w:r>
          </w:p>
        </w:tc>
        <w:tc>
          <w:tcPr>
            <w:tcW w:w="1067"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44</w:t>
            </w:r>
          </w:p>
        </w:tc>
        <w:tc>
          <w:tcPr>
            <w:tcW w:w="1573"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r>
      <w:tr>
        <w:tblPrEx>
          <w:tblLayout w:type="fixed"/>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13</w:t>
            </w:r>
          </w:p>
        </w:tc>
        <w:tc>
          <w:tcPr>
            <w:tcW w:w="1078"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十三、交通运输支出</w:t>
            </w:r>
          </w:p>
        </w:tc>
        <w:tc>
          <w:tcPr>
            <w:tcW w:w="1067"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45</w:t>
            </w:r>
          </w:p>
        </w:tc>
        <w:tc>
          <w:tcPr>
            <w:tcW w:w="1573"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r>
      <w:tr>
        <w:tblPrEx>
          <w:tblLayout w:type="fixed"/>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14</w:t>
            </w:r>
          </w:p>
        </w:tc>
        <w:tc>
          <w:tcPr>
            <w:tcW w:w="1078"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十四、资源勘探工业信息等支出</w:t>
            </w:r>
          </w:p>
        </w:tc>
        <w:tc>
          <w:tcPr>
            <w:tcW w:w="1067"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46</w:t>
            </w:r>
          </w:p>
        </w:tc>
        <w:tc>
          <w:tcPr>
            <w:tcW w:w="1573"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r>
      <w:tr>
        <w:tblPrEx>
          <w:tblLayout w:type="fixed"/>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15</w:t>
            </w:r>
          </w:p>
        </w:tc>
        <w:tc>
          <w:tcPr>
            <w:tcW w:w="1078"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十五、商业服务业等支出</w:t>
            </w:r>
          </w:p>
        </w:tc>
        <w:tc>
          <w:tcPr>
            <w:tcW w:w="1067"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47</w:t>
            </w:r>
          </w:p>
        </w:tc>
        <w:tc>
          <w:tcPr>
            <w:tcW w:w="1573"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r>
      <w:tr>
        <w:tblPrEx>
          <w:tblLayout w:type="fixed"/>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16</w:t>
            </w:r>
          </w:p>
        </w:tc>
        <w:tc>
          <w:tcPr>
            <w:tcW w:w="1078"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十六、金融支出</w:t>
            </w:r>
          </w:p>
        </w:tc>
        <w:tc>
          <w:tcPr>
            <w:tcW w:w="1067"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48</w:t>
            </w:r>
          </w:p>
        </w:tc>
        <w:tc>
          <w:tcPr>
            <w:tcW w:w="1573"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r>
      <w:tr>
        <w:tblPrEx>
          <w:tblLayout w:type="fixed"/>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17</w:t>
            </w:r>
          </w:p>
        </w:tc>
        <w:tc>
          <w:tcPr>
            <w:tcW w:w="1078"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十七、援助其他地区支出</w:t>
            </w:r>
          </w:p>
        </w:tc>
        <w:tc>
          <w:tcPr>
            <w:tcW w:w="1067"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49</w:t>
            </w:r>
          </w:p>
        </w:tc>
        <w:tc>
          <w:tcPr>
            <w:tcW w:w="1573"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r>
      <w:tr>
        <w:tblPrEx>
          <w:tblLayout w:type="fixed"/>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18</w:t>
            </w:r>
          </w:p>
        </w:tc>
        <w:tc>
          <w:tcPr>
            <w:tcW w:w="1078"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十八、自然资源海洋气象等支出</w:t>
            </w:r>
          </w:p>
        </w:tc>
        <w:tc>
          <w:tcPr>
            <w:tcW w:w="1067"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50</w:t>
            </w:r>
          </w:p>
        </w:tc>
        <w:tc>
          <w:tcPr>
            <w:tcW w:w="1573"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r>
      <w:tr>
        <w:tblPrEx>
          <w:tblLayout w:type="fixed"/>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19</w:t>
            </w:r>
          </w:p>
        </w:tc>
        <w:tc>
          <w:tcPr>
            <w:tcW w:w="1078"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十九、住房保障支出</w:t>
            </w:r>
          </w:p>
        </w:tc>
        <w:tc>
          <w:tcPr>
            <w:tcW w:w="1067"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51</w:t>
            </w:r>
          </w:p>
        </w:tc>
        <w:tc>
          <w:tcPr>
            <w:tcW w:w="157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3.10</w:t>
            </w:r>
          </w:p>
        </w:tc>
        <w:tc>
          <w:tcPr>
            <w:tcW w:w="1394"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3.10</w:t>
            </w:r>
          </w:p>
        </w:tc>
        <w:tc>
          <w:tcPr>
            <w:tcW w:w="1394"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r>
      <w:tr>
        <w:tblPrEx>
          <w:tblLayout w:type="fixed"/>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20</w:t>
            </w:r>
          </w:p>
        </w:tc>
        <w:tc>
          <w:tcPr>
            <w:tcW w:w="1078"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二十、粮油物资储备支出</w:t>
            </w:r>
          </w:p>
        </w:tc>
        <w:tc>
          <w:tcPr>
            <w:tcW w:w="1067"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52</w:t>
            </w:r>
          </w:p>
        </w:tc>
        <w:tc>
          <w:tcPr>
            <w:tcW w:w="1573"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r>
      <w:tr>
        <w:tblPrEx>
          <w:tblLayout w:type="fixed"/>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21</w:t>
            </w:r>
          </w:p>
        </w:tc>
        <w:tc>
          <w:tcPr>
            <w:tcW w:w="1078"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二十一、国有资本经营预算支出</w:t>
            </w:r>
          </w:p>
        </w:tc>
        <w:tc>
          <w:tcPr>
            <w:tcW w:w="1067"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53</w:t>
            </w:r>
          </w:p>
        </w:tc>
        <w:tc>
          <w:tcPr>
            <w:tcW w:w="1573"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r>
      <w:tr>
        <w:tblPrEx>
          <w:tblLayout w:type="fixed"/>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22</w:t>
            </w:r>
          </w:p>
        </w:tc>
        <w:tc>
          <w:tcPr>
            <w:tcW w:w="1078"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二十二、灾害防治及应急管理支出</w:t>
            </w:r>
          </w:p>
        </w:tc>
        <w:tc>
          <w:tcPr>
            <w:tcW w:w="1067"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54</w:t>
            </w:r>
          </w:p>
        </w:tc>
        <w:tc>
          <w:tcPr>
            <w:tcW w:w="1573"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r>
      <w:tr>
        <w:tblPrEx>
          <w:tblLayout w:type="fixed"/>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23</w:t>
            </w:r>
          </w:p>
        </w:tc>
        <w:tc>
          <w:tcPr>
            <w:tcW w:w="1078"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二十三、其他支出</w:t>
            </w:r>
          </w:p>
        </w:tc>
        <w:tc>
          <w:tcPr>
            <w:tcW w:w="1067"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55</w:t>
            </w:r>
          </w:p>
        </w:tc>
        <w:tc>
          <w:tcPr>
            <w:tcW w:w="1573"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r>
      <w:tr>
        <w:tblPrEx>
          <w:tblLayout w:type="fixed"/>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24</w:t>
            </w:r>
          </w:p>
        </w:tc>
        <w:tc>
          <w:tcPr>
            <w:tcW w:w="1078"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二十四、债务还本支出</w:t>
            </w:r>
          </w:p>
        </w:tc>
        <w:tc>
          <w:tcPr>
            <w:tcW w:w="1067"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56</w:t>
            </w:r>
          </w:p>
        </w:tc>
        <w:tc>
          <w:tcPr>
            <w:tcW w:w="1573"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r>
      <w:tr>
        <w:tblPrEx>
          <w:tblLayout w:type="fixed"/>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25</w:t>
            </w:r>
          </w:p>
        </w:tc>
        <w:tc>
          <w:tcPr>
            <w:tcW w:w="1078"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二十五、债务付息支出</w:t>
            </w:r>
          </w:p>
        </w:tc>
        <w:tc>
          <w:tcPr>
            <w:tcW w:w="1067"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57</w:t>
            </w:r>
          </w:p>
        </w:tc>
        <w:tc>
          <w:tcPr>
            <w:tcW w:w="1573"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r>
      <w:tr>
        <w:tblPrEx>
          <w:tblLayout w:type="fixed"/>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26</w:t>
            </w:r>
          </w:p>
        </w:tc>
        <w:tc>
          <w:tcPr>
            <w:tcW w:w="1078"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二十六、抗疫特别国债安排的支出</w:t>
            </w:r>
          </w:p>
        </w:tc>
        <w:tc>
          <w:tcPr>
            <w:tcW w:w="1067"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58</w:t>
            </w:r>
          </w:p>
        </w:tc>
        <w:tc>
          <w:tcPr>
            <w:tcW w:w="1573"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r>
      <w:tr>
        <w:tblPrEx>
          <w:tblLayout w:type="fixed"/>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b/>
                <w:bCs/>
                <w:kern w:val="0"/>
                <w:sz w:val="22"/>
              </w:rPr>
            </w:pPr>
            <w:r>
              <w:rPr>
                <w:rFonts w:hint="eastAsia" w:ascii="宋体" w:hAnsi="宋体" w:eastAsia="宋体" w:cs="宋体"/>
                <w:b/>
                <w:bCs/>
                <w:i w:val="0"/>
                <w:iCs w:val="0"/>
                <w:color w:val="000000"/>
                <w:kern w:val="0"/>
                <w:sz w:val="22"/>
                <w:szCs w:val="22"/>
                <w:u w:val="none"/>
                <w:lang w:val="en-US" w:eastAsia="zh-CN" w:bidi="ar"/>
              </w:rPr>
              <w:t>本年收入合计</w:t>
            </w:r>
          </w:p>
        </w:tc>
        <w:tc>
          <w:tcPr>
            <w:tcW w:w="43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27</w:t>
            </w:r>
          </w:p>
        </w:tc>
        <w:tc>
          <w:tcPr>
            <w:tcW w:w="1078"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53.70</w:t>
            </w:r>
          </w:p>
        </w:tc>
        <w:tc>
          <w:tcPr>
            <w:tcW w:w="3411"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b/>
                <w:bCs/>
                <w:kern w:val="0"/>
                <w:sz w:val="22"/>
              </w:rPr>
            </w:pPr>
            <w:r>
              <w:rPr>
                <w:rFonts w:hint="eastAsia" w:ascii="宋体" w:hAnsi="宋体" w:eastAsia="宋体" w:cs="宋体"/>
                <w:b/>
                <w:bCs/>
                <w:i w:val="0"/>
                <w:iCs w:val="0"/>
                <w:color w:val="000000"/>
                <w:kern w:val="0"/>
                <w:sz w:val="22"/>
                <w:szCs w:val="22"/>
                <w:u w:val="none"/>
                <w:lang w:val="en-US" w:eastAsia="zh-CN" w:bidi="ar"/>
              </w:rPr>
              <w:t>本年支出合计</w:t>
            </w:r>
          </w:p>
        </w:tc>
        <w:tc>
          <w:tcPr>
            <w:tcW w:w="1067"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59</w:t>
            </w:r>
          </w:p>
        </w:tc>
        <w:tc>
          <w:tcPr>
            <w:tcW w:w="157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53.70</w:t>
            </w:r>
          </w:p>
        </w:tc>
        <w:tc>
          <w:tcPr>
            <w:tcW w:w="1394"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53.70</w:t>
            </w:r>
          </w:p>
        </w:tc>
        <w:tc>
          <w:tcPr>
            <w:tcW w:w="1394"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b/>
                <w:bCs/>
                <w:kern w:val="0"/>
                <w:sz w:val="22"/>
              </w:rPr>
            </w:pPr>
          </w:p>
        </w:tc>
      </w:tr>
      <w:tr>
        <w:tblPrEx>
          <w:tblLayout w:type="fixed"/>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年初财政拨款结转和结余</w:t>
            </w:r>
          </w:p>
        </w:tc>
        <w:tc>
          <w:tcPr>
            <w:tcW w:w="43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28</w:t>
            </w:r>
          </w:p>
        </w:tc>
        <w:tc>
          <w:tcPr>
            <w:tcW w:w="1078"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年末财政拨款结转和结余</w:t>
            </w:r>
          </w:p>
        </w:tc>
        <w:tc>
          <w:tcPr>
            <w:tcW w:w="1067"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60</w:t>
            </w:r>
          </w:p>
        </w:tc>
        <w:tc>
          <w:tcPr>
            <w:tcW w:w="1573"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r>
      <w:tr>
        <w:tblPrEx>
          <w:tblLayout w:type="fixed"/>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 xml:space="preserve">  一般公共预算财政拨款</w:t>
            </w:r>
          </w:p>
        </w:tc>
        <w:tc>
          <w:tcPr>
            <w:tcW w:w="43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29</w:t>
            </w:r>
          </w:p>
        </w:tc>
        <w:tc>
          <w:tcPr>
            <w:tcW w:w="1078"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pPr>
              <w:jc w:val="left"/>
              <w:rPr>
                <w:rFonts w:ascii="宋体" w:hAnsi="宋体" w:eastAsia="宋体" w:cs="宋体"/>
                <w:kern w:val="0"/>
                <w:sz w:val="22"/>
              </w:rPr>
            </w:pPr>
          </w:p>
        </w:tc>
        <w:tc>
          <w:tcPr>
            <w:tcW w:w="1067"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61</w:t>
            </w:r>
          </w:p>
        </w:tc>
        <w:tc>
          <w:tcPr>
            <w:tcW w:w="1573"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r>
      <w:tr>
        <w:tblPrEx>
          <w:tblLayout w:type="fixed"/>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 xml:space="preserve">  政府性基金预算财政拨款</w:t>
            </w:r>
          </w:p>
        </w:tc>
        <w:tc>
          <w:tcPr>
            <w:tcW w:w="43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30</w:t>
            </w:r>
          </w:p>
        </w:tc>
        <w:tc>
          <w:tcPr>
            <w:tcW w:w="1078"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pPr>
              <w:jc w:val="left"/>
              <w:rPr>
                <w:rFonts w:ascii="宋体" w:hAnsi="宋体" w:eastAsia="宋体" w:cs="宋体"/>
                <w:kern w:val="0"/>
                <w:sz w:val="22"/>
              </w:rPr>
            </w:pPr>
          </w:p>
        </w:tc>
        <w:tc>
          <w:tcPr>
            <w:tcW w:w="1067"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62</w:t>
            </w:r>
          </w:p>
        </w:tc>
        <w:tc>
          <w:tcPr>
            <w:tcW w:w="1573"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r>
      <w:tr>
        <w:tblPrEx>
          <w:tblLayout w:type="fixed"/>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 xml:space="preserve">  国有资本经营预算财政拨款</w:t>
            </w:r>
          </w:p>
        </w:tc>
        <w:tc>
          <w:tcPr>
            <w:tcW w:w="43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31</w:t>
            </w:r>
          </w:p>
        </w:tc>
        <w:tc>
          <w:tcPr>
            <w:tcW w:w="1078"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pPr>
              <w:jc w:val="left"/>
              <w:rPr>
                <w:rFonts w:ascii="宋体" w:hAnsi="宋体" w:eastAsia="宋体" w:cs="宋体"/>
                <w:kern w:val="0"/>
                <w:sz w:val="22"/>
              </w:rPr>
            </w:pPr>
          </w:p>
        </w:tc>
        <w:tc>
          <w:tcPr>
            <w:tcW w:w="1067"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63</w:t>
            </w:r>
          </w:p>
        </w:tc>
        <w:tc>
          <w:tcPr>
            <w:tcW w:w="1573"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r>
      <w:tr>
        <w:tblPrEx>
          <w:tblLayout w:type="fixed"/>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宋体" w:hAnsi="宋体" w:eastAsia="宋体" w:cs="宋体"/>
                <w:b/>
                <w:bCs/>
                <w:kern w:val="0"/>
                <w:sz w:val="22"/>
              </w:rPr>
            </w:pPr>
            <w:r>
              <w:rPr>
                <w:rFonts w:hint="eastAsia" w:ascii="宋体" w:hAnsi="宋体" w:eastAsia="宋体" w:cs="宋体"/>
                <w:b/>
                <w:bCs/>
                <w:i w:val="0"/>
                <w:iCs w:val="0"/>
                <w:color w:val="000000"/>
                <w:kern w:val="0"/>
                <w:sz w:val="22"/>
                <w:szCs w:val="22"/>
                <w:u w:val="none"/>
                <w:lang w:val="en-US" w:eastAsia="zh-CN" w:bidi="ar"/>
              </w:rPr>
              <w:t>总计</w:t>
            </w:r>
          </w:p>
        </w:tc>
        <w:tc>
          <w:tcPr>
            <w:tcW w:w="436"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32</w:t>
            </w:r>
          </w:p>
        </w:tc>
        <w:tc>
          <w:tcPr>
            <w:tcW w:w="1078"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53.70</w:t>
            </w:r>
          </w:p>
        </w:tc>
        <w:tc>
          <w:tcPr>
            <w:tcW w:w="3411" w:type="dxa"/>
            <w:gridSpan w:val="2"/>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宋体" w:hAnsi="宋体" w:eastAsia="宋体" w:cs="宋体"/>
                <w:b/>
                <w:bCs/>
                <w:kern w:val="0"/>
                <w:sz w:val="22"/>
              </w:rPr>
            </w:pPr>
            <w:r>
              <w:rPr>
                <w:rFonts w:hint="eastAsia" w:ascii="宋体" w:hAnsi="宋体" w:eastAsia="宋体" w:cs="宋体"/>
                <w:b/>
                <w:bCs/>
                <w:i w:val="0"/>
                <w:iCs w:val="0"/>
                <w:color w:val="000000"/>
                <w:kern w:val="0"/>
                <w:sz w:val="22"/>
                <w:szCs w:val="22"/>
                <w:u w:val="none"/>
                <w:lang w:val="en-US" w:eastAsia="zh-CN" w:bidi="ar"/>
              </w:rPr>
              <w:t>总计</w:t>
            </w:r>
          </w:p>
        </w:tc>
        <w:tc>
          <w:tcPr>
            <w:tcW w:w="1067" w:type="dxa"/>
            <w:gridSpan w:val="2"/>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64</w:t>
            </w:r>
          </w:p>
        </w:tc>
        <w:tc>
          <w:tcPr>
            <w:tcW w:w="1573"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53.70</w:t>
            </w:r>
          </w:p>
        </w:tc>
        <w:tc>
          <w:tcPr>
            <w:tcW w:w="1394"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53.70</w:t>
            </w:r>
          </w:p>
        </w:tc>
        <w:tc>
          <w:tcPr>
            <w:tcW w:w="1394"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b/>
                <w:bCs/>
                <w:kern w:val="0"/>
                <w:sz w:val="22"/>
              </w:rPr>
            </w:pPr>
          </w:p>
        </w:tc>
        <w:tc>
          <w:tcPr>
            <w:tcW w:w="1573"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b/>
                <w:bCs/>
                <w:kern w:val="0"/>
                <w:sz w:val="22"/>
              </w:rPr>
            </w:pPr>
          </w:p>
        </w:tc>
      </w:tr>
      <w:tr>
        <w:tblPrEx>
          <w:tblLayout w:type="fixed"/>
          <w:tblCellMar>
            <w:top w:w="0" w:type="dxa"/>
            <w:left w:w="108" w:type="dxa"/>
            <w:bottom w:w="0" w:type="dxa"/>
            <w:right w:w="108" w:type="dxa"/>
          </w:tblCellMar>
        </w:tblPrEx>
        <w:trPr>
          <w:trHeight w:val="585" w:hRule="atLeast"/>
        </w:trPr>
        <w:tc>
          <w:tcPr>
            <w:tcW w:w="15521" w:type="dxa"/>
            <w:gridSpan w:val="11"/>
            <w:tcBorders>
              <w:top w:val="nil"/>
              <w:left w:val="nil"/>
              <w:bottom w:val="nil"/>
              <w:right w:val="nil"/>
            </w:tcBorders>
            <w:shd w:val="clear" w:color="auto" w:fill="auto"/>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注：本表反映部门本年度一般公共预算财政拨款、政府性基金预算财政拨款和国有资本经营预算财政拨款的总收支和年末结转结余情况。</w:t>
            </w:r>
          </w:p>
        </w:tc>
      </w:tr>
    </w:tbl>
    <w:p>
      <w:pPr>
        <w:widowControl/>
        <w:jc w:val="center"/>
        <w:rPr>
          <w:rFonts w:ascii="Times New Roman" w:hAnsi="Times New Roman" w:eastAsia="方正小标宋_GBK" w:cs="Times New Roman"/>
          <w:kern w:val="0"/>
          <w:sz w:val="36"/>
          <w:szCs w:val="36"/>
        </w:rPr>
      </w:pPr>
    </w:p>
    <w:p>
      <w:pPr>
        <w:widowControl/>
        <w:jc w:val="center"/>
        <w:rPr>
          <w:rFonts w:ascii="Times New Roman" w:hAnsi="Times New Roman" w:eastAsia="方正小标宋_GBK" w:cs="Times New Roman"/>
          <w:kern w:val="0"/>
          <w:sz w:val="36"/>
          <w:szCs w:val="36"/>
        </w:rPr>
      </w:pPr>
    </w:p>
    <w:p>
      <w:pPr>
        <w:widowControl/>
        <w:jc w:val="center"/>
        <w:rPr>
          <w:rFonts w:ascii="Times New Roman" w:hAnsi="Times New Roman" w:eastAsia="方正小标宋_GBK" w:cs="Times New Roman"/>
          <w:kern w:val="0"/>
          <w:sz w:val="36"/>
          <w:szCs w:val="36"/>
        </w:rPr>
      </w:pPr>
      <w:r>
        <w:rPr>
          <w:rFonts w:ascii="Times New Roman" w:hAnsi="Times New Roman" w:eastAsia="方正小标宋_GBK" w:cs="Times New Roman"/>
          <w:kern w:val="0"/>
          <w:sz w:val="36"/>
          <w:szCs w:val="36"/>
        </w:rPr>
        <w:t>一般公共预算财政拨款支出决算表</w:t>
      </w:r>
      <w:bookmarkEnd w:id="1"/>
    </w:p>
    <w:p>
      <w:pPr>
        <w:widowControl/>
        <w:spacing w:before="156" w:beforeLines="50"/>
        <w:jc w:val="left"/>
        <w:rPr>
          <w:rFonts w:ascii="Times New Roman" w:hAnsi="Times New Roman" w:eastAsia="仿宋_GB2312" w:cs="Times New Roman"/>
          <w:color w:val="000000"/>
          <w:kern w:val="0"/>
          <w:szCs w:val="21"/>
        </w:rPr>
      </w:pP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部门：                     </w:t>
      </w: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                                                公开05表</w:t>
      </w:r>
    </w:p>
    <w:p>
      <w:pPr>
        <w:widowControl/>
        <w:jc w:val="left"/>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       单位：万元</w:t>
      </w:r>
    </w:p>
    <w:tbl>
      <w:tblPr>
        <w:tblStyle w:val="5"/>
        <w:tblW w:w="14219" w:type="dxa"/>
        <w:jc w:val="center"/>
        <w:tblInd w:w="0" w:type="dxa"/>
        <w:tblLayout w:type="fixed"/>
        <w:tblCellMar>
          <w:top w:w="0" w:type="dxa"/>
          <w:left w:w="108" w:type="dxa"/>
          <w:bottom w:w="0" w:type="dxa"/>
          <w:right w:w="108" w:type="dxa"/>
        </w:tblCellMar>
      </w:tblPr>
      <w:tblGrid>
        <w:gridCol w:w="986"/>
        <w:gridCol w:w="1015"/>
        <w:gridCol w:w="3305"/>
        <w:gridCol w:w="2823"/>
        <w:gridCol w:w="3276"/>
        <w:gridCol w:w="2814"/>
      </w:tblGrid>
      <w:tr>
        <w:tblPrEx>
          <w:tblLayout w:type="fixed"/>
          <w:tblCellMar>
            <w:top w:w="0" w:type="dxa"/>
            <w:left w:w="108" w:type="dxa"/>
            <w:bottom w:w="0" w:type="dxa"/>
            <w:right w:w="108" w:type="dxa"/>
          </w:tblCellMar>
        </w:tblPrEx>
        <w:trPr>
          <w:trHeight w:val="405" w:hRule="atLeast"/>
          <w:jc w:val="center"/>
        </w:trPr>
        <w:tc>
          <w:tcPr>
            <w:tcW w:w="5306" w:type="dxa"/>
            <w:gridSpan w:val="3"/>
            <w:tcBorders>
              <w:top w:val="single" w:color="auto" w:sz="8"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项 </w:t>
            </w:r>
            <w:r>
              <w:rPr>
                <w:rFonts w:ascii="Times New Roman" w:hAnsi="Times New Roman" w:eastAsia="仿宋_GB2312" w:cs="Times New Roman"/>
                <w:b/>
                <w:color w:val="000000"/>
                <w:kern w:val="0"/>
                <w:szCs w:val="21"/>
              </w:rPr>
              <w:t xml:space="preserve">   </w:t>
            </w:r>
            <w:r>
              <w:rPr>
                <w:rFonts w:ascii="Times New Roman" w:hAnsi="Times New Roman" w:eastAsia="仿宋_GB2312" w:cs="Times New Roman"/>
                <w:b/>
                <w:kern w:val="0"/>
                <w:szCs w:val="21"/>
              </w:rPr>
              <w:t>目</w:t>
            </w:r>
          </w:p>
        </w:tc>
        <w:tc>
          <w:tcPr>
            <w:tcW w:w="8913" w:type="dxa"/>
            <w:gridSpan w:val="3"/>
            <w:tcBorders>
              <w:top w:val="single" w:color="auto" w:sz="8" w:space="0"/>
              <w:left w:val="nil"/>
              <w:bottom w:val="single" w:color="auto" w:sz="4" w:space="0"/>
              <w:right w:val="single" w:color="000000" w:sz="8"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r>
      <w:tr>
        <w:tblPrEx>
          <w:tblLayout w:type="fixed"/>
          <w:tblCellMar>
            <w:top w:w="0" w:type="dxa"/>
            <w:left w:w="108" w:type="dxa"/>
            <w:bottom w:w="0" w:type="dxa"/>
            <w:right w:w="108" w:type="dxa"/>
          </w:tblCellMar>
        </w:tblPrEx>
        <w:trPr>
          <w:trHeight w:val="495" w:hRule="atLeast"/>
          <w:jc w:val="center"/>
        </w:trPr>
        <w:tc>
          <w:tcPr>
            <w:tcW w:w="2001" w:type="dxa"/>
            <w:gridSpan w:val="2"/>
            <w:vMerge w:val="restart"/>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3305"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2823"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3276"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基本支出</w:t>
            </w:r>
          </w:p>
        </w:tc>
        <w:tc>
          <w:tcPr>
            <w:tcW w:w="2814" w:type="dxa"/>
            <w:vMerge w:val="restart"/>
            <w:tcBorders>
              <w:top w:val="nil"/>
              <w:left w:val="single" w:color="auto" w:sz="4" w:space="0"/>
              <w:bottom w:val="single" w:color="000000" w:sz="4" w:space="0"/>
              <w:right w:val="single" w:color="auto" w:sz="8"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r>
      <w:tr>
        <w:tblPrEx>
          <w:tblLayout w:type="fixed"/>
          <w:tblCellMar>
            <w:top w:w="0" w:type="dxa"/>
            <w:left w:w="108" w:type="dxa"/>
            <w:bottom w:w="0" w:type="dxa"/>
            <w:right w:w="108" w:type="dxa"/>
          </w:tblCellMar>
        </w:tblPrEx>
        <w:trPr>
          <w:trHeight w:val="360" w:hRule="atLeast"/>
          <w:jc w:val="center"/>
        </w:trPr>
        <w:tc>
          <w:tcPr>
            <w:tcW w:w="2001" w:type="dxa"/>
            <w:gridSpan w:val="2"/>
            <w:vMerge w:val="continue"/>
            <w:tcBorders>
              <w:top w:val="single" w:color="auto" w:sz="4" w:space="0"/>
              <w:left w:val="single" w:color="auto" w:sz="8"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305"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2823"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276"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2814" w:type="dxa"/>
            <w:vMerge w:val="continue"/>
            <w:tcBorders>
              <w:top w:val="nil"/>
              <w:left w:val="single" w:color="auto" w:sz="4" w:space="0"/>
              <w:bottom w:val="single" w:color="000000" w:sz="4" w:space="0"/>
              <w:right w:val="single" w:color="auto" w:sz="8" w:space="0"/>
            </w:tcBorders>
            <w:vAlign w:val="center"/>
          </w:tcPr>
          <w:p>
            <w:pPr>
              <w:widowControl/>
              <w:jc w:val="left"/>
              <w:rPr>
                <w:rFonts w:ascii="Times New Roman" w:hAnsi="Times New Roman" w:eastAsia="仿宋_GB2312" w:cs="Times New Roman"/>
                <w:kern w:val="0"/>
                <w:szCs w:val="21"/>
              </w:rPr>
            </w:pPr>
          </w:p>
        </w:tc>
      </w:tr>
      <w:tr>
        <w:tblPrEx>
          <w:tblLayout w:type="fixed"/>
          <w:tblCellMar>
            <w:top w:w="0" w:type="dxa"/>
            <w:left w:w="108" w:type="dxa"/>
            <w:bottom w:w="0" w:type="dxa"/>
            <w:right w:w="108" w:type="dxa"/>
          </w:tblCellMar>
        </w:tblPrEx>
        <w:trPr>
          <w:trHeight w:val="450" w:hRule="atLeast"/>
          <w:jc w:val="center"/>
        </w:trPr>
        <w:tc>
          <w:tcPr>
            <w:tcW w:w="2001" w:type="dxa"/>
            <w:gridSpan w:val="2"/>
            <w:vMerge w:val="continue"/>
            <w:tcBorders>
              <w:top w:val="single" w:color="auto" w:sz="4" w:space="0"/>
              <w:left w:val="single" w:color="auto" w:sz="8"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305"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2823"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276"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2814" w:type="dxa"/>
            <w:vMerge w:val="continue"/>
            <w:tcBorders>
              <w:top w:val="nil"/>
              <w:left w:val="single" w:color="auto" w:sz="4" w:space="0"/>
              <w:bottom w:val="single" w:color="000000" w:sz="4" w:space="0"/>
              <w:right w:val="single" w:color="auto" w:sz="8" w:space="0"/>
            </w:tcBorders>
            <w:vAlign w:val="center"/>
          </w:tcPr>
          <w:p>
            <w:pPr>
              <w:widowControl/>
              <w:jc w:val="left"/>
              <w:rPr>
                <w:rFonts w:ascii="Times New Roman" w:hAnsi="Times New Roman" w:eastAsia="仿宋_GB2312" w:cs="Times New Roman"/>
                <w:kern w:val="0"/>
                <w:szCs w:val="21"/>
              </w:rPr>
            </w:pPr>
          </w:p>
        </w:tc>
      </w:tr>
      <w:tr>
        <w:tblPrEx>
          <w:tblLayout w:type="fixed"/>
          <w:tblCellMar>
            <w:top w:w="0" w:type="dxa"/>
            <w:left w:w="108" w:type="dxa"/>
            <w:bottom w:w="0" w:type="dxa"/>
            <w:right w:w="108" w:type="dxa"/>
          </w:tblCellMar>
        </w:tblPrEx>
        <w:trPr>
          <w:trHeight w:val="450" w:hRule="atLeast"/>
          <w:jc w:val="center"/>
        </w:trPr>
        <w:tc>
          <w:tcPr>
            <w:tcW w:w="5306" w:type="dxa"/>
            <w:gridSpan w:val="3"/>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栏次</w:t>
            </w:r>
          </w:p>
        </w:tc>
        <w:tc>
          <w:tcPr>
            <w:tcW w:w="2823"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w:t>
            </w:r>
          </w:p>
        </w:tc>
        <w:tc>
          <w:tcPr>
            <w:tcW w:w="3276"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w:t>
            </w:r>
          </w:p>
        </w:tc>
        <w:tc>
          <w:tcPr>
            <w:tcW w:w="2814" w:type="dxa"/>
            <w:tcBorders>
              <w:top w:val="nil"/>
              <w:left w:val="nil"/>
              <w:bottom w:val="single" w:color="auto" w:sz="4" w:space="0"/>
              <w:right w:val="single" w:color="auto" w:sz="8" w:space="0"/>
            </w:tcBorders>
            <w:shd w:val="clear" w:color="auto" w:fill="auto"/>
            <w:vAlign w:val="center"/>
          </w:tcPr>
          <w:p>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3</w:t>
            </w:r>
          </w:p>
        </w:tc>
      </w:tr>
      <w:tr>
        <w:tblPrEx>
          <w:tblLayout w:type="fixed"/>
          <w:tblCellMar>
            <w:top w:w="0" w:type="dxa"/>
            <w:left w:w="108" w:type="dxa"/>
            <w:bottom w:w="0" w:type="dxa"/>
            <w:right w:w="108" w:type="dxa"/>
          </w:tblCellMar>
        </w:tblPrEx>
        <w:trPr>
          <w:trHeight w:val="450" w:hRule="atLeast"/>
          <w:jc w:val="center"/>
        </w:trPr>
        <w:tc>
          <w:tcPr>
            <w:tcW w:w="5306" w:type="dxa"/>
            <w:gridSpan w:val="3"/>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合计</w:t>
            </w:r>
          </w:p>
        </w:tc>
        <w:tc>
          <w:tcPr>
            <w:tcW w:w="2823"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b/>
                <w:bCs/>
                <w:i w:val="0"/>
                <w:iCs w:val="0"/>
                <w:color w:val="000000"/>
                <w:kern w:val="0"/>
                <w:sz w:val="22"/>
                <w:szCs w:val="22"/>
                <w:u w:val="none"/>
                <w:lang w:val="en-US" w:eastAsia="zh-CN" w:bidi="ar"/>
              </w:rPr>
              <w:t>53.70</w:t>
            </w:r>
          </w:p>
        </w:tc>
        <w:tc>
          <w:tcPr>
            <w:tcW w:w="3276"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b/>
                <w:bCs/>
                <w:i w:val="0"/>
                <w:iCs w:val="0"/>
                <w:color w:val="000000"/>
                <w:kern w:val="0"/>
                <w:sz w:val="22"/>
                <w:szCs w:val="22"/>
                <w:u w:val="none"/>
                <w:lang w:val="en-US" w:eastAsia="zh-CN" w:bidi="ar"/>
              </w:rPr>
              <w:t>46.70</w:t>
            </w:r>
          </w:p>
        </w:tc>
        <w:tc>
          <w:tcPr>
            <w:tcW w:w="2814" w:type="dxa"/>
            <w:tcBorders>
              <w:top w:val="nil"/>
              <w:left w:val="nil"/>
              <w:bottom w:val="single" w:color="auto" w:sz="4" w:space="0"/>
              <w:right w:val="single" w:color="auto" w:sz="8"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b/>
                <w:bCs/>
                <w:i w:val="0"/>
                <w:iCs w:val="0"/>
                <w:color w:val="000000"/>
                <w:kern w:val="0"/>
                <w:sz w:val="22"/>
                <w:szCs w:val="22"/>
                <w:u w:val="none"/>
                <w:lang w:val="en-US" w:eastAsia="zh-CN" w:bidi="ar"/>
              </w:rPr>
              <w:t>7.00</w:t>
            </w:r>
          </w:p>
        </w:tc>
      </w:tr>
      <w:tr>
        <w:tblPrEx>
          <w:tblLayout w:type="fixed"/>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201</w:t>
            </w:r>
          </w:p>
        </w:tc>
        <w:tc>
          <w:tcPr>
            <w:tcW w:w="4320" w:type="dxa"/>
            <w:gridSpan w:val="2"/>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一般公共服务支出</w:t>
            </w:r>
          </w:p>
        </w:tc>
        <w:tc>
          <w:tcPr>
            <w:tcW w:w="2823"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18.77</w:t>
            </w:r>
          </w:p>
        </w:tc>
        <w:tc>
          <w:tcPr>
            <w:tcW w:w="3276"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11.77</w:t>
            </w:r>
          </w:p>
        </w:tc>
        <w:tc>
          <w:tcPr>
            <w:tcW w:w="2814" w:type="dxa"/>
            <w:tcBorders>
              <w:top w:val="nil"/>
              <w:left w:val="nil"/>
              <w:bottom w:val="single" w:color="auto" w:sz="4" w:space="0"/>
              <w:right w:val="single" w:color="auto" w:sz="8"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7.00</w:t>
            </w:r>
          </w:p>
        </w:tc>
      </w:tr>
      <w:tr>
        <w:tblPrEx>
          <w:tblLayout w:type="fixed"/>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20103</w:t>
            </w:r>
          </w:p>
        </w:tc>
        <w:tc>
          <w:tcPr>
            <w:tcW w:w="4320" w:type="dxa"/>
            <w:gridSpan w:val="2"/>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政府办公厅（室）及相关机构事务</w:t>
            </w:r>
          </w:p>
        </w:tc>
        <w:tc>
          <w:tcPr>
            <w:tcW w:w="2823"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1.48</w:t>
            </w:r>
          </w:p>
        </w:tc>
        <w:tc>
          <w:tcPr>
            <w:tcW w:w="3276"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1.48</w:t>
            </w:r>
          </w:p>
        </w:tc>
        <w:tc>
          <w:tcPr>
            <w:tcW w:w="2814" w:type="dxa"/>
            <w:tcBorders>
              <w:top w:val="nil"/>
              <w:left w:val="nil"/>
              <w:bottom w:val="single" w:color="auto" w:sz="4" w:space="0"/>
              <w:right w:val="single" w:color="auto" w:sz="8" w:space="0"/>
            </w:tcBorders>
            <w:shd w:val="clear" w:color="auto" w:fill="auto"/>
            <w:vAlign w:val="center"/>
          </w:tcPr>
          <w:p>
            <w:pPr>
              <w:jc w:val="right"/>
              <w:rPr>
                <w:rFonts w:ascii="Times New Roman" w:hAnsi="Times New Roman" w:eastAsia="仿宋_GB2312" w:cs="Times New Roman"/>
                <w:kern w:val="0"/>
                <w:szCs w:val="21"/>
              </w:rPr>
            </w:pPr>
          </w:p>
        </w:tc>
      </w:tr>
      <w:tr>
        <w:tblPrEx>
          <w:tblLayout w:type="fixed"/>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2010350</w:t>
            </w:r>
          </w:p>
        </w:tc>
        <w:tc>
          <w:tcPr>
            <w:tcW w:w="4320" w:type="dxa"/>
            <w:gridSpan w:val="2"/>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  事业运行</w:t>
            </w:r>
          </w:p>
        </w:tc>
        <w:tc>
          <w:tcPr>
            <w:tcW w:w="2823"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1.48</w:t>
            </w:r>
          </w:p>
        </w:tc>
        <w:tc>
          <w:tcPr>
            <w:tcW w:w="3276"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1.48</w:t>
            </w:r>
          </w:p>
        </w:tc>
        <w:tc>
          <w:tcPr>
            <w:tcW w:w="2814" w:type="dxa"/>
            <w:tcBorders>
              <w:top w:val="nil"/>
              <w:left w:val="nil"/>
              <w:bottom w:val="single" w:color="auto" w:sz="4" w:space="0"/>
              <w:right w:val="single" w:color="auto" w:sz="8" w:space="0"/>
            </w:tcBorders>
            <w:shd w:val="clear" w:color="auto" w:fill="auto"/>
            <w:vAlign w:val="center"/>
          </w:tcPr>
          <w:p>
            <w:pPr>
              <w:jc w:val="right"/>
              <w:rPr>
                <w:rFonts w:ascii="Times New Roman" w:hAnsi="Times New Roman" w:eastAsia="仿宋_GB2312" w:cs="Times New Roman"/>
                <w:kern w:val="0"/>
                <w:szCs w:val="21"/>
              </w:rPr>
            </w:pPr>
          </w:p>
        </w:tc>
      </w:tr>
      <w:tr>
        <w:tblPrEx>
          <w:tblLayout w:type="fixed"/>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20129</w:t>
            </w:r>
          </w:p>
        </w:tc>
        <w:tc>
          <w:tcPr>
            <w:tcW w:w="4320" w:type="dxa"/>
            <w:gridSpan w:val="2"/>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群众团体事务</w:t>
            </w:r>
          </w:p>
        </w:tc>
        <w:tc>
          <w:tcPr>
            <w:tcW w:w="2823"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1.50</w:t>
            </w:r>
          </w:p>
        </w:tc>
        <w:tc>
          <w:tcPr>
            <w:tcW w:w="3276"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1.50</w:t>
            </w:r>
          </w:p>
        </w:tc>
        <w:tc>
          <w:tcPr>
            <w:tcW w:w="2814" w:type="dxa"/>
            <w:tcBorders>
              <w:top w:val="nil"/>
              <w:left w:val="nil"/>
              <w:bottom w:val="single" w:color="auto" w:sz="4" w:space="0"/>
              <w:right w:val="single" w:color="auto" w:sz="8" w:space="0"/>
            </w:tcBorders>
            <w:shd w:val="clear" w:color="auto" w:fill="auto"/>
            <w:vAlign w:val="center"/>
          </w:tcPr>
          <w:p>
            <w:pPr>
              <w:jc w:val="right"/>
              <w:rPr>
                <w:rFonts w:ascii="Times New Roman" w:hAnsi="Times New Roman" w:eastAsia="仿宋_GB2312" w:cs="Times New Roman"/>
                <w:kern w:val="0"/>
                <w:szCs w:val="21"/>
              </w:rPr>
            </w:pPr>
          </w:p>
        </w:tc>
      </w:tr>
      <w:tr>
        <w:tblPrEx>
          <w:tblLayout w:type="fixed"/>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2012901</w:t>
            </w:r>
          </w:p>
        </w:tc>
        <w:tc>
          <w:tcPr>
            <w:tcW w:w="4320" w:type="dxa"/>
            <w:gridSpan w:val="2"/>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  行政运行</w:t>
            </w:r>
          </w:p>
        </w:tc>
        <w:tc>
          <w:tcPr>
            <w:tcW w:w="2823"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1.50</w:t>
            </w:r>
          </w:p>
        </w:tc>
        <w:tc>
          <w:tcPr>
            <w:tcW w:w="3276"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1.50</w:t>
            </w:r>
          </w:p>
        </w:tc>
        <w:tc>
          <w:tcPr>
            <w:tcW w:w="2814" w:type="dxa"/>
            <w:tcBorders>
              <w:top w:val="nil"/>
              <w:left w:val="nil"/>
              <w:bottom w:val="single" w:color="auto" w:sz="4" w:space="0"/>
              <w:right w:val="single" w:color="auto" w:sz="8" w:space="0"/>
            </w:tcBorders>
            <w:shd w:val="clear" w:color="auto" w:fill="auto"/>
            <w:vAlign w:val="center"/>
          </w:tcPr>
          <w:p>
            <w:pPr>
              <w:jc w:val="right"/>
              <w:rPr>
                <w:rFonts w:ascii="Times New Roman" w:hAnsi="Times New Roman" w:eastAsia="仿宋_GB2312" w:cs="Times New Roman"/>
                <w:kern w:val="0"/>
                <w:szCs w:val="21"/>
              </w:rPr>
            </w:pPr>
          </w:p>
        </w:tc>
      </w:tr>
      <w:tr>
        <w:tblPrEx>
          <w:tblLayout w:type="fixed"/>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20133</w:t>
            </w:r>
          </w:p>
        </w:tc>
        <w:tc>
          <w:tcPr>
            <w:tcW w:w="4320" w:type="dxa"/>
            <w:gridSpan w:val="2"/>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宣传事务</w:t>
            </w:r>
          </w:p>
        </w:tc>
        <w:tc>
          <w:tcPr>
            <w:tcW w:w="2823"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15.79</w:t>
            </w:r>
          </w:p>
        </w:tc>
        <w:tc>
          <w:tcPr>
            <w:tcW w:w="3276"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8.79</w:t>
            </w:r>
          </w:p>
        </w:tc>
        <w:tc>
          <w:tcPr>
            <w:tcW w:w="2814" w:type="dxa"/>
            <w:tcBorders>
              <w:top w:val="nil"/>
              <w:left w:val="nil"/>
              <w:bottom w:val="single" w:color="auto" w:sz="4" w:space="0"/>
              <w:right w:val="single" w:color="auto" w:sz="8"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7.00</w:t>
            </w:r>
          </w:p>
        </w:tc>
      </w:tr>
      <w:tr>
        <w:tblPrEx>
          <w:tblLayout w:type="fixed"/>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2013399</w:t>
            </w:r>
          </w:p>
        </w:tc>
        <w:tc>
          <w:tcPr>
            <w:tcW w:w="4320" w:type="dxa"/>
            <w:gridSpan w:val="2"/>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  其他宣传事务支出</w:t>
            </w:r>
          </w:p>
        </w:tc>
        <w:tc>
          <w:tcPr>
            <w:tcW w:w="2823"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15.79</w:t>
            </w:r>
          </w:p>
        </w:tc>
        <w:tc>
          <w:tcPr>
            <w:tcW w:w="3276"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8.79</w:t>
            </w:r>
          </w:p>
        </w:tc>
        <w:tc>
          <w:tcPr>
            <w:tcW w:w="2814" w:type="dxa"/>
            <w:tcBorders>
              <w:top w:val="nil"/>
              <w:left w:val="nil"/>
              <w:bottom w:val="single" w:color="auto" w:sz="4" w:space="0"/>
              <w:right w:val="single" w:color="auto" w:sz="8"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7.00</w:t>
            </w:r>
          </w:p>
        </w:tc>
      </w:tr>
      <w:tr>
        <w:tblPrEx>
          <w:tblLayout w:type="fixed"/>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207</w:t>
            </w:r>
          </w:p>
        </w:tc>
        <w:tc>
          <w:tcPr>
            <w:tcW w:w="4320" w:type="dxa"/>
            <w:gridSpan w:val="2"/>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文化旅游体育与传媒支出</w:t>
            </w:r>
          </w:p>
        </w:tc>
        <w:tc>
          <w:tcPr>
            <w:tcW w:w="2823"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31.83</w:t>
            </w:r>
          </w:p>
        </w:tc>
        <w:tc>
          <w:tcPr>
            <w:tcW w:w="3276"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31.83</w:t>
            </w:r>
          </w:p>
        </w:tc>
        <w:tc>
          <w:tcPr>
            <w:tcW w:w="2814" w:type="dxa"/>
            <w:tcBorders>
              <w:top w:val="nil"/>
              <w:left w:val="nil"/>
              <w:bottom w:val="single" w:color="auto" w:sz="4" w:space="0"/>
              <w:right w:val="single" w:color="auto" w:sz="8" w:space="0"/>
            </w:tcBorders>
            <w:shd w:val="clear" w:color="auto" w:fill="auto"/>
            <w:vAlign w:val="center"/>
          </w:tcPr>
          <w:p>
            <w:pPr>
              <w:jc w:val="right"/>
              <w:rPr>
                <w:rFonts w:ascii="Times New Roman" w:hAnsi="Times New Roman" w:eastAsia="仿宋_GB2312" w:cs="Times New Roman"/>
                <w:kern w:val="0"/>
                <w:szCs w:val="21"/>
              </w:rPr>
            </w:pPr>
          </w:p>
        </w:tc>
      </w:tr>
      <w:tr>
        <w:tblPrEx>
          <w:tblLayout w:type="fixed"/>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20701</w:t>
            </w:r>
          </w:p>
        </w:tc>
        <w:tc>
          <w:tcPr>
            <w:tcW w:w="4320" w:type="dxa"/>
            <w:gridSpan w:val="2"/>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文化和旅游</w:t>
            </w:r>
          </w:p>
        </w:tc>
        <w:tc>
          <w:tcPr>
            <w:tcW w:w="2823"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31.83</w:t>
            </w:r>
          </w:p>
        </w:tc>
        <w:tc>
          <w:tcPr>
            <w:tcW w:w="3276"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31.83</w:t>
            </w:r>
          </w:p>
        </w:tc>
        <w:tc>
          <w:tcPr>
            <w:tcW w:w="2814" w:type="dxa"/>
            <w:tcBorders>
              <w:top w:val="nil"/>
              <w:left w:val="nil"/>
              <w:bottom w:val="single" w:color="auto" w:sz="4" w:space="0"/>
              <w:right w:val="single" w:color="auto" w:sz="8" w:space="0"/>
            </w:tcBorders>
            <w:shd w:val="clear" w:color="auto" w:fill="auto"/>
            <w:vAlign w:val="center"/>
          </w:tcPr>
          <w:p>
            <w:pPr>
              <w:jc w:val="right"/>
              <w:rPr>
                <w:rFonts w:ascii="Times New Roman" w:hAnsi="Times New Roman" w:eastAsia="仿宋_GB2312" w:cs="Times New Roman"/>
                <w:kern w:val="0"/>
                <w:szCs w:val="21"/>
              </w:rPr>
            </w:pPr>
          </w:p>
        </w:tc>
      </w:tr>
      <w:tr>
        <w:tblPrEx>
          <w:tblLayout w:type="fixed"/>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2070101</w:t>
            </w:r>
          </w:p>
        </w:tc>
        <w:tc>
          <w:tcPr>
            <w:tcW w:w="4320" w:type="dxa"/>
            <w:gridSpan w:val="2"/>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  行政运行</w:t>
            </w:r>
          </w:p>
        </w:tc>
        <w:tc>
          <w:tcPr>
            <w:tcW w:w="2823"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27.18</w:t>
            </w:r>
          </w:p>
        </w:tc>
        <w:tc>
          <w:tcPr>
            <w:tcW w:w="3276"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27.18</w:t>
            </w:r>
          </w:p>
        </w:tc>
        <w:tc>
          <w:tcPr>
            <w:tcW w:w="2814" w:type="dxa"/>
            <w:tcBorders>
              <w:top w:val="nil"/>
              <w:left w:val="nil"/>
              <w:bottom w:val="single" w:color="auto" w:sz="4" w:space="0"/>
              <w:right w:val="single" w:color="auto" w:sz="8" w:space="0"/>
            </w:tcBorders>
            <w:shd w:val="clear" w:color="auto" w:fill="auto"/>
            <w:vAlign w:val="center"/>
          </w:tcPr>
          <w:p>
            <w:pPr>
              <w:jc w:val="right"/>
              <w:rPr>
                <w:rFonts w:ascii="Times New Roman" w:hAnsi="Times New Roman" w:eastAsia="仿宋_GB2312" w:cs="Times New Roman"/>
                <w:kern w:val="0"/>
                <w:szCs w:val="21"/>
              </w:rPr>
            </w:pPr>
          </w:p>
        </w:tc>
      </w:tr>
      <w:tr>
        <w:tblPrEx>
          <w:tblLayout w:type="fixed"/>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2070199</w:t>
            </w:r>
          </w:p>
        </w:tc>
        <w:tc>
          <w:tcPr>
            <w:tcW w:w="4320" w:type="dxa"/>
            <w:gridSpan w:val="2"/>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  其他文化和旅游支出</w:t>
            </w:r>
          </w:p>
        </w:tc>
        <w:tc>
          <w:tcPr>
            <w:tcW w:w="2823"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4.65</w:t>
            </w:r>
          </w:p>
        </w:tc>
        <w:tc>
          <w:tcPr>
            <w:tcW w:w="3276"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4.65</w:t>
            </w:r>
          </w:p>
        </w:tc>
        <w:tc>
          <w:tcPr>
            <w:tcW w:w="2814" w:type="dxa"/>
            <w:tcBorders>
              <w:top w:val="nil"/>
              <w:left w:val="nil"/>
              <w:bottom w:val="single" w:color="auto" w:sz="4" w:space="0"/>
              <w:right w:val="single" w:color="auto" w:sz="8" w:space="0"/>
            </w:tcBorders>
            <w:shd w:val="clear" w:color="auto" w:fill="auto"/>
            <w:vAlign w:val="center"/>
          </w:tcPr>
          <w:p>
            <w:pPr>
              <w:jc w:val="right"/>
              <w:rPr>
                <w:rFonts w:ascii="Times New Roman" w:hAnsi="Times New Roman" w:eastAsia="仿宋_GB2312" w:cs="Times New Roman"/>
                <w:kern w:val="0"/>
                <w:szCs w:val="21"/>
              </w:rPr>
            </w:pPr>
          </w:p>
        </w:tc>
      </w:tr>
      <w:tr>
        <w:tblPrEx>
          <w:tblLayout w:type="fixed"/>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221</w:t>
            </w:r>
          </w:p>
        </w:tc>
        <w:tc>
          <w:tcPr>
            <w:tcW w:w="4320" w:type="dxa"/>
            <w:gridSpan w:val="2"/>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住房保障支出</w:t>
            </w:r>
          </w:p>
        </w:tc>
        <w:tc>
          <w:tcPr>
            <w:tcW w:w="2823"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3.10</w:t>
            </w:r>
          </w:p>
        </w:tc>
        <w:tc>
          <w:tcPr>
            <w:tcW w:w="3276"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3.10</w:t>
            </w:r>
          </w:p>
        </w:tc>
        <w:tc>
          <w:tcPr>
            <w:tcW w:w="2814" w:type="dxa"/>
            <w:tcBorders>
              <w:top w:val="nil"/>
              <w:left w:val="nil"/>
              <w:bottom w:val="single" w:color="auto" w:sz="4" w:space="0"/>
              <w:right w:val="single" w:color="auto" w:sz="8" w:space="0"/>
            </w:tcBorders>
            <w:shd w:val="clear" w:color="auto" w:fill="auto"/>
            <w:vAlign w:val="center"/>
          </w:tcPr>
          <w:p>
            <w:pPr>
              <w:jc w:val="right"/>
              <w:rPr>
                <w:rFonts w:ascii="Times New Roman" w:hAnsi="Times New Roman" w:eastAsia="仿宋_GB2312" w:cs="Times New Roman"/>
                <w:kern w:val="0"/>
                <w:szCs w:val="21"/>
              </w:rPr>
            </w:pPr>
          </w:p>
        </w:tc>
      </w:tr>
      <w:tr>
        <w:tblPrEx>
          <w:tblLayout w:type="fixed"/>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22102</w:t>
            </w:r>
          </w:p>
        </w:tc>
        <w:tc>
          <w:tcPr>
            <w:tcW w:w="4320" w:type="dxa"/>
            <w:gridSpan w:val="2"/>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住房改革支出</w:t>
            </w:r>
          </w:p>
        </w:tc>
        <w:tc>
          <w:tcPr>
            <w:tcW w:w="2823"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3.10</w:t>
            </w:r>
          </w:p>
        </w:tc>
        <w:tc>
          <w:tcPr>
            <w:tcW w:w="3276"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3.10</w:t>
            </w:r>
          </w:p>
        </w:tc>
        <w:tc>
          <w:tcPr>
            <w:tcW w:w="2814" w:type="dxa"/>
            <w:tcBorders>
              <w:top w:val="nil"/>
              <w:left w:val="nil"/>
              <w:bottom w:val="single" w:color="auto" w:sz="4" w:space="0"/>
              <w:right w:val="single" w:color="auto" w:sz="8" w:space="0"/>
            </w:tcBorders>
            <w:shd w:val="clear" w:color="auto" w:fill="auto"/>
            <w:vAlign w:val="center"/>
          </w:tcPr>
          <w:p>
            <w:pPr>
              <w:jc w:val="right"/>
              <w:rPr>
                <w:rFonts w:ascii="Times New Roman" w:hAnsi="Times New Roman" w:eastAsia="仿宋_GB2312" w:cs="Times New Roman"/>
                <w:kern w:val="0"/>
                <w:szCs w:val="21"/>
              </w:rPr>
            </w:pPr>
          </w:p>
        </w:tc>
      </w:tr>
      <w:tr>
        <w:tblPrEx>
          <w:tblLayout w:type="fixed"/>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2210201</w:t>
            </w:r>
          </w:p>
        </w:tc>
        <w:tc>
          <w:tcPr>
            <w:tcW w:w="4320" w:type="dxa"/>
            <w:gridSpan w:val="2"/>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  住房公积金</w:t>
            </w:r>
          </w:p>
        </w:tc>
        <w:tc>
          <w:tcPr>
            <w:tcW w:w="2823"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3.10</w:t>
            </w:r>
          </w:p>
        </w:tc>
        <w:tc>
          <w:tcPr>
            <w:tcW w:w="3276"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3.10</w:t>
            </w:r>
          </w:p>
        </w:tc>
        <w:tc>
          <w:tcPr>
            <w:tcW w:w="2814" w:type="dxa"/>
            <w:tcBorders>
              <w:top w:val="nil"/>
              <w:left w:val="nil"/>
              <w:bottom w:val="single" w:color="auto" w:sz="4" w:space="0"/>
              <w:right w:val="single" w:color="auto" w:sz="8" w:space="0"/>
            </w:tcBorders>
            <w:shd w:val="clear" w:color="auto" w:fill="auto"/>
            <w:vAlign w:val="center"/>
          </w:tcPr>
          <w:p>
            <w:pPr>
              <w:jc w:val="right"/>
              <w:rPr>
                <w:rFonts w:ascii="Times New Roman" w:hAnsi="Times New Roman" w:eastAsia="仿宋_GB2312" w:cs="Times New Roman"/>
                <w:kern w:val="0"/>
                <w:szCs w:val="21"/>
              </w:rPr>
            </w:pPr>
          </w:p>
        </w:tc>
      </w:tr>
      <w:tr>
        <w:tblPrEx>
          <w:tblLayout w:type="fixed"/>
          <w:tblCellMar>
            <w:top w:w="0" w:type="dxa"/>
            <w:left w:w="108" w:type="dxa"/>
            <w:bottom w:w="0" w:type="dxa"/>
            <w:right w:w="108" w:type="dxa"/>
          </w:tblCellMar>
        </w:tblPrEx>
        <w:trPr>
          <w:trHeight w:val="645" w:hRule="atLeast"/>
          <w:jc w:val="center"/>
        </w:trPr>
        <w:tc>
          <w:tcPr>
            <w:tcW w:w="14219" w:type="dxa"/>
            <w:gridSpan w:val="6"/>
            <w:tcBorders>
              <w:top w:val="nil"/>
              <w:left w:val="nil"/>
              <w:bottom w:val="nil"/>
              <w:right w:val="nil"/>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注：本表反映部门本年度一般公共预算财政拨款支出情况。</w:t>
            </w:r>
          </w:p>
        </w:tc>
      </w:tr>
    </w:tbl>
    <w:p>
      <w:pPr>
        <w:widowControl/>
        <w:jc w:val="left"/>
        <w:rPr>
          <w:rFonts w:ascii="Times New Roman" w:hAnsi="Times New Roman" w:eastAsia="仿宋_GB2312" w:cs="Times New Roman"/>
          <w:bCs/>
          <w:kern w:val="0"/>
          <w:szCs w:val="21"/>
        </w:rPr>
      </w:pPr>
    </w:p>
    <w:p>
      <w:pPr>
        <w:widowControl/>
        <w:jc w:val="left"/>
        <w:rPr>
          <w:rFonts w:ascii="Times New Roman" w:hAnsi="Times New Roman" w:eastAsia="仿宋_GB2312" w:cs="Times New Roman"/>
          <w:bCs/>
          <w:kern w:val="0"/>
          <w:szCs w:val="21"/>
        </w:rPr>
      </w:pPr>
      <w:r>
        <w:rPr>
          <w:rFonts w:ascii="Times New Roman" w:hAnsi="Times New Roman" w:eastAsia="仿宋_GB2312" w:cs="Times New Roman"/>
          <w:bCs/>
          <w:kern w:val="0"/>
          <w:szCs w:val="21"/>
        </w:rPr>
        <w:br w:type="page"/>
      </w:r>
    </w:p>
    <w:tbl>
      <w:tblPr>
        <w:tblStyle w:val="5"/>
        <w:tblW w:w="15557" w:type="dxa"/>
        <w:tblInd w:w="0" w:type="dxa"/>
        <w:tblLayout w:type="fixed"/>
        <w:tblCellMar>
          <w:top w:w="0" w:type="dxa"/>
          <w:left w:w="108" w:type="dxa"/>
          <w:bottom w:w="0" w:type="dxa"/>
          <w:right w:w="108" w:type="dxa"/>
        </w:tblCellMar>
      </w:tblPr>
      <w:tblGrid>
        <w:gridCol w:w="1327"/>
        <w:gridCol w:w="3335"/>
        <w:gridCol w:w="895"/>
        <w:gridCol w:w="1082"/>
        <w:gridCol w:w="2295"/>
        <w:gridCol w:w="1060"/>
        <w:gridCol w:w="805"/>
        <w:gridCol w:w="3408"/>
        <w:gridCol w:w="1350"/>
      </w:tblGrid>
      <w:tr>
        <w:tblPrEx>
          <w:tblLayout w:type="fixed"/>
          <w:tblCellMar>
            <w:top w:w="0" w:type="dxa"/>
            <w:left w:w="108" w:type="dxa"/>
            <w:bottom w:w="0" w:type="dxa"/>
            <w:right w:w="108" w:type="dxa"/>
          </w:tblCellMar>
        </w:tblPrEx>
        <w:trPr>
          <w:trHeight w:val="113" w:hRule="atLeast"/>
        </w:trPr>
        <w:tc>
          <w:tcPr>
            <w:tcW w:w="15557" w:type="dxa"/>
            <w:gridSpan w:val="9"/>
            <w:tcBorders>
              <w:top w:val="nil"/>
              <w:left w:val="nil"/>
              <w:bottom w:val="nil"/>
              <w:right w:val="nil"/>
            </w:tcBorders>
            <w:shd w:val="clear" w:color="auto" w:fill="auto"/>
            <w:noWrap/>
            <w:vAlign w:val="center"/>
          </w:tcPr>
          <w:p>
            <w:pPr>
              <w:widowControl/>
              <w:jc w:val="center"/>
              <w:rPr>
                <w:rFonts w:ascii="华文中宋" w:hAnsi="华文中宋" w:eastAsia="华文中宋" w:cs="宋体"/>
                <w:color w:val="000000"/>
                <w:kern w:val="0"/>
                <w:szCs w:val="32"/>
              </w:rPr>
            </w:pPr>
            <w:bookmarkStart w:id="2" w:name="RANGE!A1:I34"/>
            <w:r>
              <w:rPr>
                <w:rFonts w:hint="eastAsia" w:ascii="华文中宋" w:hAnsi="华文中宋" w:eastAsia="华文中宋" w:cs="宋体"/>
                <w:color w:val="000000"/>
                <w:kern w:val="0"/>
                <w:szCs w:val="32"/>
              </w:rPr>
              <w:t>一般公共预算财政拨款基本支出决算明细表</w:t>
            </w:r>
            <w:bookmarkEnd w:id="2"/>
          </w:p>
          <w:p>
            <w:pPr>
              <w:widowControl/>
              <w:wordWrap w:val="0"/>
              <w:jc w:val="right"/>
              <w:rPr>
                <w:rFonts w:ascii="Times New Roman" w:hAnsi="Times New Roman" w:eastAsia="仿宋_GB2312" w:cs="Times New Roman"/>
                <w:color w:val="000000"/>
                <w:kern w:val="0"/>
                <w:szCs w:val="21"/>
              </w:rPr>
            </w:pP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部门： </w:t>
            </w: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rPr>
              <w:t>公开06表</w:t>
            </w:r>
          </w:p>
          <w:p>
            <w:pPr>
              <w:widowControl/>
              <w:jc w:val="right"/>
              <w:rPr>
                <w:rFonts w:ascii="华文中宋" w:hAnsi="华文中宋" w:eastAsia="华文中宋" w:cs="宋体"/>
                <w:color w:val="000000"/>
                <w:kern w:val="0"/>
                <w:szCs w:val="32"/>
              </w:rPr>
            </w:pPr>
            <w:r>
              <w:rPr>
                <w:rFonts w:hint="eastAsia" w:ascii="Times New Roman" w:hAnsi="Times New Roman" w:eastAsia="仿宋_GB2312" w:cs="Times New Roman"/>
                <w:color w:val="000000"/>
                <w:kern w:val="0"/>
                <w:szCs w:val="21"/>
              </w:rPr>
              <w:t>单位：万元</w:t>
            </w:r>
          </w:p>
        </w:tc>
      </w:tr>
      <w:tr>
        <w:tblPrEx>
          <w:tblLayout w:type="fixed"/>
          <w:tblCellMar>
            <w:top w:w="0" w:type="dxa"/>
            <w:left w:w="108" w:type="dxa"/>
            <w:bottom w:w="0" w:type="dxa"/>
            <w:right w:w="108" w:type="dxa"/>
          </w:tblCellMar>
        </w:tblPrEx>
        <w:trPr>
          <w:trHeight w:val="113" w:hRule="atLeast"/>
        </w:trPr>
        <w:tc>
          <w:tcPr>
            <w:tcW w:w="1327"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 w:val="20"/>
                <w:szCs w:val="20"/>
              </w:rPr>
              <w:t>经济分类科目编码</w:t>
            </w:r>
          </w:p>
        </w:tc>
        <w:tc>
          <w:tcPr>
            <w:tcW w:w="3335"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科目名称</w:t>
            </w:r>
          </w:p>
        </w:tc>
        <w:tc>
          <w:tcPr>
            <w:tcW w:w="895"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决算数</w:t>
            </w:r>
          </w:p>
        </w:tc>
        <w:tc>
          <w:tcPr>
            <w:tcW w:w="1082"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经济分类科目编码</w:t>
            </w:r>
          </w:p>
        </w:tc>
        <w:tc>
          <w:tcPr>
            <w:tcW w:w="2295"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科目名称</w:t>
            </w:r>
          </w:p>
        </w:tc>
        <w:tc>
          <w:tcPr>
            <w:tcW w:w="1060"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决算数</w:t>
            </w:r>
          </w:p>
        </w:tc>
        <w:tc>
          <w:tcPr>
            <w:tcW w:w="805"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经济分类科目编码</w:t>
            </w:r>
          </w:p>
        </w:tc>
        <w:tc>
          <w:tcPr>
            <w:tcW w:w="3408"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科目名称</w:t>
            </w:r>
          </w:p>
        </w:tc>
        <w:tc>
          <w:tcPr>
            <w:tcW w:w="1350"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决算数</w:t>
            </w:r>
          </w:p>
        </w:tc>
      </w:tr>
      <w:tr>
        <w:tblPrEx>
          <w:tblLayout w:type="fixed"/>
          <w:tblCellMar>
            <w:top w:w="0" w:type="dxa"/>
            <w:left w:w="108" w:type="dxa"/>
            <w:bottom w:w="0" w:type="dxa"/>
            <w:right w:w="108" w:type="dxa"/>
          </w:tblCellMar>
        </w:tblPrEx>
        <w:trPr>
          <w:trHeight w:val="284" w:hRule="exact"/>
        </w:trPr>
        <w:tc>
          <w:tcPr>
            <w:tcW w:w="1327" w:type="dxa"/>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301</w:t>
            </w:r>
          </w:p>
        </w:tc>
        <w:tc>
          <w:tcPr>
            <w:tcW w:w="333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工资福利支出</w:t>
            </w:r>
          </w:p>
        </w:tc>
        <w:tc>
          <w:tcPr>
            <w:tcW w:w="89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40.22</w:t>
            </w:r>
          </w:p>
        </w:tc>
        <w:tc>
          <w:tcPr>
            <w:tcW w:w="1082"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w:t>
            </w:r>
          </w:p>
        </w:tc>
        <w:tc>
          <w:tcPr>
            <w:tcW w:w="229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商品和服务支出</w:t>
            </w:r>
          </w:p>
        </w:tc>
        <w:tc>
          <w:tcPr>
            <w:tcW w:w="1060"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6.48</w:t>
            </w:r>
          </w:p>
        </w:tc>
        <w:tc>
          <w:tcPr>
            <w:tcW w:w="80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307</w:t>
            </w:r>
          </w:p>
        </w:tc>
        <w:tc>
          <w:tcPr>
            <w:tcW w:w="3408"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债务利息及费用支出</w:t>
            </w:r>
          </w:p>
        </w:tc>
        <w:tc>
          <w:tcPr>
            <w:tcW w:w="1350"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r>
      <w:tr>
        <w:tblPrEx>
          <w:tblLayout w:type="fixed"/>
          <w:tblCellMar>
            <w:top w:w="0" w:type="dxa"/>
            <w:left w:w="108" w:type="dxa"/>
            <w:bottom w:w="0" w:type="dxa"/>
            <w:right w:w="108" w:type="dxa"/>
          </w:tblCellMar>
        </w:tblPrEx>
        <w:trPr>
          <w:trHeight w:val="284" w:hRule="exact"/>
        </w:trPr>
        <w:tc>
          <w:tcPr>
            <w:tcW w:w="1327" w:type="dxa"/>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30101</w:t>
            </w:r>
          </w:p>
        </w:tc>
        <w:tc>
          <w:tcPr>
            <w:tcW w:w="333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基本工资</w:t>
            </w:r>
          </w:p>
        </w:tc>
        <w:tc>
          <w:tcPr>
            <w:tcW w:w="89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16.20</w:t>
            </w:r>
          </w:p>
        </w:tc>
        <w:tc>
          <w:tcPr>
            <w:tcW w:w="1082"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30201</w:t>
            </w:r>
          </w:p>
        </w:tc>
        <w:tc>
          <w:tcPr>
            <w:tcW w:w="229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办公费</w:t>
            </w:r>
          </w:p>
        </w:tc>
        <w:tc>
          <w:tcPr>
            <w:tcW w:w="1060"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0.50</w:t>
            </w:r>
          </w:p>
        </w:tc>
        <w:tc>
          <w:tcPr>
            <w:tcW w:w="80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30701</w:t>
            </w:r>
          </w:p>
        </w:tc>
        <w:tc>
          <w:tcPr>
            <w:tcW w:w="3408"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国内债务付息</w:t>
            </w:r>
          </w:p>
        </w:tc>
        <w:tc>
          <w:tcPr>
            <w:tcW w:w="1350"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r>
      <w:tr>
        <w:tblPrEx>
          <w:tblLayout w:type="fixed"/>
          <w:tblCellMar>
            <w:top w:w="0" w:type="dxa"/>
            <w:left w:w="108" w:type="dxa"/>
            <w:bottom w:w="0" w:type="dxa"/>
            <w:right w:w="108" w:type="dxa"/>
          </w:tblCellMar>
        </w:tblPrEx>
        <w:trPr>
          <w:trHeight w:val="284" w:hRule="exact"/>
        </w:trPr>
        <w:tc>
          <w:tcPr>
            <w:tcW w:w="1327" w:type="dxa"/>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30102</w:t>
            </w:r>
          </w:p>
        </w:tc>
        <w:tc>
          <w:tcPr>
            <w:tcW w:w="333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津贴补贴</w:t>
            </w:r>
          </w:p>
        </w:tc>
        <w:tc>
          <w:tcPr>
            <w:tcW w:w="89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9.37</w:t>
            </w:r>
          </w:p>
        </w:tc>
        <w:tc>
          <w:tcPr>
            <w:tcW w:w="1082"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30202</w:t>
            </w:r>
          </w:p>
        </w:tc>
        <w:tc>
          <w:tcPr>
            <w:tcW w:w="229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印刷费</w:t>
            </w:r>
          </w:p>
        </w:tc>
        <w:tc>
          <w:tcPr>
            <w:tcW w:w="1060"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0.60</w:t>
            </w:r>
          </w:p>
        </w:tc>
        <w:tc>
          <w:tcPr>
            <w:tcW w:w="80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30702</w:t>
            </w:r>
          </w:p>
        </w:tc>
        <w:tc>
          <w:tcPr>
            <w:tcW w:w="3408"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国外债务付息</w:t>
            </w:r>
          </w:p>
        </w:tc>
        <w:tc>
          <w:tcPr>
            <w:tcW w:w="1350"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r>
      <w:tr>
        <w:tblPrEx>
          <w:tblLayout w:type="fixed"/>
          <w:tblCellMar>
            <w:top w:w="0" w:type="dxa"/>
            <w:left w:w="108" w:type="dxa"/>
            <w:bottom w:w="0" w:type="dxa"/>
            <w:right w:w="108" w:type="dxa"/>
          </w:tblCellMar>
        </w:tblPrEx>
        <w:trPr>
          <w:trHeight w:val="284" w:hRule="exact"/>
        </w:trPr>
        <w:tc>
          <w:tcPr>
            <w:tcW w:w="1327" w:type="dxa"/>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30103</w:t>
            </w:r>
          </w:p>
        </w:tc>
        <w:tc>
          <w:tcPr>
            <w:tcW w:w="333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奖金</w:t>
            </w:r>
          </w:p>
        </w:tc>
        <w:tc>
          <w:tcPr>
            <w:tcW w:w="89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1.00</w:t>
            </w:r>
          </w:p>
        </w:tc>
        <w:tc>
          <w:tcPr>
            <w:tcW w:w="1082"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30203</w:t>
            </w:r>
          </w:p>
        </w:tc>
        <w:tc>
          <w:tcPr>
            <w:tcW w:w="229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咨询费</w:t>
            </w:r>
          </w:p>
        </w:tc>
        <w:tc>
          <w:tcPr>
            <w:tcW w:w="1060"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c>
          <w:tcPr>
            <w:tcW w:w="80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w:t>
            </w:r>
          </w:p>
        </w:tc>
        <w:tc>
          <w:tcPr>
            <w:tcW w:w="3408"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资本性支出</w:t>
            </w:r>
          </w:p>
        </w:tc>
        <w:tc>
          <w:tcPr>
            <w:tcW w:w="1350"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r>
      <w:tr>
        <w:tblPrEx>
          <w:tblLayout w:type="fixed"/>
          <w:tblCellMar>
            <w:top w:w="0" w:type="dxa"/>
            <w:left w:w="108" w:type="dxa"/>
            <w:bottom w:w="0" w:type="dxa"/>
            <w:right w:w="108" w:type="dxa"/>
          </w:tblCellMar>
        </w:tblPrEx>
        <w:trPr>
          <w:trHeight w:val="284" w:hRule="exact"/>
        </w:trPr>
        <w:tc>
          <w:tcPr>
            <w:tcW w:w="1327" w:type="dxa"/>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30106</w:t>
            </w:r>
          </w:p>
        </w:tc>
        <w:tc>
          <w:tcPr>
            <w:tcW w:w="333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伙食补助费</w:t>
            </w:r>
          </w:p>
        </w:tc>
        <w:tc>
          <w:tcPr>
            <w:tcW w:w="895"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c>
          <w:tcPr>
            <w:tcW w:w="1082"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30204</w:t>
            </w:r>
          </w:p>
        </w:tc>
        <w:tc>
          <w:tcPr>
            <w:tcW w:w="229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手续费</w:t>
            </w:r>
          </w:p>
        </w:tc>
        <w:tc>
          <w:tcPr>
            <w:tcW w:w="1060"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c>
          <w:tcPr>
            <w:tcW w:w="80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31001</w:t>
            </w:r>
          </w:p>
        </w:tc>
        <w:tc>
          <w:tcPr>
            <w:tcW w:w="3408"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房屋建筑物购建</w:t>
            </w:r>
          </w:p>
        </w:tc>
        <w:tc>
          <w:tcPr>
            <w:tcW w:w="1350"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r>
      <w:tr>
        <w:tblPrEx>
          <w:tblLayout w:type="fixed"/>
          <w:tblCellMar>
            <w:top w:w="0" w:type="dxa"/>
            <w:left w:w="108" w:type="dxa"/>
            <w:bottom w:w="0" w:type="dxa"/>
            <w:right w:w="108" w:type="dxa"/>
          </w:tblCellMar>
        </w:tblPrEx>
        <w:trPr>
          <w:trHeight w:val="284" w:hRule="exact"/>
        </w:trPr>
        <w:tc>
          <w:tcPr>
            <w:tcW w:w="1327" w:type="dxa"/>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30107</w:t>
            </w:r>
          </w:p>
        </w:tc>
        <w:tc>
          <w:tcPr>
            <w:tcW w:w="333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绩效工资</w:t>
            </w:r>
          </w:p>
        </w:tc>
        <w:tc>
          <w:tcPr>
            <w:tcW w:w="89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3.44</w:t>
            </w:r>
          </w:p>
        </w:tc>
        <w:tc>
          <w:tcPr>
            <w:tcW w:w="1082"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30205</w:t>
            </w:r>
          </w:p>
        </w:tc>
        <w:tc>
          <w:tcPr>
            <w:tcW w:w="229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水费</w:t>
            </w:r>
          </w:p>
        </w:tc>
        <w:tc>
          <w:tcPr>
            <w:tcW w:w="1060"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0.10</w:t>
            </w:r>
          </w:p>
        </w:tc>
        <w:tc>
          <w:tcPr>
            <w:tcW w:w="80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31002</w:t>
            </w:r>
          </w:p>
        </w:tc>
        <w:tc>
          <w:tcPr>
            <w:tcW w:w="3408"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办公设备购置</w:t>
            </w:r>
          </w:p>
        </w:tc>
        <w:tc>
          <w:tcPr>
            <w:tcW w:w="1350"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r>
      <w:tr>
        <w:tblPrEx>
          <w:tblLayout w:type="fixed"/>
          <w:tblCellMar>
            <w:top w:w="0" w:type="dxa"/>
            <w:left w:w="108" w:type="dxa"/>
            <w:bottom w:w="0" w:type="dxa"/>
            <w:right w:w="108" w:type="dxa"/>
          </w:tblCellMar>
        </w:tblPrEx>
        <w:trPr>
          <w:trHeight w:val="284" w:hRule="exact"/>
        </w:trPr>
        <w:tc>
          <w:tcPr>
            <w:tcW w:w="1327" w:type="dxa"/>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30108</w:t>
            </w:r>
          </w:p>
        </w:tc>
        <w:tc>
          <w:tcPr>
            <w:tcW w:w="333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机关事业单位基本养老保险缴费</w:t>
            </w:r>
          </w:p>
        </w:tc>
        <w:tc>
          <w:tcPr>
            <w:tcW w:w="89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4.00</w:t>
            </w:r>
          </w:p>
        </w:tc>
        <w:tc>
          <w:tcPr>
            <w:tcW w:w="1082"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30206</w:t>
            </w:r>
          </w:p>
        </w:tc>
        <w:tc>
          <w:tcPr>
            <w:tcW w:w="229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电费</w:t>
            </w:r>
          </w:p>
        </w:tc>
        <w:tc>
          <w:tcPr>
            <w:tcW w:w="1060"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0.25</w:t>
            </w:r>
          </w:p>
        </w:tc>
        <w:tc>
          <w:tcPr>
            <w:tcW w:w="80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31003</w:t>
            </w:r>
          </w:p>
        </w:tc>
        <w:tc>
          <w:tcPr>
            <w:tcW w:w="3408"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专用设备购置</w:t>
            </w:r>
          </w:p>
        </w:tc>
        <w:tc>
          <w:tcPr>
            <w:tcW w:w="1350"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r>
      <w:tr>
        <w:tblPrEx>
          <w:tblLayout w:type="fixed"/>
          <w:tblCellMar>
            <w:top w:w="0" w:type="dxa"/>
            <w:left w:w="108" w:type="dxa"/>
            <w:bottom w:w="0" w:type="dxa"/>
            <w:right w:w="108" w:type="dxa"/>
          </w:tblCellMar>
        </w:tblPrEx>
        <w:trPr>
          <w:trHeight w:val="284" w:hRule="exact"/>
        </w:trPr>
        <w:tc>
          <w:tcPr>
            <w:tcW w:w="1327" w:type="dxa"/>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30109</w:t>
            </w:r>
          </w:p>
        </w:tc>
        <w:tc>
          <w:tcPr>
            <w:tcW w:w="333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职业年金缴费</w:t>
            </w:r>
          </w:p>
        </w:tc>
        <w:tc>
          <w:tcPr>
            <w:tcW w:w="89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1.10</w:t>
            </w:r>
          </w:p>
        </w:tc>
        <w:tc>
          <w:tcPr>
            <w:tcW w:w="1082"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30207</w:t>
            </w:r>
          </w:p>
        </w:tc>
        <w:tc>
          <w:tcPr>
            <w:tcW w:w="229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邮电费</w:t>
            </w:r>
          </w:p>
        </w:tc>
        <w:tc>
          <w:tcPr>
            <w:tcW w:w="1060"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0.05</w:t>
            </w:r>
          </w:p>
        </w:tc>
        <w:tc>
          <w:tcPr>
            <w:tcW w:w="80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31005</w:t>
            </w:r>
          </w:p>
        </w:tc>
        <w:tc>
          <w:tcPr>
            <w:tcW w:w="3408"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基础设施建设</w:t>
            </w:r>
          </w:p>
        </w:tc>
        <w:tc>
          <w:tcPr>
            <w:tcW w:w="1350"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r>
      <w:tr>
        <w:tblPrEx>
          <w:tblLayout w:type="fixed"/>
          <w:tblCellMar>
            <w:top w:w="0" w:type="dxa"/>
            <w:left w:w="108" w:type="dxa"/>
            <w:bottom w:w="0" w:type="dxa"/>
            <w:right w:w="108" w:type="dxa"/>
          </w:tblCellMar>
        </w:tblPrEx>
        <w:trPr>
          <w:trHeight w:val="284" w:hRule="exact"/>
        </w:trPr>
        <w:tc>
          <w:tcPr>
            <w:tcW w:w="1327" w:type="dxa"/>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30110</w:t>
            </w:r>
          </w:p>
        </w:tc>
        <w:tc>
          <w:tcPr>
            <w:tcW w:w="333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职工基本医疗保险缴费</w:t>
            </w:r>
          </w:p>
        </w:tc>
        <w:tc>
          <w:tcPr>
            <w:tcW w:w="89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2.00</w:t>
            </w:r>
          </w:p>
        </w:tc>
        <w:tc>
          <w:tcPr>
            <w:tcW w:w="1082"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30208</w:t>
            </w:r>
          </w:p>
        </w:tc>
        <w:tc>
          <w:tcPr>
            <w:tcW w:w="229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取暖费</w:t>
            </w:r>
          </w:p>
        </w:tc>
        <w:tc>
          <w:tcPr>
            <w:tcW w:w="1060"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c>
          <w:tcPr>
            <w:tcW w:w="80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31006</w:t>
            </w:r>
          </w:p>
        </w:tc>
        <w:tc>
          <w:tcPr>
            <w:tcW w:w="3408"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大型修缮</w:t>
            </w:r>
          </w:p>
        </w:tc>
        <w:tc>
          <w:tcPr>
            <w:tcW w:w="1350"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r>
      <w:tr>
        <w:tblPrEx>
          <w:tblLayout w:type="fixed"/>
          <w:tblCellMar>
            <w:top w:w="0" w:type="dxa"/>
            <w:left w:w="108" w:type="dxa"/>
            <w:bottom w:w="0" w:type="dxa"/>
            <w:right w:w="108" w:type="dxa"/>
          </w:tblCellMar>
        </w:tblPrEx>
        <w:trPr>
          <w:trHeight w:val="284" w:hRule="exact"/>
        </w:trPr>
        <w:tc>
          <w:tcPr>
            <w:tcW w:w="1327" w:type="dxa"/>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30111</w:t>
            </w:r>
          </w:p>
        </w:tc>
        <w:tc>
          <w:tcPr>
            <w:tcW w:w="333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公务员医疗补助缴费</w:t>
            </w:r>
          </w:p>
        </w:tc>
        <w:tc>
          <w:tcPr>
            <w:tcW w:w="895"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c>
          <w:tcPr>
            <w:tcW w:w="1082"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30209</w:t>
            </w:r>
          </w:p>
        </w:tc>
        <w:tc>
          <w:tcPr>
            <w:tcW w:w="229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物业管理费</w:t>
            </w:r>
          </w:p>
        </w:tc>
        <w:tc>
          <w:tcPr>
            <w:tcW w:w="1060"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c>
          <w:tcPr>
            <w:tcW w:w="80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31007</w:t>
            </w:r>
          </w:p>
        </w:tc>
        <w:tc>
          <w:tcPr>
            <w:tcW w:w="3408"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信息网络及软件购置更新</w:t>
            </w:r>
          </w:p>
        </w:tc>
        <w:tc>
          <w:tcPr>
            <w:tcW w:w="1350"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r>
      <w:tr>
        <w:tblPrEx>
          <w:tblLayout w:type="fixed"/>
          <w:tblCellMar>
            <w:top w:w="0" w:type="dxa"/>
            <w:left w:w="108" w:type="dxa"/>
            <w:bottom w:w="0" w:type="dxa"/>
            <w:right w:w="108" w:type="dxa"/>
          </w:tblCellMar>
        </w:tblPrEx>
        <w:trPr>
          <w:trHeight w:val="284" w:hRule="exact"/>
        </w:trPr>
        <w:tc>
          <w:tcPr>
            <w:tcW w:w="1327" w:type="dxa"/>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30112</w:t>
            </w:r>
          </w:p>
        </w:tc>
        <w:tc>
          <w:tcPr>
            <w:tcW w:w="333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其他社会保障缴费</w:t>
            </w:r>
          </w:p>
        </w:tc>
        <w:tc>
          <w:tcPr>
            <w:tcW w:w="895"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c>
          <w:tcPr>
            <w:tcW w:w="1082"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30211</w:t>
            </w:r>
          </w:p>
        </w:tc>
        <w:tc>
          <w:tcPr>
            <w:tcW w:w="229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差旅费</w:t>
            </w:r>
          </w:p>
        </w:tc>
        <w:tc>
          <w:tcPr>
            <w:tcW w:w="1060"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0.50</w:t>
            </w:r>
          </w:p>
        </w:tc>
        <w:tc>
          <w:tcPr>
            <w:tcW w:w="80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31008</w:t>
            </w:r>
          </w:p>
        </w:tc>
        <w:tc>
          <w:tcPr>
            <w:tcW w:w="3408"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物资储备</w:t>
            </w:r>
          </w:p>
        </w:tc>
        <w:tc>
          <w:tcPr>
            <w:tcW w:w="1350"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r>
      <w:tr>
        <w:tblPrEx>
          <w:tblLayout w:type="fixed"/>
          <w:tblCellMar>
            <w:top w:w="0" w:type="dxa"/>
            <w:left w:w="108" w:type="dxa"/>
            <w:bottom w:w="0" w:type="dxa"/>
            <w:right w:w="108" w:type="dxa"/>
          </w:tblCellMar>
        </w:tblPrEx>
        <w:trPr>
          <w:trHeight w:val="284" w:hRule="exact"/>
        </w:trPr>
        <w:tc>
          <w:tcPr>
            <w:tcW w:w="1327" w:type="dxa"/>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30113</w:t>
            </w:r>
          </w:p>
        </w:tc>
        <w:tc>
          <w:tcPr>
            <w:tcW w:w="333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住房公积金</w:t>
            </w:r>
          </w:p>
        </w:tc>
        <w:tc>
          <w:tcPr>
            <w:tcW w:w="89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w:t>
            </w:r>
          </w:p>
        </w:tc>
        <w:tc>
          <w:tcPr>
            <w:tcW w:w="1082"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30212</w:t>
            </w:r>
          </w:p>
        </w:tc>
        <w:tc>
          <w:tcPr>
            <w:tcW w:w="229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因公出国（境）费用</w:t>
            </w:r>
          </w:p>
        </w:tc>
        <w:tc>
          <w:tcPr>
            <w:tcW w:w="1060"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c>
          <w:tcPr>
            <w:tcW w:w="80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31009</w:t>
            </w:r>
          </w:p>
        </w:tc>
        <w:tc>
          <w:tcPr>
            <w:tcW w:w="3408"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土地补偿</w:t>
            </w:r>
          </w:p>
        </w:tc>
        <w:tc>
          <w:tcPr>
            <w:tcW w:w="1350"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r>
      <w:tr>
        <w:tblPrEx>
          <w:tblLayout w:type="fixed"/>
          <w:tblCellMar>
            <w:top w:w="0" w:type="dxa"/>
            <w:left w:w="108" w:type="dxa"/>
            <w:bottom w:w="0" w:type="dxa"/>
            <w:right w:w="108" w:type="dxa"/>
          </w:tblCellMar>
        </w:tblPrEx>
        <w:trPr>
          <w:trHeight w:val="284" w:hRule="exact"/>
        </w:trPr>
        <w:tc>
          <w:tcPr>
            <w:tcW w:w="1327" w:type="dxa"/>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30114</w:t>
            </w:r>
          </w:p>
        </w:tc>
        <w:tc>
          <w:tcPr>
            <w:tcW w:w="333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医疗费</w:t>
            </w:r>
          </w:p>
        </w:tc>
        <w:tc>
          <w:tcPr>
            <w:tcW w:w="895"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c>
          <w:tcPr>
            <w:tcW w:w="1082"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30213</w:t>
            </w:r>
          </w:p>
        </w:tc>
        <w:tc>
          <w:tcPr>
            <w:tcW w:w="229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维修（护）费</w:t>
            </w:r>
          </w:p>
        </w:tc>
        <w:tc>
          <w:tcPr>
            <w:tcW w:w="1060"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c>
          <w:tcPr>
            <w:tcW w:w="80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31010</w:t>
            </w:r>
          </w:p>
        </w:tc>
        <w:tc>
          <w:tcPr>
            <w:tcW w:w="3408"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安置补助</w:t>
            </w:r>
          </w:p>
        </w:tc>
        <w:tc>
          <w:tcPr>
            <w:tcW w:w="1350"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r>
      <w:tr>
        <w:tblPrEx>
          <w:tblLayout w:type="fixed"/>
          <w:tblCellMar>
            <w:top w:w="0" w:type="dxa"/>
            <w:left w:w="108" w:type="dxa"/>
            <w:bottom w:w="0" w:type="dxa"/>
            <w:right w:w="108" w:type="dxa"/>
          </w:tblCellMar>
        </w:tblPrEx>
        <w:trPr>
          <w:trHeight w:val="284" w:hRule="exact"/>
        </w:trPr>
        <w:tc>
          <w:tcPr>
            <w:tcW w:w="1327" w:type="dxa"/>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30199</w:t>
            </w:r>
          </w:p>
        </w:tc>
        <w:tc>
          <w:tcPr>
            <w:tcW w:w="333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其他工资福利支出</w:t>
            </w:r>
          </w:p>
        </w:tc>
        <w:tc>
          <w:tcPr>
            <w:tcW w:w="895"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c>
          <w:tcPr>
            <w:tcW w:w="1082"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30214</w:t>
            </w:r>
          </w:p>
        </w:tc>
        <w:tc>
          <w:tcPr>
            <w:tcW w:w="229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租赁费</w:t>
            </w:r>
          </w:p>
        </w:tc>
        <w:tc>
          <w:tcPr>
            <w:tcW w:w="1060"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c>
          <w:tcPr>
            <w:tcW w:w="80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31011</w:t>
            </w:r>
          </w:p>
        </w:tc>
        <w:tc>
          <w:tcPr>
            <w:tcW w:w="3408"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地上附着物和青苗补偿</w:t>
            </w:r>
          </w:p>
        </w:tc>
        <w:tc>
          <w:tcPr>
            <w:tcW w:w="1350"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r>
      <w:tr>
        <w:tblPrEx>
          <w:tblLayout w:type="fixed"/>
          <w:tblCellMar>
            <w:top w:w="0" w:type="dxa"/>
            <w:left w:w="108" w:type="dxa"/>
            <w:bottom w:w="0" w:type="dxa"/>
            <w:right w:w="108" w:type="dxa"/>
          </w:tblCellMar>
        </w:tblPrEx>
        <w:trPr>
          <w:trHeight w:val="284" w:hRule="exact"/>
        </w:trPr>
        <w:tc>
          <w:tcPr>
            <w:tcW w:w="1327" w:type="dxa"/>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303</w:t>
            </w:r>
          </w:p>
        </w:tc>
        <w:tc>
          <w:tcPr>
            <w:tcW w:w="333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对个人和家庭的补助</w:t>
            </w:r>
          </w:p>
        </w:tc>
        <w:tc>
          <w:tcPr>
            <w:tcW w:w="895"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c>
          <w:tcPr>
            <w:tcW w:w="1082"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30215</w:t>
            </w:r>
          </w:p>
        </w:tc>
        <w:tc>
          <w:tcPr>
            <w:tcW w:w="229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会议费</w:t>
            </w:r>
          </w:p>
        </w:tc>
        <w:tc>
          <w:tcPr>
            <w:tcW w:w="1060"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0.18</w:t>
            </w:r>
          </w:p>
        </w:tc>
        <w:tc>
          <w:tcPr>
            <w:tcW w:w="80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31012</w:t>
            </w:r>
          </w:p>
        </w:tc>
        <w:tc>
          <w:tcPr>
            <w:tcW w:w="3408"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拆迁补偿</w:t>
            </w:r>
          </w:p>
        </w:tc>
        <w:tc>
          <w:tcPr>
            <w:tcW w:w="1350"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r>
      <w:tr>
        <w:tblPrEx>
          <w:tblLayout w:type="fixed"/>
          <w:tblCellMar>
            <w:top w:w="0" w:type="dxa"/>
            <w:left w:w="108" w:type="dxa"/>
            <w:bottom w:w="0" w:type="dxa"/>
            <w:right w:w="108" w:type="dxa"/>
          </w:tblCellMar>
        </w:tblPrEx>
        <w:trPr>
          <w:trHeight w:val="284" w:hRule="exact"/>
        </w:trPr>
        <w:tc>
          <w:tcPr>
            <w:tcW w:w="1327" w:type="dxa"/>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30301</w:t>
            </w:r>
          </w:p>
        </w:tc>
        <w:tc>
          <w:tcPr>
            <w:tcW w:w="333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离休费</w:t>
            </w:r>
          </w:p>
        </w:tc>
        <w:tc>
          <w:tcPr>
            <w:tcW w:w="895"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c>
          <w:tcPr>
            <w:tcW w:w="1082"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30216</w:t>
            </w:r>
          </w:p>
        </w:tc>
        <w:tc>
          <w:tcPr>
            <w:tcW w:w="229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培训费</w:t>
            </w:r>
          </w:p>
        </w:tc>
        <w:tc>
          <w:tcPr>
            <w:tcW w:w="1060"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0.20</w:t>
            </w:r>
          </w:p>
        </w:tc>
        <w:tc>
          <w:tcPr>
            <w:tcW w:w="80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31013</w:t>
            </w:r>
          </w:p>
        </w:tc>
        <w:tc>
          <w:tcPr>
            <w:tcW w:w="3408"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公务用车购置</w:t>
            </w:r>
          </w:p>
        </w:tc>
        <w:tc>
          <w:tcPr>
            <w:tcW w:w="1350"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r>
      <w:tr>
        <w:tblPrEx>
          <w:tblLayout w:type="fixed"/>
          <w:tblCellMar>
            <w:top w:w="0" w:type="dxa"/>
            <w:left w:w="108" w:type="dxa"/>
            <w:bottom w:w="0" w:type="dxa"/>
            <w:right w:w="108" w:type="dxa"/>
          </w:tblCellMar>
        </w:tblPrEx>
        <w:trPr>
          <w:trHeight w:val="284" w:hRule="exact"/>
        </w:trPr>
        <w:tc>
          <w:tcPr>
            <w:tcW w:w="1327" w:type="dxa"/>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30302</w:t>
            </w:r>
          </w:p>
        </w:tc>
        <w:tc>
          <w:tcPr>
            <w:tcW w:w="333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退休费</w:t>
            </w:r>
          </w:p>
        </w:tc>
        <w:tc>
          <w:tcPr>
            <w:tcW w:w="895"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c>
          <w:tcPr>
            <w:tcW w:w="1082"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30217</w:t>
            </w:r>
          </w:p>
        </w:tc>
        <w:tc>
          <w:tcPr>
            <w:tcW w:w="229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公务接待费</w:t>
            </w:r>
          </w:p>
        </w:tc>
        <w:tc>
          <w:tcPr>
            <w:tcW w:w="1060"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0.30</w:t>
            </w:r>
          </w:p>
        </w:tc>
        <w:tc>
          <w:tcPr>
            <w:tcW w:w="80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31019</w:t>
            </w:r>
          </w:p>
        </w:tc>
        <w:tc>
          <w:tcPr>
            <w:tcW w:w="3408"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其他交通工具购置</w:t>
            </w:r>
          </w:p>
        </w:tc>
        <w:tc>
          <w:tcPr>
            <w:tcW w:w="1350"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r>
      <w:tr>
        <w:tblPrEx>
          <w:tblLayout w:type="fixed"/>
          <w:tblCellMar>
            <w:top w:w="0" w:type="dxa"/>
            <w:left w:w="108" w:type="dxa"/>
            <w:bottom w:w="0" w:type="dxa"/>
            <w:right w:w="108" w:type="dxa"/>
          </w:tblCellMar>
        </w:tblPrEx>
        <w:trPr>
          <w:trHeight w:val="284" w:hRule="exact"/>
        </w:trPr>
        <w:tc>
          <w:tcPr>
            <w:tcW w:w="1327" w:type="dxa"/>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30303</w:t>
            </w:r>
          </w:p>
        </w:tc>
        <w:tc>
          <w:tcPr>
            <w:tcW w:w="333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退职（役）费</w:t>
            </w:r>
          </w:p>
        </w:tc>
        <w:tc>
          <w:tcPr>
            <w:tcW w:w="895"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c>
          <w:tcPr>
            <w:tcW w:w="1082"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30218</w:t>
            </w:r>
          </w:p>
        </w:tc>
        <w:tc>
          <w:tcPr>
            <w:tcW w:w="229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专用材料费</w:t>
            </w:r>
          </w:p>
        </w:tc>
        <w:tc>
          <w:tcPr>
            <w:tcW w:w="1060"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c>
          <w:tcPr>
            <w:tcW w:w="80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31021</w:t>
            </w:r>
          </w:p>
        </w:tc>
        <w:tc>
          <w:tcPr>
            <w:tcW w:w="3408"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文物和陈列品购置</w:t>
            </w:r>
          </w:p>
        </w:tc>
        <w:tc>
          <w:tcPr>
            <w:tcW w:w="1350"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r>
      <w:tr>
        <w:tblPrEx>
          <w:tblLayout w:type="fixed"/>
          <w:tblCellMar>
            <w:top w:w="0" w:type="dxa"/>
            <w:left w:w="108" w:type="dxa"/>
            <w:bottom w:w="0" w:type="dxa"/>
            <w:right w:w="108" w:type="dxa"/>
          </w:tblCellMar>
        </w:tblPrEx>
        <w:trPr>
          <w:trHeight w:val="284" w:hRule="exact"/>
        </w:trPr>
        <w:tc>
          <w:tcPr>
            <w:tcW w:w="1327" w:type="dxa"/>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30304</w:t>
            </w:r>
          </w:p>
        </w:tc>
        <w:tc>
          <w:tcPr>
            <w:tcW w:w="333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抚恤金</w:t>
            </w:r>
          </w:p>
        </w:tc>
        <w:tc>
          <w:tcPr>
            <w:tcW w:w="895"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c>
          <w:tcPr>
            <w:tcW w:w="1082"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30224</w:t>
            </w:r>
          </w:p>
        </w:tc>
        <w:tc>
          <w:tcPr>
            <w:tcW w:w="229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被装购置费</w:t>
            </w:r>
          </w:p>
        </w:tc>
        <w:tc>
          <w:tcPr>
            <w:tcW w:w="1060"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c>
          <w:tcPr>
            <w:tcW w:w="80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31022</w:t>
            </w:r>
          </w:p>
        </w:tc>
        <w:tc>
          <w:tcPr>
            <w:tcW w:w="3408"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无形资产购置</w:t>
            </w:r>
          </w:p>
        </w:tc>
        <w:tc>
          <w:tcPr>
            <w:tcW w:w="1350"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r>
      <w:tr>
        <w:tblPrEx>
          <w:tblLayout w:type="fixed"/>
          <w:tblCellMar>
            <w:top w:w="0" w:type="dxa"/>
            <w:left w:w="108" w:type="dxa"/>
            <w:bottom w:w="0" w:type="dxa"/>
            <w:right w:w="108" w:type="dxa"/>
          </w:tblCellMar>
        </w:tblPrEx>
        <w:trPr>
          <w:trHeight w:val="284" w:hRule="exact"/>
        </w:trPr>
        <w:tc>
          <w:tcPr>
            <w:tcW w:w="1327" w:type="dxa"/>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30305</w:t>
            </w:r>
          </w:p>
        </w:tc>
        <w:tc>
          <w:tcPr>
            <w:tcW w:w="333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生活补助</w:t>
            </w:r>
          </w:p>
        </w:tc>
        <w:tc>
          <w:tcPr>
            <w:tcW w:w="895"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c>
          <w:tcPr>
            <w:tcW w:w="1082"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30225</w:t>
            </w:r>
          </w:p>
        </w:tc>
        <w:tc>
          <w:tcPr>
            <w:tcW w:w="229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专用燃料费</w:t>
            </w:r>
          </w:p>
        </w:tc>
        <w:tc>
          <w:tcPr>
            <w:tcW w:w="1060"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c>
          <w:tcPr>
            <w:tcW w:w="80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31099</w:t>
            </w:r>
          </w:p>
        </w:tc>
        <w:tc>
          <w:tcPr>
            <w:tcW w:w="3408"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其他资本性支出</w:t>
            </w:r>
          </w:p>
        </w:tc>
        <w:tc>
          <w:tcPr>
            <w:tcW w:w="1350"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r>
      <w:tr>
        <w:tblPrEx>
          <w:tblLayout w:type="fixed"/>
          <w:tblCellMar>
            <w:top w:w="0" w:type="dxa"/>
            <w:left w:w="108" w:type="dxa"/>
            <w:bottom w:w="0" w:type="dxa"/>
            <w:right w:w="108" w:type="dxa"/>
          </w:tblCellMar>
        </w:tblPrEx>
        <w:trPr>
          <w:trHeight w:val="284" w:hRule="exact"/>
        </w:trPr>
        <w:tc>
          <w:tcPr>
            <w:tcW w:w="1327" w:type="dxa"/>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30306</w:t>
            </w:r>
          </w:p>
        </w:tc>
        <w:tc>
          <w:tcPr>
            <w:tcW w:w="333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救济费</w:t>
            </w:r>
          </w:p>
        </w:tc>
        <w:tc>
          <w:tcPr>
            <w:tcW w:w="895"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c>
          <w:tcPr>
            <w:tcW w:w="1082"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30226</w:t>
            </w:r>
          </w:p>
        </w:tc>
        <w:tc>
          <w:tcPr>
            <w:tcW w:w="229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劳务费</w:t>
            </w:r>
          </w:p>
        </w:tc>
        <w:tc>
          <w:tcPr>
            <w:tcW w:w="1060"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0.72</w:t>
            </w:r>
          </w:p>
        </w:tc>
        <w:tc>
          <w:tcPr>
            <w:tcW w:w="80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399</w:t>
            </w:r>
          </w:p>
        </w:tc>
        <w:tc>
          <w:tcPr>
            <w:tcW w:w="3408"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其他支出</w:t>
            </w:r>
          </w:p>
        </w:tc>
        <w:tc>
          <w:tcPr>
            <w:tcW w:w="1350"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r>
      <w:tr>
        <w:tblPrEx>
          <w:tblLayout w:type="fixed"/>
          <w:tblCellMar>
            <w:top w:w="0" w:type="dxa"/>
            <w:left w:w="108" w:type="dxa"/>
            <w:bottom w:w="0" w:type="dxa"/>
            <w:right w:w="108" w:type="dxa"/>
          </w:tblCellMar>
        </w:tblPrEx>
        <w:trPr>
          <w:trHeight w:val="284" w:hRule="exact"/>
        </w:trPr>
        <w:tc>
          <w:tcPr>
            <w:tcW w:w="1327" w:type="dxa"/>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30307</w:t>
            </w:r>
          </w:p>
        </w:tc>
        <w:tc>
          <w:tcPr>
            <w:tcW w:w="333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医疗费补助</w:t>
            </w:r>
          </w:p>
        </w:tc>
        <w:tc>
          <w:tcPr>
            <w:tcW w:w="895"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c>
          <w:tcPr>
            <w:tcW w:w="1082"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30227</w:t>
            </w:r>
          </w:p>
        </w:tc>
        <w:tc>
          <w:tcPr>
            <w:tcW w:w="229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委托业务费</w:t>
            </w:r>
          </w:p>
        </w:tc>
        <w:tc>
          <w:tcPr>
            <w:tcW w:w="1060"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c>
          <w:tcPr>
            <w:tcW w:w="80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39906</w:t>
            </w:r>
          </w:p>
        </w:tc>
        <w:tc>
          <w:tcPr>
            <w:tcW w:w="3408"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赠与</w:t>
            </w:r>
          </w:p>
        </w:tc>
        <w:tc>
          <w:tcPr>
            <w:tcW w:w="1350"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r>
      <w:tr>
        <w:tblPrEx>
          <w:tblLayout w:type="fixed"/>
          <w:tblCellMar>
            <w:top w:w="0" w:type="dxa"/>
            <w:left w:w="108" w:type="dxa"/>
            <w:bottom w:w="0" w:type="dxa"/>
            <w:right w:w="108" w:type="dxa"/>
          </w:tblCellMar>
        </w:tblPrEx>
        <w:trPr>
          <w:trHeight w:val="284" w:hRule="exact"/>
        </w:trPr>
        <w:tc>
          <w:tcPr>
            <w:tcW w:w="1327" w:type="dxa"/>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30308</w:t>
            </w:r>
          </w:p>
        </w:tc>
        <w:tc>
          <w:tcPr>
            <w:tcW w:w="333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助学金</w:t>
            </w:r>
          </w:p>
        </w:tc>
        <w:tc>
          <w:tcPr>
            <w:tcW w:w="895"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c>
          <w:tcPr>
            <w:tcW w:w="1082"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30228</w:t>
            </w:r>
          </w:p>
        </w:tc>
        <w:tc>
          <w:tcPr>
            <w:tcW w:w="229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工会经费</w:t>
            </w:r>
          </w:p>
        </w:tc>
        <w:tc>
          <w:tcPr>
            <w:tcW w:w="1060"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1.30</w:t>
            </w:r>
          </w:p>
        </w:tc>
        <w:tc>
          <w:tcPr>
            <w:tcW w:w="80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39907</w:t>
            </w:r>
          </w:p>
        </w:tc>
        <w:tc>
          <w:tcPr>
            <w:tcW w:w="3408"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国家赔偿费用支出</w:t>
            </w:r>
          </w:p>
        </w:tc>
        <w:tc>
          <w:tcPr>
            <w:tcW w:w="1350"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r>
      <w:tr>
        <w:tblPrEx>
          <w:tblLayout w:type="fixed"/>
          <w:tblCellMar>
            <w:top w:w="0" w:type="dxa"/>
            <w:left w:w="108" w:type="dxa"/>
            <w:bottom w:w="0" w:type="dxa"/>
            <w:right w:w="108" w:type="dxa"/>
          </w:tblCellMar>
        </w:tblPrEx>
        <w:trPr>
          <w:trHeight w:val="284" w:hRule="exact"/>
        </w:trPr>
        <w:tc>
          <w:tcPr>
            <w:tcW w:w="1327" w:type="dxa"/>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30309</w:t>
            </w:r>
          </w:p>
        </w:tc>
        <w:tc>
          <w:tcPr>
            <w:tcW w:w="333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奖励金</w:t>
            </w:r>
          </w:p>
        </w:tc>
        <w:tc>
          <w:tcPr>
            <w:tcW w:w="895"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c>
          <w:tcPr>
            <w:tcW w:w="1082"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30229</w:t>
            </w:r>
          </w:p>
        </w:tc>
        <w:tc>
          <w:tcPr>
            <w:tcW w:w="229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福利费</w:t>
            </w:r>
          </w:p>
        </w:tc>
        <w:tc>
          <w:tcPr>
            <w:tcW w:w="1060"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c>
          <w:tcPr>
            <w:tcW w:w="80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39908</w:t>
            </w:r>
          </w:p>
        </w:tc>
        <w:tc>
          <w:tcPr>
            <w:tcW w:w="3408"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对民间非营利组织和群众性自治组织补贴</w:t>
            </w:r>
          </w:p>
        </w:tc>
        <w:tc>
          <w:tcPr>
            <w:tcW w:w="1350"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r>
      <w:tr>
        <w:tblPrEx>
          <w:tblLayout w:type="fixed"/>
          <w:tblCellMar>
            <w:top w:w="0" w:type="dxa"/>
            <w:left w:w="108" w:type="dxa"/>
            <w:bottom w:w="0" w:type="dxa"/>
            <w:right w:w="108" w:type="dxa"/>
          </w:tblCellMar>
        </w:tblPrEx>
        <w:trPr>
          <w:trHeight w:val="284" w:hRule="exact"/>
        </w:trPr>
        <w:tc>
          <w:tcPr>
            <w:tcW w:w="1327" w:type="dxa"/>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30310</w:t>
            </w:r>
          </w:p>
        </w:tc>
        <w:tc>
          <w:tcPr>
            <w:tcW w:w="333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个人农业生产补贴</w:t>
            </w:r>
          </w:p>
        </w:tc>
        <w:tc>
          <w:tcPr>
            <w:tcW w:w="895"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c>
          <w:tcPr>
            <w:tcW w:w="1082"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30231</w:t>
            </w:r>
          </w:p>
        </w:tc>
        <w:tc>
          <w:tcPr>
            <w:tcW w:w="229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公务用车运行维护费</w:t>
            </w:r>
          </w:p>
        </w:tc>
        <w:tc>
          <w:tcPr>
            <w:tcW w:w="1060"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c>
          <w:tcPr>
            <w:tcW w:w="80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39999</w:t>
            </w:r>
          </w:p>
        </w:tc>
        <w:tc>
          <w:tcPr>
            <w:tcW w:w="3408"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其他支出</w:t>
            </w:r>
          </w:p>
        </w:tc>
        <w:tc>
          <w:tcPr>
            <w:tcW w:w="1350"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r>
      <w:tr>
        <w:tblPrEx>
          <w:tblLayout w:type="fixed"/>
          <w:tblCellMar>
            <w:top w:w="0" w:type="dxa"/>
            <w:left w:w="108" w:type="dxa"/>
            <w:bottom w:w="0" w:type="dxa"/>
            <w:right w:w="108" w:type="dxa"/>
          </w:tblCellMar>
        </w:tblPrEx>
        <w:trPr>
          <w:trHeight w:val="284" w:hRule="exact"/>
        </w:trPr>
        <w:tc>
          <w:tcPr>
            <w:tcW w:w="1327" w:type="dxa"/>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30311</w:t>
            </w:r>
          </w:p>
        </w:tc>
        <w:tc>
          <w:tcPr>
            <w:tcW w:w="333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代缴社会保险费</w:t>
            </w:r>
          </w:p>
        </w:tc>
        <w:tc>
          <w:tcPr>
            <w:tcW w:w="895"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c>
          <w:tcPr>
            <w:tcW w:w="1082"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30239</w:t>
            </w:r>
          </w:p>
        </w:tc>
        <w:tc>
          <w:tcPr>
            <w:tcW w:w="229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其他交通费用</w:t>
            </w:r>
          </w:p>
        </w:tc>
        <w:tc>
          <w:tcPr>
            <w:tcW w:w="1060"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1.48</w:t>
            </w:r>
          </w:p>
        </w:tc>
        <w:tc>
          <w:tcPr>
            <w:tcW w:w="805" w:type="dxa"/>
            <w:tcBorders>
              <w:top w:val="nil"/>
              <w:left w:val="nil"/>
              <w:bottom w:val="single" w:color="auto" w:sz="4" w:space="0"/>
              <w:right w:val="single" w:color="auto" w:sz="4" w:space="0"/>
            </w:tcBorders>
            <w:shd w:val="clear" w:color="auto" w:fill="auto"/>
            <w:noWrap/>
            <w:vAlign w:val="center"/>
          </w:tcPr>
          <w:p>
            <w:pPr>
              <w:jc w:val="left"/>
              <w:rPr>
                <w:rFonts w:ascii="宋体" w:hAnsi="宋体" w:eastAsia="宋体" w:cs="宋体"/>
                <w:color w:val="000000"/>
                <w:kern w:val="0"/>
                <w:szCs w:val="18"/>
              </w:rPr>
            </w:pPr>
          </w:p>
        </w:tc>
        <w:tc>
          <w:tcPr>
            <w:tcW w:w="3408" w:type="dxa"/>
            <w:tcBorders>
              <w:top w:val="nil"/>
              <w:left w:val="nil"/>
              <w:bottom w:val="single" w:color="auto" w:sz="4" w:space="0"/>
              <w:right w:val="single" w:color="auto" w:sz="4" w:space="0"/>
            </w:tcBorders>
            <w:shd w:val="clear" w:color="auto" w:fill="auto"/>
            <w:noWrap/>
            <w:vAlign w:val="center"/>
          </w:tcPr>
          <w:p>
            <w:pPr>
              <w:jc w:val="left"/>
              <w:rPr>
                <w:rFonts w:ascii="宋体" w:hAnsi="宋体" w:eastAsia="宋体" w:cs="宋体"/>
                <w:color w:val="000000"/>
                <w:kern w:val="0"/>
                <w:szCs w:val="18"/>
              </w:rPr>
            </w:pPr>
          </w:p>
        </w:tc>
        <w:tc>
          <w:tcPr>
            <w:tcW w:w="1350"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r>
      <w:tr>
        <w:tblPrEx>
          <w:tblLayout w:type="fixed"/>
          <w:tblCellMar>
            <w:top w:w="0" w:type="dxa"/>
            <w:left w:w="108" w:type="dxa"/>
            <w:bottom w:w="0" w:type="dxa"/>
            <w:right w:w="108" w:type="dxa"/>
          </w:tblCellMar>
        </w:tblPrEx>
        <w:trPr>
          <w:trHeight w:val="284" w:hRule="exact"/>
        </w:trPr>
        <w:tc>
          <w:tcPr>
            <w:tcW w:w="1327" w:type="dxa"/>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30399</w:t>
            </w:r>
          </w:p>
        </w:tc>
        <w:tc>
          <w:tcPr>
            <w:tcW w:w="333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其他对个人和家庭的补助</w:t>
            </w:r>
          </w:p>
        </w:tc>
        <w:tc>
          <w:tcPr>
            <w:tcW w:w="895"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c>
          <w:tcPr>
            <w:tcW w:w="1082"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30240</w:t>
            </w:r>
          </w:p>
        </w:tc>
        <w:tc>
          <w:tcPr>
            <w:tcW w:w="229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税金及附加费用</w:t>
            </w:r>
          </w:p>
        </w:tc>
        <w:tc>
          <w:tcPr>
            <w:tcW w:w="1060"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c>
          <w:tcPr>
            <w:tcW w:w="805" w:type="dxa"/>
            <w:tcBorders>
              <w:top w:val="nil"/>
              <w:left w:val="nil"/>
              <w:bottom w:val="single" w:color="auto" w:sz="4" w:space="0"/>
              <w:right w:val="single" w:color="auto" w:sz="4" w:space="0"/>
            </w:tcBorders>
            <w:shd w:val="clear" w:color="auto" w:fill="auto"/>
            <w:noWrap/>
            <w:vAlign w:val="center"/>
          </w:tcPr>
          <w:p>
            <w:pPr>
              <w:jc w:val="left"/>
              <w:rPr>
                <w:rFonts w:ascii="宋体" w:hAnsi="宋体" w:eastAsia="宋体" w:cs="宋体"/>
                <w:color w:val="000000"/>
                <w:kern w:val="0"/>
                <w:szCs w:val="18"/>
              </w:rPr>
            </w:pPr>
          </w:p>
        </w:tc>
        <w:tc>
          <w:tcPr>
            <w:tcW w:w="3408" w:type="dxa"/>
            <w:tcBorders>
              <w:top w:val="nil"/>
              <w:left w:val="nil"/>
              <w:bottom w:val="single" w:color="auto" w:sz="4" w:space="0"/>
              <w:right w:val="single" w:color="auto" w:sz="4" w:space="0"/>
            </w:tcBorders>
            <w:shd w:val="clear" w:color="auto" w:fill="auto"/>
            <w:noWrap/>
            <w:vAlign w:val="center"/>
          </w:tcPr>
          <w:p>
            <w:pPr>
              <w:jc w:val="left"/>
              <w:rPr>
                <w:rFonts w:ascii="宋体" w:hAnsi="宋体" w:eastAsia="宋体" w:cs="宋体"/>
                <w:color w:val="000000"/>
                <w:kern w:val="0"/>
                <w:szCs w:val="18"/>
              </w:rPr>
            </w:pPr>
          </w:p>
        </w:tc>
        <w:tc>
          <w:tcPr>
            <w:tcW w:w="1350"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r>
      <w:tr>
        <w:tblPrEx>
          <w:tblLayout w:type="fixed"/>
          <w:tblCellMar>
            <w:top w:w="0" w:type="dxa"/>
            <w:left w:w="108" w:type="dxa"/>
            <w:bottom w:w="0" w:type="dxa"/>
            <w:right w:w="108" w:type="dxa"/>
          </w:tblCellMar>
        </w:tblPrEx>
        <w:trPr>
          <w:trHeight w:val="284" w:hRule="exact"/>
        </w:trPr>
        <w:tc>
          <w:tcPr>
            <w:tcW w:w="1327" w:type="dxa"/>
            <w:tcBorders>
              <w:top w:val="nil"/>
              <w:left w:val="single" w:color="auto" w:sz="4" w:space="0"/>
              <w:bottom w:val="single" w:color="auto" w:sz="4" w:space="0"/>
              <w:right w:val="single" w:color="auto" w:sz="4" w:space="0"/>
            </w:tcBorders>
            <w:shd w:val="clear" w:color="auto" w:fill="auto"/>
            <w:noWrap/>
            <w:vAlign w:val="center"/>
          </w:tcPr>
          <w:p>
            <w:pPr>
              <w:jc w:val="left"/>
              <w:rPr>
                <w:rFonts w:ascii="宋体" w:hAnsi="宋体" w:eastAsia="宋体" w:cs="宋体"/>
                <w:color w:val="000000"/>
                <w:kern w:val="0"/>
                <w:szCs w:val="20"/>
              </w:rPr>
            </w:pPr>
          </w:p>
        </w:tc>
        <w:tc>
          <w:tcPr>
            <w:tcW w:w="3335" w:type="dxa"/>
            <w:tcBorders>
              <w:top w:val="nil"/>
              <w:left w:val="nil"/>
              <w:bottom w:val="single" w:color="auto" w:sz="4" w:space="0"/>
              <w:right w:val="single" w:color="auto" w:sz="4" w:space="0"/>
            </w:tcBorders>
            <w:shd w:val="clear" w:color="auto" w:fill="auto"/>
            <w:noWrap/>
            <w:vAlign w:val="center"/>
          </w:tcPr>
          <w:p>
            <w:pPr>
              <w:jc w:val="left"/>
              <w:rPr>
                <w:rFonts w:ascii="宋体" w:hAnsi="宋体" w:eastAsia="宋体" w:cs="宋体"/>
                <w:color w:val="000000"/>
                <w:kern w:val="0"/>
                <w:szCs w:val="20"/>
              </w:rPr>
            </w:pPr>
          </w:p>
        </w:tc>
        <w:tc>
          <w:tcPr>
            <w:tcW w:w="895"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c>
          <w:tcPr>
            <w:tcW w:w="1082"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30299</w:t>
            </w:r>
          </w:p>
        </w:tc>
        <w:tc>
          <w:tcPr>
            <w:tcW w:w="229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其他商品和服务支出</w:t>
            </w:r>
          </w:p>
        </w:tc>
        <w:tc>
          <w:tcPr>
            <w:tcW w:w="1060"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color w:val="000000"/>
                <w:kern w:val="0"/>
                <w:szCs w:val="20"/>
                <w:lang w:val="en-US"/>
              </w:rPr>
            </w:pPr>
            <w:r>
              <w:rPr>
                <w:rFonts w:hint="eastAsia" w:ascii="宋体" w:hAnsi="宋体" w:eastAsia="宋体" w:cs="宋体"/>
                <w:i w:val="0"/>
                <w:iCs w:val="0"/>
                <w:color w:val="000000"/>
                <w:kern w:val="0"/>
                <w:sz w:val="22"/>
                <w:szCs w:val="22"/>
                <w:u w:val="none"/>
                <w:lang w:val="en-US" w:eastAsia="zh-CN" w:bidi="ar"/>
              </w:rPr>
              <w:t>0.30</w:t>
            </w:r>
          </w:p>
        </w:tc>
        <w:tc>
          <w:tcPr>
            <w:tcW w:w="805" w:type="dxa"/>
            <w:tcBorders>
              <w:top w:val="nil"/>
              <w:left w:val="nil"/>
              <w:bottom w:val="single" w:color="auto" w:sz="4" w:space="0"/>
              <w:right w:val="single" w:color="auto" w:sz="4" w:space="0"/>
            </w:tcBorders>
            <w:shd w:val="clear" w:color="auto" w:fill="auto"/>
            <w:noWrap/>
            <w:vAlign w:val="center"/>
          </w:tcPr>
          <w:p>
            <w:pPr>
              <w:jc w:val="left"/>
              <w:rPr>
                <w:rFonts w:ascii="宋体" w:hAnsi="宋体" w:eastAsia="宋体" w:cs="宋体"/>
                <w:color w:val="000000"/>
                <w:kern w:val="0"/>
                <w:szCs w:val="18"/>
              </w:rPr>
            </w:pPr>
          </w:p>
        </w:tc>
        <w:tc>
          <w:tcPr>
            <w:tcW w:w="3408" w:type="dxa"/>
            <w:tcBorders>
              <w:top w:val="nil"/>
              <w:left w:val="nil"/>
              <w:bottom w:val="single" w:color="auto" w:sz="4" w:space="0"/>
              <w:right w:val="single" w:color="auto" w:sz="4" w:space="0"/>
            </w:tcBorders>
            <w:shd w:val="clear" w:color="auto" w:fill="auto"/>
            <w:noWrap/>
            <w:vAlign w:val="center"/>
          </w:tcPr>
          <w:p>
            <w:pPr>
              <w:jc w:val="left"/>
              <w:rPr>
                <w:rFonts w:ascii="宋体" w:hAnsi="宋体" w:eastAsia="宋体" w:cs="宋体"/>
                <w:color w:val="000000"/>
                <w:kern w:val="0"/>
                <w:szCs w:val="18"/>
              </w:rPr>
            </w:pPr>
          </w:p>
        </w:tc>
        <w:tc>
          <w:tcPr>
            <w:tcW w:w="1350"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r>
      <w:tr>
        <w:tblPrEx>
          <w:tblLayout w:type="fixed"/>
          <w:tblCellMar>
            <w:top w:w="0" w:type="dxa"/>
            <w:left w:w="108" w:type="dxa"/>
            <w:bottom w:w="0" w:type="dxa"/>
            <w:right w:w="108" w:type="dxa"/>
          </w:tblCellMar>
        </w:tblPrEx>
        <w:trPr>
          <w:trHeight w:val="284" w:hRule="exact"/>
        </w:trPr>
        <w:tc>
          <w:tcPr>
            <w:tcW w:w="4662"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人员经费合计</w:t>
            </w:r>
          </w:p>
        </w:tc>
        <w:tc>
          <w:tcPr>
            <w:tcW w:w="89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40.22</w:t>
            </w:r>
          </w:p>
        </w:tc>
        <w:tc>
          <w:tcPr>
            <w:tcW w:w="8650" w:type="dxa"/>
            <w:gridSpan w:val="5"/>
            <w:tcBorders>
              <w:top w:val="single" w:color="auto" w:sz="4" w:space="0"/>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公用经费合计</w:t>
            </w:r>
          </w:p>
        </w:tc>
        <w:tc>
          <w:tcPr>
            <w:tcW w:w="1350"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color w:val="000000"/>
                <w:kern w:val="0"/>
                <w:szCs w:val="18"/>
                <w:lang w:val="en-US"/>
              </w:rPr>
            </w:pPr>
            <w:r>
              <w:rPr>
                <w:rFonts w:hint="eastAsia" w:ascii="宋体" w:hAnsi="宋体" w:eastAsia="宋体" w:cs="宋体"/>
                <w:i w:val="0"/>
                <w:iCs w:val="0"/>
                <w:color w:val="000000"/>
                <w:kern w:val="0"/>
                <w:sz w:val="22"/>
                <w:szCs w:val="22"/>
                <w:u w:val="none"/>
                <w:lang w:val="en-US" w:eastAsia="zh-CN" w:bidi="ar"/>
              </w:rPr>
              <w:t>6.48</w:t>
            </w:r>
          </w:p>
        </w:tc>
      </w:tr>
      <w:tr>
        <w:tblPrEx>
          <w:tblLayout w:type="fixed"/>
          <w:tblCellMar>
            <w:top w:w="0" w:type="dxa"/>
            <w:left w:w="108" w:type="dxa"/>
            <w:bottom w:w="0" w:type="dxa"/>
            <w:right w:w="108" w:type="dxa"/>
          </w:tblCellMar>
        </w:tblPrEx>
        <w:trPr>
          <w:trHeight w:val="284" w:hRule="exact"/>
        </w:trPr>
        <w:tc>
          <w:tcPr>
            <w:tcW w:w="15557" w:type="dxa"/>
            <w:gridSpan w:val="9"/>
            <w:tcBorders>
              <w:top w:val="nil"/>
              <w:left w:val="nil"/>
              <w:bottom w:val="nil"/>
              <w:right w:val="nil"/>
            </w:tcBorders>
            <w:shd w:val="clear" w:color="auto" w:fill="auto"/>
            <w:noWrap/>
            <w:vAlign w:val="center"/>
          </w:tcPr>
          <w:p>
            <w:pPr>
              <w:widowControl/>
              <w:jc w:val="left"/>
              <w:rPr>
                <w:rFonts w:ascii="宋体" w:hAnsi="宋体" w:eastAsia="宋体" w:cs="宋体"/>
                <w:color w:val="000000"/>
                <w:kern w:val="0"/>
                <w:szCs w:val="24"/>
              </w:rPr>
            </w:pPr>
            <w:r>
              <w:rPr>
                <w:rFonts w:hint="eastAsia" w:ascii="宋体" w:hAnsi="宋体" w:eastAsia="宋体" w:cs="宋体"/>
                <w:color w:val="000000"/>
                <w:kern w:val="0"/>
                <w:szCs w:val="24"/>
              </w:rPr>
              <w:t>注：本表反映部门本年度一般公共预算财政拨款基本支出明细情况。</w:t>
            </w:r>
          </w:p>
        </w:tc>
      </w:tr>
    </w:tbl>
    <w:p>
      <w:pPr>
        <w:widowControl/>
        <w:jc w:val="center"/>
        <w:rPr>
          <w:rFonts w:ascii="Times New Roman" w:hAnsi="Times New Roman" w:eastAsia="方正小标宋_GBK" w:cs="Times New Roman"/>
          <w:color w:val="000000"/>
          <w:kern w:val="0"/>
          <w:sz w:val="36"/>
          <w:szCs w:val="36"/>
        </w:rPr>
      </w:pPr>
      <w:r>
        <w:rPr>
          <w:rFonts w:hint="eastAsia" w:ascii="Times New Roman" w:hAnsi="Times New Roman" w:eastAsia="方正小标宋_GBK" w:cs="Times New Roman"/>
          <w:color w:val="000000"/>
          <w:kern w:val="0"/>
          <w:sz w:val="36"/>
          <w:szCs w:val="36"/>
        </w:rPr>
        <w:t>一般公共预算财政拨款“三公”经费支出决算表</w:t>
      </w:r>
    </w:p>
    <w:p>
      <w:pPr>
        <w:widowControl/>
        <w:jc w:val="lef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部门：                                                                                                               </w:t>
      </w: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       公开0</w:t>
      </w:r>
      <w:r>
        <w:rPr>
          <w:rFonts w:hint="eastAsia" w:ascii="Times New Roman" w:hAnsi="Times New Roman" w:eastAsia="仿宋_GB2312" w:cs="Times New Roman"/>
          <w:color w:val="000000"/>
          <w:kern w:val="0"/>
          <w:szCs w:val="21"/>
        </w:rPr>
        <w:t>7</w:t>
      </w:r>
      <w:r>
        <w:rPr>
          <w:rFonts w:ascii="Times New Roman" w:hAnsi="Times New Roman" w:eastAsia="仿宋_GB2312" w:cs="Times New Roman"/>
          <w:color w:val="000000"/>
          <w:kern w:val="0"/>
          <w:szCs w:val="21"/>
        </w:rPr>
        <w:t>表</w:t>
      </w:r>
    </w:p>
    <w:p>
      <w:pPr>
        <w:widowControl/>
        <w:ind w:right="420"/>
        <w:jc w:val="righ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单位：万元</w:t>
      </w:r>
    </w:p>
    <w:tbl>
      <w:tblPr>
        <w:tblStyle w:val="5"/>
        <w:tblW w:w="14640" w:type="dxa"/>
        <w:jc w:val="center"/>
        <w:tblInd w:w="0" w:type="dxa"/>
        <w:tblLayout w:type="fixed"/>
        <w:tblCellMar>
          <w:top w:w="0" w:type="dxa"/>
          <w:left w:w="108" w:type="dxa"/>
          <w:bottom w:w="0" w:type="dxa"/>
          <w:right w:w="108" w:type="dxa"/>
        </w:tblCellMar>
      </w:tblPr>
      <w:tblGrid>
        <w:gridCol w:w="1220"/>
        <w:gridCol w:w="1220"/>
        <w:gridCol w:w="1220"/>
        <w:gridCol w:w="1220"/>
        <w:gridCol w:w="1220"/>
        <w:gridCol w:w="1220"/>
        <w:gridCol w:w="1220"/>
        <w:gridCol w:w="1220"/>
        <w:gridCol w:w="1220"/>
        <w:gridCol w:w="1220"/>
        <w:gridCol w:w="1220"/>
        <w:gridCol w:w="1220"/>
      </w:tblGrid>
      <w:tr>
        <w:tblPrEx>
          <w:tblLayout w:type="fixed"/>
          <w:tblCellMar>
            <w:top w:w="0" w:type="dxa"/>
            <w:left w:w="108" w:type="dxa"/>
            <w:bottom w:w="0" w:type="dxa"/>
            <w:right w:w="108" w:type="dxa"/>
          </w:tblCellMar>
        </w:tblPrEx>
        <w:trPr>
          <w:trHeight w:val="397" w:hRule="atLeast"/>
          <w:jc w:val="center"/>
        </w:trPr>
        <w:tc>
          <w:tcPr>
            <w:tcW w:w="7320" w:type="dxa"/>
            <w:gridSpan w:val="6"/>
            <w:tcBorders>
              <w:top w:val="single" w:color="auto" w:sz="8" w:space="0"/>
              <w:left w:val="single" w:color="auto" w:sz="8" w:space="0"/>
              <w:bottom w:val="single" w:color="auto" w:sz="4" w:space="0"/>
              <w:right w:val="single" w:color="000000"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预算数</w:t>
            </w:r>
          </w:p>
        </w:tc>
        <w:tc>
          <w:tcPr>
            <w:tcW w:w="7320" w:type="dxa"/>
            <w:gridSpan w:val="6"/>
            <w:tcBorders>
              <w:top w:val="single" w:color="auto" w:sz="8" w:space="0"/>
              <w:left w:val="nil"/>
              <w:bottom w:val="single" w:color="auto" w:sz="4" w:space="0"/>
              <w:right w:val="single" w:color="000000" w:sz="8"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决算数</w:t>
            </w:r>
          </w:p>
        </w:tc>
      </w:tr>
      <w:tr>
        <w:tblPrEx>
          <w:tblLayout w:type="fixed"/>
          <w:tblCellMar>
            <w:top w:w="0" w:type="dxa"/>
            <w:left w:w="108" w:type="dxa"/>
            <w:bottom w:w="0" w:type="dxa"/>
            <w:right w:w="108" w:type="dxa"/>
          </w:tblCellMar>
        </w:tblPrEx>
        <w:trPr>
          <w:trHeight w:val="397" w:hRule="atLeast"/>
          <w:jc w:val="center"/>
        </w:trPr>
        <w:tc>
          <w:tcPr>
            <w:tcW w:w="1220" w:type="dxa"/>
            <w:vMerge w:val="restart"/>
            <w:tcBorders>
              <w:top w:val="nil"/>
              <w:left w:val="single" w:color="auto" w:sz="8" w:space="0"/>
              <w:bottom w:val="single" w:color="000000"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1220"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因公出国（境）费</w:t>
            </w:r>
          </w:p>
        </w:tc>
        <w:tc>
          <w:tcPr>
            <w:tcW w:w="3660" w:type="dxa"/>
            <w:gridSpan w:val="3"/>
            <w:tcBorders>
              <w:top w:val="single" w:color="auto" w:sz="4" w:space="0"/>
              <w:left w:val="nil"/>
              <w:bottom w:val="single" w:color="auto" w:sz="4" w:space="0"/>
              <w:right w:val="single" w:color="000000"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公务用车购置及运行费</w:t>
            </w:r>
          </w:p>
        </w:tc>
        <w:tc>
          <w:tcPr>
            <w:tcW w:w="1220"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公务</w:t>
            </w:r>
          </w:p>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接待费</w:t>
            </w:r>
          </w:p>
        </w:tc>
        <w:tc>
          <w:tcPr>
            <w:tcW w:w="1220" w:type="dxa"/>
            <w:vMerge w:val="restart"/>
            <w:tcBorders>
              <w:top w:val="nil"/>
              <w:left w:val="nil"/>
              <w:bottom w:val="single" w:color="000000"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1220"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因公出国（境）费</w:t>
            </w:r>
          </w:p>
        </w:tc>
        <w:tc>
          <w:tcPr>
            <w:tcW w:w="3660" w:type="dxa"/>
            <w:gridSpan w:val="3"/>
            <w:tcBorders>
              <w:top w:val="single" w:color="auto" w:sz="4" w:space="0"/>
              <w:left w:val="nil"/>
              <w:bottom w:val="single" w:color="auto" w:sz="4" w:space="0"/>
              <w:right w:val="single" w:color="000000"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公务用车购置及运行费</w:t>
            </w:r>
          </w:p>
        </w:tc>
        <w:tc>
          <w:tcPr>
            <w:tcW w:w="1220" w:type="dxa"/>
            <w:vMerge w:val="restart"/>
            <w:tcBorders>
              <w:top w:val="nil"/>
              <w:left w:val="single" w:color="auto" w:sz="4" w:space="0"/>
              <w:bottom w:val="single" w:color="000000" w:sz="4" w:space="0"/>
              <w:right w:val="single" w:color="auto" w:sz="8"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公务</w:t>
            </w:r>
          </w:p>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接待费</w:t>
            </w:r>
          </w:p>
        </w:tc>
      </w:tr>
      <w:tr>
        <w:tblPrEx>
          <w:tblLayout w:type="fixed"/>
          <w:tblCellMar>
            <w:top w:w="0" w:type="dxa"/>
            <w:left w:w="108" w:type="dxa"/>
            <w:bottom w:w="0" w:type="dxa"/>
            <w:right w:w="108" w:type="dxa"/>
          </w:tblCellMar>
        </w:tblPrEx>
        <w:trPr>
          <w:trHeight w:val="397" w:hRule="atLeast"/>
          <w:jc w:val="center"/>
        </w:trPr>
        <w:tc>
          <w:tcPr>
            <w:tcW w:w="1220" w:type="dxa"/>
            <w:vMerge w:val="continue"/>
            <w:tcBorders>
              <w:top w:val="nil"/>
              <w:left w:val="single" w:color="auto" w:sz="8"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1220"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122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小计</w:t>
            </w:r>
          </w:p>
        </w:tc>
        <w:tc>
          <w:tcPr>
            <w:tcW w:w="1220" w:type="dxa"/>
            <w:tcBorders>
              <w:top w:val="nil"/>
              <w:left w:val="nil"/>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kern w:val="0"/>
                <w:szCs w:val="21"/>
                <w:lang w:eastAsia="zh-CN"/>
              </w:rPr>
            </w:pPr>
            <w:r>
              <w:rPr>
                <w:rFonts w:ascii="Times New Roman" w:hAnsi="Times New Roman" w:eastAsia="仿宋_GB2312" w:cs="Times New Roman"/>
                <w:kern w:val="0"/>
                <w:szCs w:val="21"/>
              </w:rPr>
              <w:t>公务用车</w:t>
            </w:r>
          </w:p>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购置费</w:t>
            </w:r>
          </w:p>
        </w:tc>
        <w:tc>
          <w:tcPr>
            <w:tcW w:w="1220" w:type="dxa"/>
            <w:tcBorders>
              <w:top w:val="nil"/>
              <w:left w:val="nil"/>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kern w:val="0"/>
                <w:szCs w:val="21"/>
                <w:lang w:eastAsia="zh-CN"/>
              </w:rPr>
            </w:pPr>
            <w:r>
              <w:rPr>
                <w:rFonts w:ascii="Times New Roman" w:hAnsi="Times New Roman" w:eastAsia="仿宋_GB2312" w:cs="Times New Roman"/>
                <w:kern w:val="0"/>
                <w:szCs w:val="21"/>
              </w:rPr>
              <w:t>公务用车</w:t>
            </w:r>
          </w:p>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运行费</w:t>
            </w:r>
          </w:p>
        </w:tc>
        <w:tc>
          <w:tcPr>
            <w:tcW w:w="1220"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1220" w:type="dxa"/>
            <w:vMerge w:val="continue"/>
            <w:tcBorders>
              <w:top w:val="nil"/>
              <w:left w:val="nil"/>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1220"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122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小计</w:t>
            </w:r>
          </w:p>
        </w:tc>
        <w:tc>
          <w:tcPr>
            <w:tcW w:w="1220" w:type="dxa"/>
            <w:tcBorders>
              <w:top w:val="nil"/>
              <w:left w:val="nil"/>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kern w:val="0"/>
                <w:szCs w:val="21"/>
                <w:lang w:eastAsia="zh-CN"/>
              </w:rPr>
            </w:pPr>
            <w:r>
              <w:rPr>
                <w:rFonts w:ascii="Times New Roman" w:hAnsi="Times New Roman" w:eastAsia="仿宋_GB2312" w:cs="Times New Roman"/>
                <w:kern w:val="0"/>
                <w:szCs w:val="21"/>
              </w:rPr>
              <w:t>公务用车</w:t>
            </w:r>
          </w:p>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购置费</w:t>
            </w:r>
          </w:p>
        </w:tc>
        <w:tc>
          <w:tcPr>
            <w:tcW w:w="1220" w:type="dxa"/>
            <w:tcBorders>
              <w:top w:val="nil"/>
              <w:left w:val="nil"/>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kern w:val="0"/>
                <w:szCs w:val="21"/>
                <w:lang w:eastAsia="zh-CN"/>
              </w:rPr>
            </w:pPr>
            <w:r>
              <w:rPr>
                <w:rFonts w:ascii="Times New Roman" w:hAnsi="Times New Roman" w:eastAsia="仿宋_GB2312" w:cs="Times New Roman"/>
                <w:kern w:val="0"/>
                <w:szCs w:val="21"/>
              </w:rPr>
              <w:t>公务用车</w:t>
            </w:r>
          </w:p>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运行费</w:t>
            </w:r>
          </w:p>
        </w:tc>
        <w:tc>
          <w:tcPr>
            <w:tcW w:w="1220" w:type="dxa"/>
            <w:vMerge w:val="continue"/>
            <w:tcBorders>
              <w:top w:val="nil"/>
              <w:left w:val="single" w:color="auto" w:sz="4" w:space="0"/>
              <w:bottom w:val="single" w:color="000000" w:sz="4" w:space="0"/>
              <w:right w:val="single" w:color="auto" w:sz="8" w:space="0"/>
            </w:tcBorders>
            <w:vAlign w:val="center"/>
          </w:tcPr>
          <w:p>
            <w:pPr>
              <w:widowControl/>
              <w:jc w:val="left"/>
              <w:rPr>
                <w:rFonts w:ascii="Times New Roman" w:hAnsi="Times New Roman" w:eastAsia="仿宋_GB2312" w:cs="Times New Roman"/>
                <w:kern w:val="0"/>
                <w:szCs w:val="21"/>
              </w:rPr>
            </w:pPr>
          </w:p>
        </w:tc>
      </w:tr>
      <w:tr>
        <w:tblPrEx>
          <w:tblLayout w:type="fixed"/>
          <w:tblCellMar>
            <w:top w:w="0" w:type="dxa"/>
            <w:left w:w="108" w:type="dxa"/>
            <w:bottom w:w="0" w:type="dxa"/>
            <w:right w:w="108" w:type="dxa"/>
          </w:tblCellMar>
        </w:tblPrEx>
        <w:trPr>
          <w:trHeight w:val="397" w:hRule="atLeast"/>
          <w:jc w:val="center"/>
        </w:trPr>
        <w:tc>
          <w:tcPr>
            <w:tcW w:w="1220" w:type="dxa"/>
            <w:tcBorders>
              <w:top w:val="nil"/>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122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122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c>
          <w:tcPr>
            <w:tcW w:w="122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4</w:t>
            </w:r>
          </w:p>
        </w:tc>
        <w:tc>
          <w:tcPr>
            <w:tcW w:w="122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5</w:t>
            </w:r>
          </w:p>
        </w:tc>
        <w:tc>
          <w:tcPr>
            <w:tcW w:w="122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6</w:t>
            </w:r>
          </w:p>
        </w:tc>
        <w:tc>
          <w:tcPr>
            <w:tcW w:w="122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7</w:t>
            </w:r>
          </w:p>
        </w:tc>
        <w:tc>
          <w:tcPr>
            <w:tcW w:w="122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8</w:t>
            </w:r>
          </w:p>
        </w:tc>
        <w:tc>
          <w:tcPr>
            <w:tcW w:w="122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9</w:t>
            </w:r>
          </w:p>
        </w:tc>
        <w:tc>
          <w:tcPr>
            <w:tcW w:w="122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10</w:t>
            </w:r>
          </w:p>
        </w:tc>
        <w:tc>
          <w:tcPr>
            <w:tcW w:w="122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11</w:t>
            </w:r>
          </w:p>
        </w:tc>
        <w:tc>
          <w:tcPr>
            <w:tcW w:w="1220" w:type="dxa"/>
            <w:tcBorders>
              <w:top w:val="nil"/>
              <w:left w:val="nil"/>
              <w:bottom w:val="single" w:color="auto" w:sz="4" w:space="0"/>
              <w:right w:val="single" w:color="auto" w:sz="8"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12</w:t>
            </w:r>
          </w:p>
        </w:tc>
      </w:tr>
      <w:tr>
        <w:tblPrEx>
          <w:tblLayout w:type="fixed"/>
          <w:tblCellMar>
            <w:top w:w="0" w:type="dxa"/>
            <w:left w:w="108" w:type="dxa"/>
            <w:bottom w:w="0" w:type="dxa"/>
            <w:right w:w="108" w:type="dxa"/>
          </w:tblCellMar>
        </w:tblPrEx>
        <w:trPr>
          <w:trHeight w:val="397" w:hRule="atLeast"/>
          <w:jc w:val="center"/>
        </w:trPr>
        <w:tc>
          <w:tcPr>
            <w:tcW w:w="1220" w:type="dxa"/>
            <w:tcBorders>
              <w:top w:val="nil"/>
              <w:left w:val="single" w:color="auto" w:sz="8" w:space="0"/>
              <w:bottom w:val="single" w:color="auto" w:sz="8"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0.50</w:t>
            </w:r>
          </w:p>
        </w:tc>
        <w:tc>
          <w:tcPr>
            <w:tcW w:w="1220" w:type="dxa"/>
            <w:tcBorders>
              <w:top w:val="nil"/>
              <w:left w:val="nil"/>
              <w:bottom w:val="single" w:color="auto" w:sz="8" w:space="0"/>
              <w:right w:val="single" w:color="auto" w:sz="4" w:space="0"/>
            </w:tcBorders>
            <w:shd w:val="clear" w:color="auto" w:fill="auto"/>
            <w:vAlign w:val="center"/>
          </w:tcPr>
          <w:p>
            <w:pPr>
              <w:jc w:val="right"/>
              <w:rPr>
                <w:rFonts w:ascii="Times New Roman" w:hAnsi="Times New Roman" w:eastAsia="仿宋_GB2312" w:cs="Times New Roman"/>
                <w:kern w:val="0"/>
                <w:szCs w:val="21"/>
              </w:rPr>
            </w:pPr>
          </w:p>
        </w:tc>
        <w:tc>
          <w:tcPr>
            <w:tcW w:w="1220" w:type="dxa"/>
            <w:tcBorders>
              <w:top w:val="nil"/>
              <w:left w:val="nil"/>
              <w:bottom w:val="single" w:color="auto" w:sz="8" w:space="0"/>
              <w:right w:val="single" w:color="auto" w:sz="4" w:space="0"/>
            </w:tcBorders>
            <w:shd w:val="clear" w:color="auto" w:fill="auto"/>
            <w:vAlign w:val="center"/>
          </w:tcPr>
          <w:p>
            <w:pPr>
              <w:jc w:val="right"/>
              <w:rPr>
                <w:rFonts w:ascii="Times New Roman" w:hAnsi="Times New Roman" w:eastAsia="仿宋_GB2312" w:cs="Times New Roman"/>
                <w:kern w:val="0"/>
                <w:szCs w:val="21"/>
              </w:rPr>
            </w:pPr>
          </w:p>
        </w:tc>
        <w:tc>
          <w:tcPr>
            <w:tcW w:w="1220" w:type="dxa"/>
            <w:tcBorders>
              <w:top w:val="nil"/>
              <w:left w:val="nil"/>
              <w:bottom w:val="single" w:color="auto" w:sz="8" w:space="0"/>
              <w:right w:val="single" w:color="auto" w:sz="4" w:space="0"/>
            </w:tcBorders>
            <w:shd w:val="clear" w:color="auto" w:fill="auto"/>
            <w:vAlign w:val="center"/>
          </w:tcPr>
          <w:p>
            <w:pPr>
              <w:jc w:val="right"/>
              <w:rPr>
                <w:rFonts w:ascii="Times New Roman" w:hAnsi="Times New Roman" w:eastAsia="仿宋_GB2312" w:cs="Times New Roman"/>
                <w:kern w:val="0"/>
                <w:szCs w:val="21"/>
              </w:rPr>
            </w:pPr>
          </w:p>
        </w:tc>
        <w:tc>
          <w:tcPr>
            <w:tcW w:w="1220" w:type="dxa"/>
            <w:tcBorders>
              <w:top w:val="nil"/>
              <w:left w:val="nil"/>
              <w:bottom w:val="single" w:color="auto" w:sz="8" w:space="0"/>
              <w:right w:val="single" w:color="auto" w:sz="4" w:space="0"/>
            </w:tcBorders>
            <w:shd w:val="clear" w:color="auto" w:fill="auto"/>
            <w:vAlign w:val="center"/>
          </w:tcPr>
          <w:p>
            <w:pPr>
              <w:jc w:val="right"/>
              <w:rPr>
                <w:rFonts w:ascii="Times New Roman" w:hAnsi="Times New Roman" w:eastAsia="仿宋_GB2312" w:cs="Times New Roman"/>
                <w:kern w:val="0"/>
                <w:szCs w:val="21"/>
              </w:rPr>
            </w:pPr>
          </w:p>
        </w:tc>
        <w:tc>
          <w:tcPr>
            <w:tcW w:w="1220" w:type="dxa"/>
            <w:tcBorders>
              <w:top w:val="nil"/>
              <w:left w:val="nil"/>
              <w:bottom w:val="single" w:color="auto" w:sz="8"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0.50</w:t>
            </w:r>
          </w:p>
        </w:tc>
        <w:tc>
          <w:tcPr>
            <w:tcW w:w="1220" w:type="dxa"/>
            <w:tcBorders>
              <w:top w:val="nil"/>
              <w:left w:val="nil"/>
              <w:bottom w:val="single" w:color="auto" w:sz="8"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0.40</w:t>
            </w:r>
          </w:p>
        </w:tc>
        <w:tc>
          <w:tcPr>
            <w:tcW w:w="1220" w:type="dxa"/>
            <w:tcBorders>
              <w:top w:val="nil"/>
              <w:left w:val="nil"/>
              <w:bottom w:val="single" w:color="auto" w:sz="8" w:space="0"/>
              <w:right w:val="single" w:color="auto" w:sz="4" w:space="0"/>
            </w:tcBorders>
            <w:shd w:val="clear" w:color="auto" w:fill="auto"/>
            <w:vAlign w:val="center"/>
          </w:tcPr>
          <w:p>
            <w:pPr>
              <w:jc w:val="right"/>
              <w:rPr>
                <w:rFonts w:ascii="Times New Roman" w:hAnsi="Times New Roman" w:eastAsia="仿宋_GB2312" w:cs="Times New Roman"/>
                <w:kern w:val="0"/>
                <w:szCs w:val="21"/>
              </w:rPr>
            </w:pPr>
          </w:p>
        </w:tc>
        <w:tc>
          <w:tcPr>
            <w:tcW w:w="1220" w:type="dxa"/>
            <w:tcBorders>
              <w:top w:val="nil"/>
              <w:left w:val="nil"/>
              <w:bottom w:val="single" w:color="auto" w:sz="8" w:space="0"/>
              <w:right w:val="single" w:color="auto" w:sz="4" w:space="0"/>
            </w:tcBorders>
            <w:shd w:val="clear" w:color="auto" w:fill="auto"/>
            <w:vAlign w:val="center"/>
          </w:tcPr>
          <w:p>
            <w:pPr>
              <w:jc w:val="right"/>
              <w:rPr>
                <w:rFonts w:ascii="Times New Roman" w:hAnsi="Times New Roman" w:eastAsia="仿宋_GB2312" w:cs="Times New Roman"/>
                <w:kern w:val="0"/>
                <w:szCs w:val="21"/>
              </w:rPr>
            </w:pPr>
          </w:p>
        </w:tc>
        <w:tc>
          <w:tcPr>
            <w:tcW w:w="1220" w:type="dxa"/>
            <w:tcBorders>
              <w:top w:val="nil"/>
              <w:left w:val="nil"/>
              <w:bottom w:val="single" w:color="auto" w:sz="8" w:space="0"/>
              <w:right w:val="single" w:color="auto" w:sz="4" w:space="0"/>
            </w:tcBorders>
            <w:shd w:val="clear" w:color="auto" w:fill="auto"/>
            <w:vAlign w:val="center"/>
          </w:tcPr>
          <w:p>
            <w:pPr>
              <w:jc w:val="right"/>
              <w:rPr>
                <w:rFonts w:ascii="Times New Roman" w:hAnsi="Times New Roman" w:eastAsia="仿宋_GB2312" w:cs="Times New Roman"/>
                <w:kern w:val="0"/>
                <w:szCs w:val="21"/>
              </w:rPr>
            </w:pPr>
          </w:p>
        </w:tc>
        <w:tc>
          <w:tcPr>
            <w:tcW w:w="1220" w:type="dxa"/>
            <w:tcBorders>
              <w:top w:val="nil"/>
              <w:left w:val="nil"/>
              <w:bottom w:val="single" w:color="auto" w:sz="8" w:space="0"/>
              <w:right w:val="nil"/>
            </w:tcBorders>
            <w:shd w:val="clear" w:color="auto" w:fill="auto"/>
            <w:vAlign w:val="center"/>
          </w:tcPr>
          <w:p>
            <w:pPr>
              <w:jc w:val="right"/>
              <w:rPr>
                <w:rFonts w:ascii="Times New Roman" w:hAnsi="Times New Roman" w:eastAsia="仿宋_GB2312" w:cs="Times New Roman"/>
                <w:kern w:val="0"/>
                <w:szCs w:val="21"/>
              </w:rPr>
            </w:pPr>
          </w:p>
        </w:tc>
        <w:tc>
          <w:tcPr>
            <w:tcW w:w="1220" w:type="dxa"/>
            <w:tcBorders>
              <w:top w:val="nil"/>
              <w:left w:val="single" w:color="auto" w:sz="4" w:space="0"/>
              <w:bottom w:val="single" w:color="auto" w:sz="8" w:space="0"/>
              <w:right w:val="single" w:color="auto" w:sz="8"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0.40</w:t>
            </w:r>
          </w:p>
        </w:tc>
      </w:tr>
    </w:tbl>
    <w:p>
      <w:pPr>
        <w:widowControl/>
        <w:jc w:val="left"/>
        <w:rPr>
          <w:rFonts w:ascii="宋体" w:eastAsia="宋体" w:cs="宋体"/>
          <w:kern w:val="0"/>
          <w:sz w:val="24"/>
          <w:szCs w:val="24"/>
        </w:rPr>
      </w:pPr>
      <w:r>
        <w:rPr>
          <w:rFonts w:hint="eastAsia" w:ascii="宋体" w:eastAsia="宋体" w:cs="宋体"/>
          <w:kern w:val="0"/>
          <w:sz w:val="24"/>
          <w:szCs w:val="24"/>
        </w:rPr>
        <w:t>注：本表反映部门本年度“三公”经费支出预决算情况。其中，预算数为“三公”经费全年预算数，反映按规定程序调整后的预算数；决算数是包括当年一般公共预算财政拨款和以前年度结转资金安排的实际支出。</w:t>
      </w:r>
      <w:r>
        <w:rPr>
          <w:rFonts w:ascii="宋体" w:eastAsia="宋体" w:cs="宋体"/>
          <w:kern w:val="0"/>
          <w:sz w:val="24"/>
          <w:szCs w:val="24"/>
        </w:rPr>
        <w:br w:type="page"/>
      </w:r>
    </w:p>
    <w:p>
      <w:pPr>
        <w:autoSpaceDE w:val="0"/>
        <w:autoSpaceDN w:val="0"/>
        <w:adjustRightInd w:val="0"/>
        <w:ind w:left="315" w:leftChars="150"/>
        <w:jc w:val="left"/>
        <w:rPr>
          <w:rFonts w:ascii="宋体" w:eastAsia="宋体" w:cs="宋体"/>
          <w:kern w:val="0"/>
          <w:sz w:val="24"/>
          <w:szCs w:val="24"/>
        </w:rPr>
      </w:pPr>
    </w:p>
    <w:p>
      <w:pPr>
        <w:widowControl/>
        <w:jc w:val="center"/>
        <w:rPr>
          <w:rFonts w:ascii="Times New Roman" w:hAnsi="Times New Roman" w:eastAsia="方正小标宋_GBK" w:cs="Times New Roman"/>
          <w:kern w:val="0"/>
          <w:sz w:val="36"/>
          <w:szCs w:val="36"/>
        </w:rPr>
      </w:pPr>
      <w:r>
        <w:rPr>
          <w:rFonts w:ascii="Times New Roman" w:hAnsi="Times New Roman" w:eastAsia="方正小标宋_GBK" w:cs="Times New Roman"/>
          <w:kern w:val="0"/>
          <w:sz w:val="36"/>
          <w:szCs w:val="36"/>
        </w:rPr>
        <w:t>政府性基金预算财政拨款收入支出决算表</w:t>
      </w:r>
    </w:p>
    <w:p>
      <w:pPr>
        <w:widowControl/>
        <w:wordWrap w:val="0"/>
        <w:jc w:val="righ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部门：                                                                                                                       公开08表</w:t>
      </w:r>
    </w:p>
    <w:p>
      <w:pPr>
        <w:widowControl/>
        <w:jc w:val="righ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单位：万元</w:t>
      </w:r>
    </w:p>
    <w:tbl>
      <w:tblPr>
        <w:tblStyle w:val="5"/>
        <w:tblW w:w="14440" w:type="dxa"/>
        <w:jc w:val="center"/>
        <w:tblInd w:w="0" w:type="dxa"/>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1120"/>
        <w:gridCol w:w="1320"/>
        <w:gridCol w:w="2000"/>
        <w:gridCol w:w="2000"/>
        <w:gridCol w:w="2000"/>
        <w:gridCol w:w="2000"/>
        <w:gridCol w:w="2000"/>
        <w:gridCol w:w="2000"/>
      </w:tblGrid>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Ex>
        <w:trPr>
          <w:trHeight w:val="454" w:hRule="atLeast"/>
          <w:jc w:val="center"/>
        </w:trPr>
        <w:tc>
          <w:tcPr>
            <w:tcW w:w="2440" w:type="dxa"/>
            <w:gridSpan w:val="2"/>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项 </w:t>
            </w:r>
            <w:r>
              <w:rPr>
                <w:rFonts w:ascii="Times New Roman" w:hAnsi="Times New Roman" w:eastAsia="仿宋_GB2312" w:cs="Times New Roman"/>
                <w:b/>
                <w:color w:val="000000"/>
                <w:kern w:val="0"/>
                <w:szCs w:val="21"/>
              </w:rPr>
              <w:t xml:space="preserve">   </w:t>
            </w:r>
            <w:r>
              <w:rPr>
                <w:rFonts w:ascii="Times New Roman" w:hAnsi="Times New Roman" w:eastAsia="仿宋_GB2312" w:cs="Times New Roman"/>
                <w:b/>
                <w:kern w:val="0"/>
                <w:szCs w:val="21"/>
              </w:rPr>
              <w:t>目</w:t>
            </w:r>
          </w:p>
        </w:tc>
        <w:tc>
          <w:tcPr>
            <w:tcW w:w="2000" w:type="dxa"/>
            <w:vMerge w:val="restart"/>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年初结转和结余</w:t>
            </w:r>
          </w:p>
        </w:tc>
        <w:tc>
          <w:tcPr>
            <w:tcW w:w="2000" w:type="dxa"/>
            <w:vMerge w:val="restart"/>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本年收入</w:t>
            </w:r>
          </w:p>
        </w:tc>
        <w:tc>
          <w:tcPr>
            <w:tcW w:w="6000" w:type="dxa"/>
            <w:gridSpan w:val="3"/>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c>
          <w:tcPr>
            <w:tcW w:w="2000" w:type="dxa"/>
            <w:vMerge w:val="restart"/>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年末结转和结余</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Ex>
        <w:trPr>
          <w:trHeight w:val="454" w:hRule="atLeast"/>
          <w:jc w:val="center"/>
        </w:trPr>
        <w:tc>
          <w:tcPr>
            <w:tcW w:w="1120" w:type="dxa"/>
            <w:vMerge w:val="restart"/>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1320" w:type="dxa"/>
            <w:vMerge w:val="restart"/>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2000" w:type="dxa"/>
            <w:vMerge w:val="continue"/>
            <w:vAlign w:val="center"/>
          </w:tcPr>
          <w:p>
            <w:pPr>
              <w:widowControl/>
              <w:jc w:val="left"/>
              <w:rPr>
                <w:rFonts w:ascii="Times New Roman" w:hAnsi="Times New Roman" w:eastAsia="仿宋_GB2312" w:cs="Times New Roman"/>
                <w:b/>
                <w:kern w:val="0"/>
                <w:szCs w:val="21"/>
              </w:rPr>
            </w:pPr>
          </w:p>
        </w:tc>
        <w:tc>
          <w:tcPr>
            <w:tcW w:w="2000" w:type="dxa"/>
            <w:vMerge w:val="continue"/>
            <w:vAlign w:val="center"/>
          </w:tcPr>
          <w:p>
            <w:pPr>
              <w:widowControl/>
              <w:jc w:val="left"/>
              <w:rPr>
                <w:rFonts w:ascii="Times New Roman" w:hAnsi="Times New Roman" w:eastAsia="仿宋_GB2312" w:cs="Times New Roman"/>
                <w:b/>
                <w:kern w:val="0"/>
                <w:szCs w:val="21"/>
              </w:rPr>
            </w:pPr>
          </w:p>
        </w:tc>
        <w:tc>
          <w:tcPr>
            <w:tcW w:w="2000" w:type="dxa"/>
            <w:vMerge w:val="restart"/>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2000" w:type="dxa"/>
            <w:vMerge w:val="restart"/>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基本支出  </w:t>
            </w:r>
          </w:p>
        </w:tc>
        <w:tc>
          <w:tcPr>
            <w:tcW w:w="2000" w:type="dxa"/>
            <w:vMerge w:val="restart"/>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c>
          <w:tcPr>
            <w:tcW w:w="2000" w:type="dxa"/>
            <w:vMerge w:val="continue"/>
            <w:vAlign w:val="center"/>
          </w:tcPr>
          <w:p>
            <w:pPr>
              <w:widowControl/>
              <w:jc w:val="left"/>
              <w:rPr>
                <w:rFonts w:ascii="Times New Roman" w:hAnsi="Times New Roman" w:eastAsia="仿宋_GB2312" w:cs="Times New Roman"/>
                <w:b/>
                <w:kern w:val="0"/>
                <w:szCs w:val="21"/>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Ex>
        <w:trPr>
          <w:trHeight w:val="454" w:hRule="atLeast"/>
          <w:jc w:val="center"/>
        </w:trPr>
        <w:tc>
          <w:tcPr>
            <w:tcW w:w="1120" w:type="dxa"/>
            <w:vMerge w:val="continue"/>
            <w:vAlign w:val="center"/>
          </w:tcPr>
          <w:p>
            <w:pPr>
              <w:widowControl/>
              <w:jc w:val="left"/>
              <w:rPr>
                <w:rFonts w:ascii="Times New Roman" w:hAnsi="Times New Roman" w:eastAsia="仿宋_GB2312" w:cs="Times New Roman"/>
                <w:kern w:val="0"/>
                <w:szCs w:val="21"/>
              </w:rPr>
            </w:pPr>
          </w:p>
        </w:tc>
        <w:tc>
          <w:tcPr>
            <w:tcW w:w="1320" w:type="dxa"/>
            <w:vMerge w:val="continue"/>
            <w:vAlign w:val="center"/>
          </w:tcPr>
          <w:p>
            <w:pPr>
              <w:widowControl/>
              <w:jc w:val="left"/>
              <w:rPr>
                <w:rFonts w:ascii="Times New Roman" w:hAnsi="Times New Roman" w:eastAsia="仿宋_GB2312" w:cs="Times New Roman"/>
                <w:kern w:val="0"/>
                <w:szCs w:val="21"/>
              </w:rPr>
            </w:pPr>
          </w:p>
        </w:tc>
        <w:tc>
          <w:tcPr>
            <w:tcW w:w="2000" w:type="dxa"/>
            <w:vMerge w:val="continue"/>
            <w:vAlign w:val="center"/>
          </w:tcPr>
          <w:p>
            <w:pPr>
              <w:widowControl/>
              <w:jc w:val="left"/>
              <w:rPr>
                <w:rFonts w:ascii="Times New Roman" w:hAnsi="Times New Roman" w:eastAsia="仿宋_GB2312" w:cs="Times New Roman"/>
                <w:kern w:val="0"/>
                <w:szCs w:val="21"/>
              </w:rPr>
            </w:pPr>
          </w:p>
        </w:tc>
        <w:tc>
          <w:tcPr>
            <w:tcW w:w="2000" w:type="dxa"/>
            <w:vMerge w:val="continue"/>
            <w:vAlign w:val="center"/>
          </w:tcPr>
          <w:p>
            <w:pPr>
              <w:widowControl/>
              <w:jc w:val="left"/>
              <w:rPr>
                <w:rFonts w:ascii="Times New Roman" w:hAnsi="Times New Roman" w:eastAsia="仿宋_GB2312" w:cs="Times New Roman"/>
                <w:kern w:val="0"/>
                <w:szCs w:val="21"/>
              </w:rPr>
            </w:pPr>
          </w:p>
        </w:tc>
        <w:tc>
          <w:tcPr>
            <w:tcW w:w="2000" w:type="dxa"/>
            <w:vMerge w:val="continue"/>
            <w:vAlign w:val="center"/>
          </w:tcPr>
          <w:p>
            <w:pPr>
              <w:widowControl/>
              <w:jc w:val="left"/>
              <w:rPr>
                <w:rFonts w:ascii="Times New Roman" w:hAnsi="Times New Roman" w:eastAsia="仿宋_GB2312" w:cs="Times New Roman"/>
                <w:kern w:val="0"/>
                <w:szCs w:val="21"/>
              </w:rPr>
            </w:pPr>
          </w:p>
        </w:tc>
        <w:tc>
          <w:tcPr>
            <w:tcW w:w="2000" w:type="dxa"/>
            <w:vMerge w:val="continue"/>
            <w:vAlign w:val="center"/>
          </w:tcPr>
          <w:p>
            <w:pPr>
              <w:widowControl/>
              <w:jc w:val="left"/>
              <w:rPr>
                <w:rFonts w:ascii="Times New Roman" w:hAnsi="Times New Roman" w:eastAsia="仿宋_GB2312" w:cs="Times New Roman"/>
                <w:kern w:val="0"/>
                <w:szCs w:val="21"/>
              </w:rPr>
            </w:pPr>
          </w:p>
        </w:tc>
        <w:tc>
          <w:tcPr>
            <w:tcW w:w="2000" w:type="dxa"/>
            <w:vMerge w:val="continue"/>
            <w:vAlign w:val="center"/>
          </w:tcPr>
          <w:p>
            <w:pPr>
              <w:widowControl/>
              <w:jc w:val="left"/>
              <w:rPr>
                <w:rFonts w:ascii="Times New Roman" w:hAnsi="Times New Roman" w:eastAsia="仿宋_GB2312" w:cs="Times New Roman"/>
                <w:kern w:val="0"/>
                <w:szCs w:val="21"/>
              </w:rPr>
            </w:pPr>
          </w:p>
        </w:tc>
        <w:tc>
          <w:tcPr>
            <w:tcW w:w="2000" w:type="dxa"/>
            <w:vMerge w:val="continue"/>
            <w:vAlign w:val="center"/>
          </w:tcPr>
          <w:p>
            <w:pPr>
              <w:widowControl/>
              <w:jc w:val="left"/>
              <w:rPr>
                <w:rFonts w:ascii="Times New Roman" w:hAnsi="Times New Roman" w:eastAsia="仿宋_GB2312" w:cs="Times New Roman"/>
                <w:kern w:val="0"/>
                <w:szCs w:val="21"/>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Ex>
        <w:trPr>
          <w:trHeight w:val="454" w:hRule="atLeast"/>
          <w:jc w:val="center"/>
        </w:trPr>
        <w:tc>
          <w:tcPr>
            <w:tcW w:w="1120" w:type="dxa"/>
            <w:vMerge w:val="continue"/>
            <w:vAlign w:val="center"/>
          </w:tcPr>
          <w:p>
            <w:pPr>
              <w:widowControl/>
              <w:jc w:val="left"/>
              <w:rPr>
                <w:rFonts w:ascii="Times New Roman" w:hAnsi="Times New Roman" w:eastAsia="仿宋_GB2312" w:cs="Times New Roman"/>
                <w:kern w:val="0"/>
                <w:szCs w:val="21"/>
              </w:rPr>
            </w:pPr>
          </w:p>
        </w:tc>
        <w:tc>
          <w:tcPr>
            <w:tcW w:w="1320" w:type="dxa"/>
            <w:vMerge w:val="continue"/>
            <w:vAlign w:val="center"/>
          </w:tcPr>
          <w:p>
            <w:pPr>
              <w:widowControl/>
              <w:jc w:val="left"/>
              <w:rPr>
                <w:rFonts w:ascii="Times New Roman" w:hAnsi="Times New Roman" w:eastAsia="仿宋_GB2312" w:cs="Times New Roman"/>
                <w:kern w:val="0"/>
                <w:szCs w:val="21"/>
              </w:rPr>
            </w:pPr>
          </w:p>
        </w:tc>
        <w:tc>
          <w:tcPr>
            <w:tcW w:w="2000" w:type="dxa"/>
            <w:vMerge w:val="continue"/>
            <w:vAlign w:val="center"/>
          </w:tcPr>
          <w:p>
            <w:pPr>
              <w:widowControl/>
              <w:jc w:val="left"/>
              <w:rPr>
                <w:rFonts w:ascii="Times New Roman" w:hAnsi="Times New Roman" w:eastAsia="仿宋_GB2312" w:cs="Times New Roman"/>
                <w:kern w:val="0"/>
                <w:szCs w:val="21"/>
              </w:rPr>
            </w:pPr>
          </w:p>
        </w:tc>
        <w:tc>
          <w:tcPr>
            <w:tcW w:w="2000" w:type="dxa"/>
            <w:vMerge w:val="continue"/>
            <w:vAlign w:val="center"/>
          </w:tcPr>
          <w:p>
            <w:pPr>
              <w:widowControl/>
              <w:jc w:val="left"/>
              <w:rPr>
                <w:rFonts w:ascii="Times New Roman" w:hAnsi="Times New Roman" w:eastAsia="仿宋_GB2312" w:cs="Times New Roman"/>
                <w:kern w:val="0"/>
                <w:szCs w:val="21"/>
              </w:rPr>
            </w:pPr>
          </w:p>
        </w:tc>
        <w:tc>
          <w:tcPr>
            <w:tcW w:w="2000" w:type="dxa"/>
            <w:vMerge w:val="continue"/>
            <w:vAlign w:val="center"/>
          </w:tcPr>
          <w:p>
            <w:pPr>
              <w:widowControl/>
              <w:jc w:val="left"/>
              <w:rPr>
                <w:rFonts w:ascii="Times New Roman" w:hAnsi="Times New Roman" w:eastAsia="仿宋_GB2312" w:cs="Times New Roman"/>
                <w:kern w:val="0"/>
                <w:szCs w:val="21"/>
              </w:rPr>
            </w:pPr>
          </w:p>
        </w:tc>
        <w:tc>
          <w:tcPr>
            <w:tcW w:w="2000" w:type="dxa"/>
            <w:vMerge w:val="continue"/>
            <w:vAlign w:val="center"/>
          </w:tcPr>
          <w:p>
            <w:pPr>
              <w:widowControl/>
              <w:jc w:val="left"/>
              <w:rPr>
                <w:rFonts w:ascii="Times New Roman" w:hAnsi="Times New Roman" w:eastAsia="仿宋_GB2312" w:cs="Times New Roman"/>
                <w:kern w:val="0"/>
                <w:szCs w:val="21"/>
              </w:rPr>
            </w:pPr>
          </w:p>
        </w:tc>
        <w:tc>
          <w:tcPr>
            <w:tcW w:w="2000" w:type="dxa"/>
            <w:vMerge w:val="continue"/>
            <w:vAlign w:val="center"/>
          </w:tcPr>
          <w:p>
            <w:pPr>
              <w:widowControl/>
              <w:jc w:val="left"/>
              <w:rPr>
                <w:rFonts w:ascii="Times New Roman" w:hAnsi="Times New Roman" w:eastAsia="仿宋_GB2312" w:cs="Times New Roman"/>
                <w:kern w:val="0"/>
                <w:szCs w:val="21"/>
              </w:rPr>
            </w:pPr>
          </w:p>
        </w:tc>
        <w:tc>
          <w:tcPr>
            <w:tcW w:w="2000" w:type="dxa"/>
            <w:vMerge w:val="continue"/>
            <w:vAlign w:val="center"/>
          </w:tcPr>
          <w:p>
            <w:pPr>
              <w:widowControl/>
              <w:jc w:val="left"/>
              <w:rPr>
                <w:rFonts w:ascii="Times New Roman" w:hAnsi="Times New Roman" w:eastAsia="仿宋_GB2312" w:cs="Times New Roman"/>
                <w:kern w:val="0"/>
                <w:szCs w:val="21"/>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Ex>
        <w:trPr>
          <w:trHeight w:val="454" w:hRule="atLeast"/>
          <w:jc w:val="center"/>
        </w:trPr>
        <w:tc>
          <w:tcPr>
            <w:tcW w:w="2440" w:type="dxa"/>
            <w:gridSpan w:val="2"/>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栏次</w:t>
            </w:r>
          </w:p>
        </w:tc>
        <w:tc>
          <w:tcPr>
            <w:tcW w:w="2000" w:type="dxa"/>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2000" w:type="dxa"/>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2000" w:type="dxa"/>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c>
          <w:tcPr>
            <w:tcW w:w="2000" w:type="dxa"/>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4</w:t>
            </w:r>
          </w:p>
        </w:tc>
        <w:tc>
          <w:tcPr>
            <w:tcW w:w="2000" w:type="dxa"/>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5</w:t>
            </w:r>
          </w:p>
        </w:tc>
        <w:tc>
          <w:tcPr>
            <w:tcW w:w="2000" w:type="dxa"/>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6</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Ex>
        <w:trPr>
          <w:trHeight w:val="454" w:hRule="atLeast"/>
          <w:jc w:val="center"/>
        </w:trPr>
        <w:tc>
          <w:tcPr>
            <w:tcW w:w="2440" w:type="dxa"/>
            <w:gridSpan w:val="2"/>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2000" w:type="dxa"/>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Ex>
        <w:trPr>
          <w:trHeight w:val="454" w:hRule="atLeast"/>
          <w:jc w:val="center"/>
        </w:trPr>
        <w:tc>
          <w:tcPr>
            <w:tcW w:w="1120" w:type="dxa"/>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1320" w:type="dxa"/>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Ex>
        <w:trPr>
          <w:trHeight w:val="454" w:hRule="atLeast"/>
          <w:jc w:val="center"/>
        </w:trPr>
        <w:tc>
          <w:tcPr>
            <w:tcW w:w="1120" w:type="dxa"/>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1320" w:type="dxa"/>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Ex>
        <w:trPr>
          <w:trHeight w:val="454" w:hRule="atLeast"/>
          <w:jc w:val="center"/>
        </w:trPr>
        <w:tc>
          <w:tcPr>
            <w:tcW w:w="1120" w:type="dxa"/>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1320" w:type="dxa"/>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Ex>
        <w:trPr>
          <w:trHeight w:val="454" w:hRule="atLeast"/>
          <w:jc w:val="center"/>
        </w:trPr>
        <w:tc>
          <w:tcPr>
            <w:tcW w:w="1120" w:type="dxa"/>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1320" w:type="dxa"/>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Ex>
        <w:trPr>
          <w:trHeight w:val="454" w:hRule="atLeast"/>
          <w:jc w:val="center"/>
        </w:trPr>
        <w:tc>
          <w:tcPr>
            <w:tcW w:w="1120" w:type="dxa"/>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1320" w:type="dxa"/>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Ex>
        <w:trPr>
          <w:trHeight w:val="454" w:hRule="atLeast"/>
          <w:jc w:val="center"/>
        </w:trPr>
        <w:tc>
          <w:tcPr>
            <w:tcW w:w="1120" w:type="dxa"/>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1320" w:type="dxa"/>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bl>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注：本表反映部门本年度政府性基金预算财政拨款收入、支出及结转和结余情况</w:t>
      </w:r>
    </w:p>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(若本单位无政府性基金收支</w:t>
      </w:r>
      <w:r>
        <w:rPr>
          <w:rFonts w:hint="eastAsia" w:ascii="Times New Roman" w:hAnsi="Times New Roman" w:eastAsia="仿宋_GB2312" w:cs="Times New Roman"/>
          <w:kern w:val="0"/>
          <w:szCs w:val="21"/>
        </w:rPr>
        <w:t>,请说明：XX单位没有政府性基金收入，也没有使用政府性基金安排的支出，故本表无数据</w:t>
      </w:r>
      <w:r>
        <w:rPr>
          <w:rFonts w:ascii="Times New Roman" w:hAnsi="Times New Roman" w:eastAsia="仿宋_GB2312" w:cs="Times New Roman"/>
          <w:kern w:val="0"/>
          <w:szCs w:val="21"/>
        </w:rPr>
        <w:t>)。</w:t>
      </w:r>
    </w:p>
    <w:p>
      <w:pPr>
        <w:widowControl/>
        <w:jc w:val="left"/>
        <w:rPr>
          <w:rFonts w:ascii="黑体" w:hAnsi="黑体" w:eastAsia="黑体"/>
          <w:szCs w:val="21"/>
        </w:rPr>
      </w:pPr>
      <w:r>
        <w:rPr>
          <w:rFonts w:ascii="黑体" w:hAnsi="黑体" w:eastAsia="黑体"/>
          <w:szCs w:val="21"/>
        </w:rPr>
        <w:br w:type="page"/>
      </w:r>
    </w:p>
    <w:tbl>
      <w:tblPr>
        <w:tblStyle w:val="5"/>
        <w:tblW w:w="14190" w:type="dxa"/>
        <w:tblInd w:w="93" w:type="dxa"/>
        <w:tblLayout w:type="fixed"/>
        <w:tblCellMar>
          <w:top w:w="0" w:type="dxa"/>
          <w:left w:w="108" w:type="dxa"/>
          <w:bottom w:w="0" w:type="dxa"/>
          <w:right w:w="108" w:type="dxa"/>
        </w:tblCellMar>
      </w:tblPr>
      <w:tblGrid>
        <w:gridCol w:w="1060"/>
        <w:gridCol w:w="560"/>
        <w:gridCol w:w="1089"/>
        <w:gridCol w:w="2126"/>
        <w:gridCol w:w="1225"/>
        <w:gridCol w:w="1326"/>
        <w:gridCol w:w="1294"/>
        <w:gridCol w:w="1683"/>
        <w:gridCol w:w="3827"/>
      </w:tblGrid>
      <w:tr>
        <w:tblPrEx>
          <w:tblLayout w:type="fixed"/>
          <w:tblCellMar>
            <w:top w:w="0" w:type="dxa"/>
            <w:left w:w="108" w:type="dxa"/>
            <w:bottom w:w="0" w:type="dxa"/>
            <w:right w:w="108" w:type="dxa"/>
          </w:tblCellMar>
        </w:tblPrEx>
        <w:trPr>
          <w:trHeight w:val="720" w:hRule="atLeast"/>
        </w:trPr>
        <w:tc>
          <w:tcPr>
            <w:tcW w:w="14190" w:type="dxa"/>
            <w:gridSpan w:val="9"/>
            <w:tcBorders>
              <w:top w:val="nil"/>
              <w:left w:val="nil"/>
              <w:bottom w:val="nil"/>
              <w:right w:val="nil"/>
            </w:tcBorders>
            <w:shd w:val="clear" w:color="000000" w:fill="FFFFFF"/>
            <w:vAlign w:val="center"/>
          </w:tcPr>
          <w:p>
            <w:pPr>
              <w:widowControl/>
              <w:jc w:val="center"/>
              <w:rPr>
                <w:rFonts w:ascii="华文中宋" w:hAnsi="华文中宋" w:eastAsia="华文中宋" w:cs="宋体"/>
                <w:kern w:val="0"/>
                <w:sz w:val="32"/>
                <w:szCs w:val="32"/>
              </w:rPr>
            </w:pPr>
            <w:r>
              <w:rPr>
                <w:rFonts w:hint="eastAsia" w:ascii="华文中宋" w:hAnsi="华文中宋" w:eastAsia="华文中宋" w:cs="宋体"/>
                <w:kern w:val="0"/>
                <w:sz w:val="32"/>
                <w:szCs w:val="32"/>
              </w:rPr>
              <w:t>国有资本经营预算财政拨款支出决算表</w:t>
            </w:r>
          </w:p>
        </w:tc>
      </w:tr>
      <w:tr>
        <w:tblPrEx>
          <w:tblLayout w:type="fixed"/>
          <w:tblCellMar>
            <w:top w:w="0" w:type="dxa"/>
            <w:left w:w="108" w:type="dxa"/>
            <w:bottom w:w="0" w:type="dxa"/>
            <w:right w:w="108" w:type="dxa"/>
          </w:tblCellMar>
        </w:tblPrEx>
        <w:trPr>
          <w:trHeight w:val="285" w:hRule="atLeast"/>
        </w:trPr>
        <w:tc>
          <w:tcPr>
            <w:tcW w:w="1060" w:type="dxa"/>
            <w:tcBorders>
              <w:top w:val="nil"/>
              <w:left w:val="nil"/>
              <w:bottom w:val="nil"/>
              <w:right w:val="nil"/>
            </w:tcBorders>
            <w:shd w:val="clear" w:color="000000" w:fill="FFFFFF"/>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c>
          <w:tcPr>
            <w:tcW w:w="560" w:type="dxa"/>
            <w:tcBorders>
              <w:top w:val="nil"/>
              <w:left w:val="nil"/>
              <w:bottom w:val="nil"/>
              <w:right w:val="nil"/>
            </w:tcBorders>
            <w:shd w:val="clear" w:color="000000" w:fill="FFFFFF"/>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c>
          <w:tcPr>
            <w:tcW w:w="3215" w:type="dxa"/>
            <w:gridSpan w:val="2"/>
            <w:tcBorders>
              <w:top w:val="nil"/>
              <w:left w:val="nil"/>
              <w:bottom w:val="nil"/>
              <w:right w:val="nil"/>
            </w:tcBorders>
            <w:shd w:val="clear" w:color="000000" w:fill="FFFFFF"/>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c>
          <w:tcPr>
            <w:tcW w:w="1225" w:type="dxa"/>
            <w:tcBorders>
              <w:top w:val="nil"/>
              <w:left w:val="nil"/>
              <w:bottom w:val="nil"/>
              <w:right w:val="nil"/>
            </w:tcBorders>
            <w:shd w:val="clear" w:color="000000" w:fill="FFFFFF"/>
            <w:vAlign w:val="center"/>
          </w:tcPr>
          <w:p>
            <w:pPr>
              <w:widowControl/>
              <w:jc w:val="left"/>
              <w:rPr>
                <w:rFonts w:ascii="宋体" w:hAnsi="宋体" w:eastAsia="宋体" w:cs="宋体"/>
                <w:kern w:val="0"/>
                <w:sz w:val="20"/>
                <w:szCs w:val="20"/>
              </w:rPr>
            </w:pPr>
            <w:r>
              <w:rPr>
                <w:rFonts w:hint="eastAsia" w:ascii="宋体" w:hAnsi="宋体" w:eastAsia="宋体" w:cs="宋体"/>
                <w:kern w:val="0"/>
                <w:sz w:val="20"/>
                <w:szCs w:val="20"/>
              </w:rPr>
              <w:t>　</w:t>
            </w:r>
          </w:p>
        </w:tc>
        <w:tc>
          <w:tcPr>
            <w:tcW w:w="2620" w:type="dxa"/>
            <w:gridSpan w:val="2"/>
            <w:tcBorders>
              <w:top w:val="nil"/>
              <w:left w:val="nil"/>
              <w:bottom w:val="nil"/>
              <w:right w:val="nil"/>
            </w:tcBorders>
            <w:shd w:val="clear" w:color="000000" w:fill="FFFFFF"/>
            <w:vAlign w:val="center"/>
          </w:tcPr>
          <w:p>
            <w:pPr>
              <w:widowControl/>
              <w:jc w:val="left"/>
              <w:rPr>
                <w:rFonts w:ascii="宋体" w:hAnsi="宋体" w:eastAsia="宋体" w:cs="宋体"/>
                <w:kern w:val="0"/>
                <w:sz w:val="20"/>
                <w:szCs w:val="20"/>
              </w:rPr>
            </w:pPr>
            <w:r>
              <w:rPr>
                <w:rFonts w:hint="eastAsia" w:ascii="宋体" w:hAnsi="宋体" w:eastAsia="宋体" w:cs="宋体"/>
                <w:kern w:val="0"/>
                <w:sz w:val="20"/>
                <w:szCs w:val="20"/>
              </w:rPr>
              <w:t>　</w:t>
            </w:r>
          </w:p>
        </w:tc>
        <w:tc>
          <w:tcPr>
            <w:tcW w:w="5510" w:type="dxa"/>
            <w:gridSpan w:val="2"/>
            <w:tcBorders>
              <w:top w:val="nil"/>
              <w:left w:val="nil"/>
              <w:bottom w:val="nil"/>
              <w:right w:val="nil"/>
            </w:tcBorders>
            <w:shd w:val="clear" w:color="000000" w:fill="FFFFFF"/>
            <w:noWrap/>
            <w:vAlign w:val="center"/>
          </w:tcPr>
          <w:p>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公开09表</w:t>
            </w:r>
          </w:p>
        </w:tc>
      </w:tr>
      <w:tr>
        <w:tblPrEx>
          <w:tblLayout w:type="fixed"/>
          <w:tblCellMar>
            <w:top w:w="0" w:type="dxa"/>
            <w:left w:w="108" w:type="dxa"/>
            <w:bottom w:w="0" w:type="dxa"/>
            <w:right w:w="108" w:type="dxa"/>
          </w:tblCellMar>
        </w:tblPrEx>
        <w:trPr>
          <w:trHeight w:val="285" w:hRule="atLeast"/>
        </w:trPr>
        <w:tc>
          <w:tcPr>
            <w:tcW w:w="1060" w:type="dxa"/>
            <w:tcBorders>
              <w:top w:val="nil"/>
              <w:left w:val="nil"/>
              <w:bottom w:val="nil"/>
              <w:right w:val="nil"/>
            </w:tcBorders>
            <w:shd w:val="clear" w:color="000000" w:fill="FFFFFF"/>
            <w:noWrap/>
            <w:vAlign w:val="center"/>
          </w:tcPr>
          <w:p>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部门：</w:t>
            </w:r>
          </w:p>
        </w:tc>
        <w:tc>
          <w:tcPr>
            <w:tcW w:w="560" w:type="dxa"/>
            <w:tcBorders>
              <w:top w:val="nil"/>
              <w:left w:val="nil"/>
              <w:bottom w:val="nil"/>
              <w:right w:val="nil"/>
            </w:tcBorders>
            <w:shd w:val="clear" w:color="000000" w:fill="FFFFFF"/>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c>
          <w:tcPr>
            <w:tcW w:w="3215" w:type="dxa"/>
            <w:gridSpan w:val="2"/>
            <w:tcBorders>
              <w:top w:val="nil"/>
              <w:left w:val="nil"/>
              <w:bottom w:val="nil"/>
              <w:right w:val="nil"/>
            </w:tcBorders>
            <w:shd w:val="clear" w:color="000000" w:fill="FFFFFF"/>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c>
          <w:tcPr>
            <w:tcW w:w="1225" w:type="dxa"/>
            <w:tcBorders>
              <w:top w:val="nil"/>
              <w:left w:val="nil"/>
              <w:bottom w:val="single" w:color="auto" w:sz="8" w:space="0"/>
              <w:right w:val="nil"/>
            </w:tcBorders>
            <w:shd w:val="clear" w:color="000000" w:fill="FFFFFF"/>
            <w:vAlign w:val="center"/>
          </w:tcPr>
          <w:p>
            <w:pPr>
              <w:widowControl/>
              <w:jc w:val="left"/>
              <w:rPr>
                <w:rFonts w:ascii="宋体" w:hAnsi="宋体" w:eastAsia="宋体" w:cs="宋体"/>
                <w:kern w:val="0"/>
                <w:sz w:val="20"/>
                <w:szCs w:val="20"/>
              </w:rPr>
            </w:pPr>
            <w:r>
              <w:rPr>
                <w:rFonts w:hint="eastAsia" w:ascii="宋体" w:hAnsi="宋体" w:eastAsia="宋体" w:cs="宋体"/>
                <w:kern w:val="0"/>
                <w:sz w:val="20"/>
                <w:szCs w:val="20"/>
              </w:rPr>
              <w:t>　</w:t>
            </w:r>
          </w:p>
        </w:tc>
        <w:tc>
          <w:tcPr>
            <w:tcW w:w="2620" w:type="dxa"/>
            <w:gridSpan w:val="2"/>
            <w:tcBorders>
              <w:top w:val="nil"/>
              <w:left w:val="nil"/>
              <w:bottom w:val="single" w:color="auto" w:sz="8" w:space="0"/>
              <w:right w:val="nil"/>
            </w:tcBorders>
            <w:shd w:val="clear" w:color="000000" w:fill="FFFFFF"/>
            <w:vAlign w:val="center"/>
          </w:tcPr>
          <w:p>
            <w:pPr>
              <w:widowControl/>
              <w:jc w:val="left"/>
              <w:rPr>
                <w:rFonts w:ascii="宋体" w:hAnsi="宋体" w:eastAsia="宋体" w:cs="宋体"/>
                <w:kern w:val="0"/>
                <w:sz w:val="20"/>
                <w:szCs w:val="20"/>
              </w:rPr>
            </w:pPr>
            <w:r>
              <w:rPr>
                <w:rFonts w:hint="eastAsia" w:ascii="宋体" w:hAnsi="宋体" w:eastAsia="宋体" w:cs="宋体"/>
                <w:kern w:val="0"/>
                <w:sz w:val="20"/>
                <w:szCs w:val="20"/>
              </w:rPr>
              <w:t>　</w:t>
            </w:r>
          </w:p>
        </w:tc>
        <w:tc>
          <w:tcPr>
            <w:tcW w:w="5510" w:type="dxa"/>
            <w:gridSpan w:val="2"/>
            <w:tcBorders>
              <w:top w:val="nil"/>
              <w:left w:val="nil"/>
              <w:bottom w:val="nil"/>
              <w:right w:val="nil"/>
            </w:tcBorders>
            <w:shd w:val="clear" w:color="000000" w:fill="FFFFFF"/>
            <w:noWrap/>
            <w:vAlign w:val="center"/>
          </w:tcPr>
          <w:p>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单位：万元</w:t>
            </w:r>
          </w:p>
        </w:tc>
      </w:tr>
      <w:tr>
        <w:tblPrEx>
          <w:tblLayout w:type="fixed"/>
          <w:tblCellMar>
            <w:top w:w="0" w:type="dxa"/>
            <w:left w:w="108" w:type="dxa"/>
            <w:bottom w:w="0" w:type="dxa"/>
            <w:right w:w="108" w:type="dxa"/>
          </w:tblCellMar>
        </w:tblPrEx>
        <w:trPr>
          <w:trHeight w:val="402" w:hRule="atLeast"/>
        </w:trPr>
        <w:tc>
          <w:tcPr>
            <w:tcW w:w="4835" w:type="dxa"/>
            <w:gridSpan w:val="4"/>
            <w:tcBorders>
              <w:top w:val="single" w:color="auto" w:sz="8" w:space="0"/>
              <w:left w:val="single" w:color="auto" w:sz="8" w:space="0"/>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 xml:space="preserve">项 </w:t>
            </w:r>
            <w:r>
              <w:rPr>
                <w:rFonts w:hint="eastAsia" w:ascii="宋体" w:hAnsi="宋体" w:eastAsia="宋体" w:cs="宋体"/>
                <w:color w:val="000000"/>
                <w:kern w:val="0"/>
                <w:sz w:val="22"/>
              </w:rPr>
              <w:t xml:space="preserve">   </w:t>
            </w:r>
            <w:r>
              <w:rPr>
                <w:rFonts w:hint="eastAsia" w:ascii="宋体" w:hAnsi="宋体" w:eastAsia="宋体" w:cs="宋体"/>
                <w:kern w:val="0"/>
                <w:sz w:val="24"/>
                <w:szCs w:val="24"/>
              </w:rPr>
              <w:t>目</w:t>
            </w:r>
          </w:p>
        </w:tc>
        <w:tc>
          <w:tcPr>
            <w:tcW w:w="9355" w:type="dxa"/>
            <w:gridSpan w:val="5"/>
            <w:tcBorders>
              <w:top w:val="single" w:color="auto" w:sz="8" w:space="0"/>
              <w:left w:val="nil"/>
              <w:bottom w:val="single" w:color="auto" w:sz="4" w:space="0"/>
              <w:right w:val="single" w:color="000000"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本年支出</w:t>
            </w:r>
          </w:p>
        </w:tc>
      </w:tr>
      <w:tr>
        <w:tblPrEx>
          <w:tblLayout w:type="fixed"/>
          <w:tblCellMar>
            <w:top w:w="0" w:type="dxa"/>
            <w:left w:w="108" w:type="dxa"/>
            <w:bottom w:w="0" w:type="dxa"/>
            <w:right w:w="108" w:type="dxa"/>
          </w:tblCellMar>
        </w:tblPrEx>
        <w:trPr>
          <w:trHeight w:val="402" w:hRule="atLeast"/>
        </w:trPr>
        <w:tc>
          <w:tcPr>
            <w:tcW w:w="2709" w:type="dxa"/>
            <w:gridSpan w:val="3"/>
            <w:vMerge w:val="restart"/>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功能分类科目编码</w:t>
            </w:r>
          </w:p>
        </w:tc>
        <w:tc>
          <w:tcPr>
            <w:tcW w:w="2126"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科目名称</w:t>
            </w:r>
          </w:p>
        </w:tc>
        <w:tc>
          <w:tcPr>
            <w:tcW w:w="2551" w:type="dxa"/>
            <w:gridSpan w:val="2"/>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合计</w:t>
            </w:r>
          </w:p>
        </w:tc>
        <w:tc>
          <w:tcPr>
            <w:tcW w:w="2977" w:type="dxa"/>
            <w:gridSpan w:val="2"/>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 xml:space="preserve">基本支出  </w:t>
            </w:r>
          </w:p>
        </w:tc>
        <w:tc>
          <w:tcPr>
            <w:tcW w:w="3827"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项目支出</w:t>
            </w:r>
          </w:p>
        </w:tc>
      </w:tr>
      <w:tr>
        <w:tblPrEx>
          <w:tblLayout w:type="fixed"/>
          <w:tblCellMar>
            <w:top w:w="0" w:type="dxa"/>
            <w:left w:w="108" w:type="dxa"/>
            <w:bottom w:w="0" w:type="dxa"/>
            <w:right w:w="108" w:type="dxa"/>
          </w:tblCellMar>
        </w:tblPrEx>
        <w:trPr>
          <w:trHeight w:val="402" w:hRule="atLeast"/>
        </w:trPr>
        <w:tc>
          <w:tcPr>
            <w:tcW w:w="2709" w:type="dxa"/>
            <w:gridSpan w:val="3"/>
            <w:vMerge w:val="continue"/>
            <w:tcBorders>
              <w:top w:val="single" w:color="auto" w:sz="4" w:space="0"/>
              <w:left w:val="single" w:color="auto" w:sz="8"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2126"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2551" w:type="dxa"/>
            <w:gridSpan w:val="2"/>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eastAsia="宋体" w:cs="宋体"/>
                <w:kern w:val="0"/>
                <w:sz w:val="24"/>
                <w:szCs w:val="24"/>
              </w:rPr>
            </w:pPr>
          </w:p>
        </w:tc>
        <w:tc>
          <w:tcPr>
            <w:tcW w:w="2977" w:type="dxa"/>
            <w:gridSpan w:val="2"/>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eastAsia="宋体" w:cs="宋体"/>
                <w:kern w:val="0"/>
                <w:sz w:val="24"/>
                <w:szCs w:val="24"/>
              </w:rPr>
            </w:pPr>
          </w:p>
        </w:tc>
        <w:tc>
          <w:tcPr>
            <w:tcW w:w="3827"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eastAsia="宋体" w:cs="宋体"/>
                <w:kern w:val="0"/>
                <w:sz w:val="24"/>
                <w:szCs w:val="24"/>
              </w:rPr>
            </w:pPr>
          </w:p>
        </w:tc>
      </w:tr>
      <w:tr>
        <w:tblPrEx>
          <w:tblLayout w:type="fixed"/>
          <w:tblCellMar>
            <w:top w:w="0" w:type="dxa"/>
            <w:left w:w="108" w:type="dxa"/>
            <w:bottom w:w="0" w:type="dxa"/>
            <w:right w:w="108" w:type="dxa"/>
          </w:tblCellMar>
        </w:tblPrEx>
        <w:trPr>
          <w:trHeight w:val="402" w:hRule="atLeast"/>
        </w:trPr>
        <w:tc>
          <w:tcPr>
            <w:tcW w:w="2709" w:type="dxa"/>
            <w:gridSpan w:val="3"/>
            <w:vMerge w:val="continue"/>
            <w:tcBorders>
              <w:top w:val="single" w:color="auto" w:sz="4" w:space="0"/>
              <w:left w:val="single" w:color="auto" w:sz="8"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2126"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2551" w:type="dxa"/>
            <w:gridSpan w:val="2"/>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eastAsia="宋体" w:cs="宋体"/>
                <w:kern w:val="0"/>
                <w:sz w:val="24"/>
                <w:szCs w:val="24"/>
              </w:rPr>
            </w:pPr>
          </w:p>
        </w:tc>
        <w:tc>
          <w:tcPr>
            <w:tcW w:w="2977" w:type="dxa"/>
            <w:gridSpan w:val="2"/>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eastAsia="宋体" w:cs="宋体"/>
                <w:kern w:val="0"/>
                <w:sz w:val="24"/>
                <w:szCs w:val="24"/>
              </w:rPr>
            </w:pPr>
          </w:p>
        </w:tc>
        <w:tc>
          <w:tcPr>
            <w:tcW w:w="3827"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eastAsia="宋体" w:cs="宋体"/>
                <w:kern w:val="0"/>
                <w:sz w:val="24"/>
                <w:szCs w:val="24"/>
              </w:rPr>
            </w:pPr>
          </w:p>
        </w:tc>
      </w:tr>
      <w:tr>
        <w:tblPrEx>
          <w:tblLayout w:type="fixed"/>
          <w:tblCellMar>
            <w:top w:w="0" w:type="dxa"/>
            <w:left w:w="108" w:type="dxa"/>
            <w:bottom w:w="0" w:type="dxa"/>
            <w:right w:w="108" w:type="dxa"/>
          </w:tblCellMar>
        </w:tblPrEx>
        <w:trPr>
          <w:trHeight w:val="402" w:hRule="atLeast"/>
        </w:trPr>
        <w:tc>
          <w:tcPr>
            <w:tcW w:w="4835" w:type="dxa"/>
            <w:gridSpan w:val="4"/>
            <w:tcBorders>
              <w:top w:val="single" w:color="auto" w:sz="4" w:space="0"/>
              <w:left w:val="single" w:color="auto" w:sz="8" w:space="0"/>
              <w:bottom w:val="single" w:color="auto" w:sz="4" w:space="0"/>
              <w:right w:val="single" w:color="000000"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栏次</w:t>
            </w:r>
          </w:p>
        </w:tc>
        <w:tc>
          <w:tcPr>
            <w:tcW w:w="2551" w:type="dxa"/>
            <w:gridSpan w:val="2"/>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1</w:t>
            </w:r>
          </w:p>
        </w:tc>
        <w:tc>
          <w:tcPr>
            <w:tcW w:w="2977" w:type="dxa"/>
            <w:gridSpan w:val="2"/>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2</w:t>
            </w:r>
          </w:p>
        </w:tc>
        <w:tc>
          <w:tcPr>
            <w:tcW w:w="3827"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3</w:t>
            </w:r>
          </w:p>
        </w:tc>
      </w:tr>
      <w:tr>
        <w:tblPrEx>
          <w:tblLayout w:type="fixed"/>
          <w:tblCellMar>
            <w:top w:w="0" w:type="dxa"/>
            <w:left w:w="108" w:type="dxa"/>
            <w:bottom w:w="0" w:type="dxa"/>
            <w:right w:w="108" w:type="dxa"/>
          </w:tblCellMar>
        </w:tblPrEx>
        <w:trPr>
          <w:trHeight w:val="402" w:hRule="atLeast"/>
        </w:trPr>
        <w:tc>
          <w:tcPr>
            <w:tcW w:w="4835" w:type="dxa"/>
            <w:gridSpan w:val="4"/>
            <w:tcBorders>
              <w:top w:val="nil"/>
              <w:left w:val="single" w:color="auto" w:sz="8" w:space="0"/>
              <w:bottom w:val="single" w:color="auto" w:sz="4" w:space="0"/>
              <w:right w:val="single" w:color="000000"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合计</w:t>
            </w:r>
          </w:p>
        </w:tc>
        <w:tc>
          <w:tcPr>
            <w:tcW w:w="2551" w:type="dxa"/>
            <w:gridSpan w:val="2"/>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2977" w:type="dxa"/>
            <w:gridSpan w:val="2"/>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3827"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r>
      <w:tr>
        <w:tblPrEx>
          <w:tblLayout w:type="fixed"/>
          <w:tblCellMar>
            <w:top w:w="0" w:type="dxa"/>
            <w:left w:w="108" w:type="dxa"/>
            <w:bottom w:w="0" w:type="dxa"/>
            <w:right w:w="108" w:type="dxa"/>
          </w:tblCellMar>
        </w:tblPrEx>
        <w:trPr>
          <w:trHeight w:val="402" w:hRule="atLeast"/>
        </w:trPr>
        <w:tc>
          <w:tcPr>
            <w:tcW w:w="1620" w:type="dxa"/>
            <w:gridSpan w:val="2"/>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3215" w:type="dxa"/>
            <w:gridSpan w:val="2"/>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kern w:val="0"/>
                <w:sz w:val="20"/>
                <w:szCs w:val="20"/>
              </w:rPr>
            </w:pPr>
            <w:r>
              <w:rPr>
                <w:rFonts w:hint="eastAsia" w:ascii="宋体" w:hAnsi="宋体" w:eastAsia="宋体" w:cs="宋体"/>
                <w:kern w:val="0"/>
                <w:sz w:val="20"/>
                <w:szCs w:val="20"/>
              </w:rPr>
              <w:t>　</w:t>
            </w:r>
          </w:p>
        </w:tc>
        <w:tc>
          <w:tcPr>
            <w:tcW w:w="2551" w:type="dxa"/>
            <w:gridSpan w:val="2"/>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2977" w:type="dxa"/>
            <w:gridSpan w:val="2"/>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3827"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r>
      <w:tr>
        <w:tblPrEx>
          <w:tblLayout w:type="fixed"/>
          <w:tblCellMar>
            <w:top w:w="0" w:type="dxa"/>
            <w:left w:w="108" w:type="dxa"/>
            <w:bottom w:w="0" w:type="dxa"/>
            <w:right w:w="108" w:type="dxa"/>
          </w:tblCellMar>
        </w:tblPrEx>
        <w:trPr>
          <w:trHeight w:val="402" w:hRule="atLeast"/>
        </w:trPr>
        <w:tc>
          <w:tcPr>
            <w:tcW w:w="1620" w:type="dxa"/>
            <w:gridSpan w:val="2"/>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3215" w:type="dxa"/>
            <w:gridSpan w:val="2"/>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2551" w:type="dxa"/>
            <w:gridSpan w:val="2"/>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2977" w:type="dxa"/>
            <w:gridSpan w:val="2"/>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3827"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r>
      <w:tr>
        <w:tblPrEx>
          <w:tblLayout w:type="fixed"/>
          <w:tblCellMar>
            <w:top w:w="0" w:type="dxa"/>
            <w:left w:w="108" w:type="dxa"/>
            <w:bottom w:w="0" w:type="dxa"/>
            <w:right w:w="108" w:type="dxa"/>
          </w:tblCellMar>
        </w:tblPrEx>
        <w:trPr>
          <w:trHeight w:val="402" w:hRule="atLeast"/>
        </w:trPr>
        <w:tc>
          <w:tcPr>
            <w:tcW w:w="1620" w:type="dxa"/>
            <w:gridSpan w:val="2"/>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3215" w:type="dxa"/>
            <w:gridSpan w:val="2"/>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kern w:val="0"/>
                <w:sz w:val="20"/>
                <w:szCs w:val="20"/>
              </w:rPr>
            </w:pPr>
            <w:r>
              <w:rPr>
                <w:rFonts w:hint="eastAsia" w:ascii="宋体" w:hAnsi="宋体" w:eastAsia="宋体" w:cs="宋体"/>
                <w:kern w:val="0"/>
                <w:sz w:val="20"/>
                <w:szCs w:val="20"/>
              </w:rPr>
              <w:t>　</w:t>
            </w:r>
          </w:p>
        </w:tc>
        <w:tc>
          <w:tcPr>
            <w:tcW w:w="2551" w:type="dxa"/>
            <w:gridSpan w:val="2"/>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2977" w:type="dxa"/>
            <w:gridSpan w:val="2"/>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3827"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r>
      <w:tr>
        <w:tblPrEx>
          <w:tblLayout w:type="fixed"/>
          <w:tblCellMar>
            <w:top w:w="0" w:type="dxa"/>
            <w:left w:w="108" w:type="dxa"/>
            <w:bottom w:w="0" w:type="dxa"/>
            <w:right w:w="108" w:type="dxa"/>
          </w:tblCellMar>
        </w:tblPrEx>
        <w:trPr>
          <w:trHeight w:val="402" w:hRule="atLeast"/>
        </w:trPr>
        <w:tc>
          <w:tcPr>
            <w:tcW w:w="1620" w:type="dxa"/>
            <w:gridSpan w:val="2"/>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3215" w:type="dxa"/>
            <w:gridSpan w:val="2"/>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2551" w:type="dxa"/>
            <w:gridSpan w:val="2"/>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2977" w:type="dxa"/>
            <w:gridSpan w:val="2"/>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3827"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r>
      <w:tr>
        <w:tblPrEx>
          <w:tblLayout w:type="fixed"/>
          <w:tblCellMar>
            <w:top w:w="0" w:type="dxa"/>
            <w:left w:w="108" w:type="dxa"/>
            <w:bottom w:w="0" w:type="dxa"/>
            <w:right w:w="108" w:type="dxa"/>
          </w:tblCellMar>
        </w:tblPrEx>
        <w:trPr>
          <w:trHeight w:val="402" w:hRule="atLeast"/>
        </w:trPr>
        <w:tc>
          <w:tcPr>
            <w:tcW w:w="1620" w:type="dxa"/>
            <w:gridSpan w:val="2"/>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3215" w:type="dxa"/>
            <w:gridSpan w:val="2"/>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2551" w:type="dxa"/>
            <w:gridSpan w:val="2"/>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2977" w:type="dxa"/>
            <w:gridSpan w:val="2"/>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3827"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r>
      <w:tr>
        <w:tblPrEx>
          <w:tblLayout w:type="fixed"/>
          <w:tblCellMar>
            <w:top w:w="0" w:type="dxa"/>
            <w:left w:w="108" w:type="dxa"/>
            <w:bottom w:w="0" w:type="dxa"/>
            <w:right w:w="108" w:type="dxa"/>
          </w:tblCellMar>
        </w:tblPrEx>
        <w:trPr>
          <w:trHeight w:val="402" w:hRule="atLeast"/>
        </w:trPr>
        <w:tc>
          <w:tcPr>
            <w:tcW w:w="1620" w:type="dxa"/>
            <w:gridSpan w:val="2"/>
            <w:tcBorders>
              <w:top w:val="single" w:color="auto" w:sz="4" w:space="0"/>
              <w:left w:val="single" w:color="auto" w:sz="8" w:space="0"/>
              <w:bottom w:val="single" w:color="auto" w:sz="8"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3215" w:type="dxa"/>
            <w:gridSpan w:val="2"/>
            <w:tcBorders>
              <w:top w:val="nil"/>
              <w:left w:val="nil"/>
              <w:bottom w:val="single" w:color="auto" w:sz="8" w:space="0"/>
              <w:right w:val="single" w:color="auto" w:sz="4" w:space="0"/>
            </w:tcBorders>
            <w:shd w:val="clear" w:color="auto" w:fill="auto"/>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2551" w:type="dxa"/>
            <w:gridSpan w:val="2"/>
            <w:tcBorders>
              <w:top w:val="nil"/>
              <w:left w:val="nil"/>
              <w:bottom w:val="single" w:color="auto" w:sz="8" w:space="0"/>
              <w:right w:val="single" w:color="auto" w:sz="4" w:space="0"/>
            </w:tcBorders>
            <w:shd w:val="clear" w:color="auto" w:fill="auto"/>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2977" w:type="dxa"/>
            <w:gridSpan w:val="2"/>
            <w:tcBorders>
              <w:top w:val="nil"/>
              <w:left w:val="nil"/>
              <w:bottom w:val="single" w:color="auto" w:sz="8" w:space="0"/>
              <w:right w:val="single" w:color="auto" w:sz="4" w:space="0"/>
            </w:tcBorders>
            <w:shd w:val="clear" w:color="auto" w:fill="auto"/>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3827" w:type="dxa"/>
            <w:tcBorders>
              <w:top w:val="nil"/>
              <w:left w:val="nil"/>
              <w:bottom w:val="single" w:color="auto" w:sz="8" w:space="0"/>
              <w:right w:val="single" w:color="auto" w:sz="4" w:space="0"/>
            </w:tcBorders>
            <w:shd w:val="clear" w:color="auto" w:fill="auto"/>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r>
      <w:tr>
        <w:tblPrEx>
          <w:tblLayout w:type="fixed"/>
          <w:tblCellMar>
            <w:top w:w="0" w:type="dxa"/>
            <w:left w:w="108" w:type="dxa"/>
            <w:bottom w:w="0" w:type="dxa"/>
            <w:right w:w="108" w:type="dxa"/>
          </w:tblCellMar>
        </w:tblPrEx>
        <w:trPr>
          <w:trHeight w:val="720" w:hRule="atLeast"/>
        </w:trPr>
        <w:tc>
          <w:tcPr>
            <w:tcW w:w="14190" w:type="dxa"/>
            <w:gridSpan w:val="9"/>
            <w:tcBorders>
              <w:top w:val="single" w:color="auto" w:sz="8" w:space="0"/>
              <w:left w:val="nil"/>
              <w:bottom w:val="nil"/>
              <w:right w:val="nil"/>
            </w:tcBorders>
            <w:shd w:val="clear" w:color="auto" w:fill="auto"/>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注：本表反映部门本年度国有资本经营预算财政拨款支出情况。</w:t>
            </w:r>
          </w:p>
        </w:tc>
      </w:tr>
    </w:tbl>
    <w:p>
      <w:pPr>
        <w:pStyle w:val="9"/>
        <w:rPr>
          <w:sz w:val="72"/>
          <w:szCs w:val="72"/>
        </w:rPr>
        <w:sectPr>
          <w:pgSz w:w="16838" w:h="11906" w:orient="landscape"/>
          <w:pgMar w:top="720" w:right="720" w:bottom="720" w:left="720" w:header="851" w:footer="992" w:gutter="0"/>
          <w:cols w:space="425" w:num="1"/>
          <w:docGrid w:type="lines" w:linePitch="312" w:charSpace="0"/>
        </w:sectPr>
      </w:pPr>
    </w:p>
    <w:p>
      <w:pPr>
        <w:pStyle w:val="9"/>
        <w:rPr>
          <w:sz w:val="72"/>
          <w:szCs w:val="72"/>
        </w:rPr>
      </w:pPr>
    </w:p>
    <w:p>
      <w:pPr>
        <w:pStyle w:val="9"/>
        <w:rPr>
          <w:sz w:val="72"/>
          <w:szCs w:val="72"/>
        </w:rPr>
      </w:pPr>
    </w:p>
    <w:p>
      <w:pPr>
        <w:pStyle w:val="9"/>
        <w:rPr>
          <w:sz w:val="72"/>
          <w:szCs w:val="72"/>
        </w:rPr>
      </w:pPr>
    </w:p>
    <w:p>
      <w:pPr>
        <w:pStyle w:val="9"/>
        <w:rPr>
          <w:sz w:val="72"/>
          <w:szCs w:val="72"/>
        </w:rPr>
      </w:pPr>
    </w:p>
    <w:p>
      <w:pPr>
        <w:pStyle w:val="9"/>
        <w:jc w:val="center"/>
        <w:rPr>
          <w:sz w:val="72"/>
          <w:szCs w:val="72"/>
        </w:rPr>
      </w:pPr>
    </w:p>
    <w:p>
      <w:pPr>
        <w:pStyle w:val="9"/>
        <w:jc w:val="center"/>
        <w:rPr>
          <w:sz w:val="72"/>
          <w:szCs w:val="72"/>
        </w:rPr>
      </w:pPr>
    </w:p>
    <w:p>
      <w:pPr>
        <w:pStyle w:val="9"/>
        <w:jc w:val="center"/>
        <w:rPr>
          <w:sz w:val="72"/>
          <w:szCs w:val="72"/>
        </w:rPr>
      </w:pPr>
      <w:r>
        <w:rPr>
          <w:rFonts w:hint="eastAsia"/>
          <w:sz w:val="72"/>
          <w:szCs w:val="72"/>
        </w:rPr>
        <w:t>第三部分</w:t>
      </w:r>
    </w:p>
    <w:p>
      <w:pPr>
        <w:pStyle w:val="9"/>
        <w:jc w:val="center"/>
        <w:rPr>
          <w:sz w:val="70"/>
          <w:szCs w:val="70"/>
        </w:rPr>
      </w:pPr>
    </w:p>
    <w:p>
      <w:pPr>
        <w:pStyle w:val="9"/>
        <w:jc w:val="center"/>
        <w:rPr>
          <w:sz w:val="70"/>
          <w:szCs w:val="70"/>
        </w:rPr>
      </w:pPr>
      <w:r>
        <w:rPr>
          <w:sz w:val="70"/>
          <w:szCs w:val="70"/>
        </w:rPr>
        <w:t>20</w:t>
      </w:r>
      <w:r>
        <w:rPr>
          <w:rFonts w:hint="eastAsia"/>
          <w:sz w:val="70"/>
          <w:szCs w:val="70"/>
        </w:rPr>
        <w:t>21年度部门决算情况说明</w:t>
      </w:r>
    </w:p>
    <w:p>
      <w:pPr>
        <w:widowControl/>
        <w:jc w:val="left"/>
        <w:rPr>
          <w:rFonts w:ascii="黑体" w:eastAsia="黑体" w:cs="黑体"/>
          <w:color w:val="000000"/>
          <w:kern w:val="0"/>
          <w:sz w:val="70"/>
          <w:szCs w:val="70"/>
        </w:rPr>
      </w:pPr>
      <w:r>
        <w:rPr>
          <w:sz w:val="70"/>
          <w:szCs w:val="70"/>
        </w:rPr>
        <w:br w:type="page"/>
      </w:r>
    </w:p>
    <w:p>
      <w:pPr>
        <w:pStyle w:val="9"/>
        <w:rPr>
          <w:rFonts w:asciiTheme="minorEastAsia" w:hAnsiTheme="minorEastAsia" w:eastAsiaTheme="minorEastAsia"/>
          <w:sz w:val="32"/>
          <w:szCs w:val="32"/>
        </w:rPr>
      </w:pPr>
    </w:p>
    <w:p>
      <w:pPr>
        <w:pStyle w:val="9"/>
        <w:rPr>
          <w:rFonts w:hAnsi="黑体"/>
          <w:b/>
          <w:sz w:val="32"/>
          <w:szCs w:val="32"/>
        </w:rPr>
      </w:pPr>
      <w:r>
        <w:rPr>
          <w:rFonts w:hint="eastAsia" w:hAnsi="黑体"/>
          <w:b/>
          <w:sz w:val="32"/>
          <w:szCs w:val="32"/>
        </w:rPr>
        <w:t>一、收入支出决算总体情况说明</w:t>
      </w:r>
    </w:p>
    <w:p>
      <w:pPr>
        <w:pStyle w:val="9"/>
        <w:ind w:firstLine="640" w:firstLineChars="200"/>
        <w:rPr>
          <w:rFonts w:hint="default" w:asciiTheme="minorEastAsia" w:hAnsiTheme="minorEastAsia" w:eastAsiaTheme="minorEastAsia"/>
          <w:sz w:val="32"/>
          <w:szCs w:val="32"/>
          <w:lang w:val="en-US" w:eastAsia="zh-CN"/>
        </w:rPr>
      </w:pPr>
      <w:r>
        <w:rPr>
          <w:rFonts w:hint="eastAsia" w:asciiTheme="minorEastAsia" w:hAnsiTheme="minorEastAsia" w:eastAsiaTheme="minorEastAsia"/>
          <w:sz w:val="32"/>
          <w:szCs w:val="32"/>
        </w:rPr>
        <w:t>2021年度收、支总计</w:t>
      </w:r>
      <w:r>
        <w:rPr>
          <w:rFonts w:hint="eastAsia" w:asciiTheme="minorEastAsia" w:hAnsiTheme="minorEastAsia" w:eastAsiaTheme="minorEastAsia"/>
          <w:sz w:val="32"/>
          <w:szCs w:val="32"/>
          <w:lang w:val="en-US" w:eastAsia="zh-CN"/>
        </w:rPr>
        <w:t>53.70</w:t>
      </w:r>
      <w:r>
        <w:rPr>
          <w:rFonts w:hint="eastAsia" w:asciiTheme="minorEastAsia" w:hAnsiTheme="minorEastAsia" w:eastAsiaTheme="minorEastAsia"/>
          <w:sz w:val="32"/>
          <w:szCs w:val="32"/>
        </w:rPr>
        <w:t>万元。与上年相比，增加</w:t>
      </w:r>
      <w:r>
        <w:rPr>
          <w:rFonts w:hint="eastAsia" w:asciiTheme="minorEastAsia" w:hAnsiTheme="minorEastAsia" w:eastAsiaTheme="minorEastAsia"/>
          <w:sz w:val="32"/>
          <w:szCs w:val="32"/>
          <w:lang w:val="en-US" w:eastAsia="zh-CN"/>
        </w:rPr>
        <w:t>12.47</w:t>
      </w:r>
      <w:r>
        <w:rPr>
          <w:rFonts w:hint="eastAsia" w:asciiTheme="minorEastAsia" w:hAnsiTheme="minorEastAsia" w:eastAsiaTheme="minorEastAsia"/>
          <w:sz w:val="32"/>
          <w:szCs w:val="32"/>
        </w:rPr>
        <w:t>万元，增长</w:t>
      </w:r>
      <w:r>
        <w:rPr>
          <w:rFonts w:hint="eastAsia" w:asciiTheme="minorEastAsia" w:hAnsiTheme="minorEastAsia" w:eastAsiaTheme="minorEastAsia"/>
          <w:sz w:val="32"/>
          <w:szCs w:val="32"/>
          <w:lang w:val="en-US" w:eastAsia="zh-CN"/>
        </w:rPr>
        <w:t>30.24</w:t>
      </w:r>
      <w:r>
        <w:rPr>
          <w:rFonts w:hint="eastAsia" w:asciiTheme="minorEastAsia" w:hAnsiTheme="minorEastAsia" w:eastAsiaTheme="minorEastAsia"/>
          <w:sz w:val="32"/>
          <w:szCs w:val="32"/>
        </w:rPr>
        <w:t>%，主要是因为</w:t>
      </w:r>
      <w:r>
        <w:rPr>
          <w:rFonts w:hint="eastAsia" w:asciiTheme="minorEastAsia" w:hAnsiTheme="minorEastAsia" w:eastAsiaTheme="minorEastAsia"/>
          <w:sz w:val="32"/>
          <w:szCs w:val="32"/>
          <w:lang w:val="en-US" w:eastAsia="zh-CN"/>
        </w:rPr>
        <w:t>基本收入和项目收入增加。</w:t>
      </w:r>
    </w:p>
    <w:p>
      <w:pPr>
        <w:pStyle w:val="9"/>
        <w:rPr>
          <w:rFonts w:hAnsi="黑体"/>
          <w:b/>
          <w:sz w:val="32"/>
          <w:szCs w:val="32"/>
        </w:rPr>
      </w:pPr>
      <w:r>
        <w:rPr>
          <w:rFonts w:hint="eastAsia" w:hAnsi="黑体"/>
          <w:b/>
          <w:sz w:val="32"/>
          <w:szCs w:val="32"/>
        </w:rPr>
        <w:t>二、收入决算情况说明</w:t>
      </w:r>
    </w:p>
    <w:p>
      <w:pPr>
        <w:pStyle w:val="9"/>
        <w:ind w:firstLine="640" w:firstLineChars="200"/>
        <w:rPr>
          <w:rFonts w:asciiTheme="minorEastAsia" w:hAnsiTheme="minorEastAsia" w:eastAsiaTheme="minorEastAsia"/>
          <w:sz w:val="32"/>
          <w:szCs w:val="32"/>
        </w:rPr>
      </w:pPr>
      <w:r>
        <w:rPr>
          <w:rFonts w:hint="eastAsia" w:asciiTheme="minorEastAsia" w:hAnsiTheme="minorEastAsia" w:eastAsiaTheme="minorEastAsia"/>
          <w:sz w:val="32"/>
          <w:szCs w:val="32"/>
        </w:rPr>
        <w:t>2021年度收入合计</w:t>
      </w:r>
      <w:r>
        <w:rPr>
          <w:rFonts w:hint="eastAsia" w:asciiTheme="minorEastAsia" w:hAnsiTheme="minorEastAsia" w:eastAsiaTheme="minorEastAsia"/>
          <w:sz w:val="32"/>
          <w:szCs w:val="32"/>
          <w:lang w:val="en-US" w:eastAsia="zh-CN"/>
        </w:rPr>
        <w:t>53.70</w:t>
      </w:r>
      <w:r>
        <w:rPr>
          <w:rFonts w:hint="eastAsia" w:asciiTheme="minorEastAsia" w:hAnsiTheme="minorEastAsia" w:eastAsiaTheme="minorEastAsia"/>
          <w:sz w:val="32"/>
          <w:szCs w:val="32"/>
        </w:rPr>
        <w:t>万元，其中：财政拨款收入</w:t>
      </w:r>
      <w:r>
        <w:rPr>
          <w:rFonts w:hint="eastAsia" w:asciiTheme="minorEastAsia" w:hAnsiTheme="minorEastAsia" w:eastAsiaTheme="minorEastAsia"/>
          <w:sz w:val="32"/>
          <w:szCs w:val="32"/>
          <w:lang w:val="en-US" w:eastAsia="zh-CN"/>
        </w:rPr>
        <w:t>53.70</w:t>
      </w:r>
      <w:r>
        <w:rPr>
          <w:rFonts w:hint="eastAsia" w:asciiTheme="minorEastAsia" w:hAnsiTheme="minorEastAsia" w:eastAsiaTheme="minorEastAsia"/>
          <w:sz w:val="32"/>
          <w:szCs w:val="32"/>
        </w:rPr>
        <w:t>万元，占</w:t>
      </w:r>
      <w:r>
        <w:rPr>
          <w:rFonts w:hint="eastAsia" w:asciiTheme="minorEastAsia" w:hAnsiTheme="minorEastAsia" w:eastAsiaTheme="minorEastAsia"/>
          <w:sz w:val="32"/>
          <w:szCs w:val="32"/>
          <w:lang w:val="en-US" w:eastAsia="zh-CN"/>
        </w:rPr>
        <w:t>100</w:t>
      </w:r>
      <w:r>
        <w:rPr>
          <w:rFonts w:hint="eastAsia" w:asciiTheme="minorEastAsia" w:hAnsiTheme="minorEastAsia" w:eastAsiaTheme="minorEastAsia"/>
          <w:sz w:val="32"/>
          <w:szCs w:val="32"/>
        </w:rPr>
        <w:t>%；</w:t>
      </w:r>
      <w:r>
        <w:rPr>
          <w:rFonts w:hint="eastAsia" w:asciiTheme="minorEastAsia" w:hAnsiTheme="minorEastAsia" w:eastAsiaTheme="minorEastAsia"/>
          <w:sz w:val="32"/>
          <w:szCs w:val="32"/>
          <w:lang w:val="en-US" w:eastAsia="zh-CN"/>
        </w:rPr>
        <w:t>无</w:t>
      </w:r>
      <w:r>
        <w:rPr>
          <w:rFonts w:hint="eastAsia" w:asciiTheme="minorEastAsia" w:hAnsiTheme="minorEastAsia" w:eastAsiaTheme="minorEastAsia"/>
          <w:sz w:val="32"/>
          <w:szCs w:val="32"/>
        </w:rPr>
        <w:t>上级补助收入；</w:t>
      </w:r>
      <w:r>
        <w:rPr>
          <w:rFonts w:hint="eastAsia" w:asciiTheme="minorEastAsia" w:hAnsiTheme="minorEastAsia" w:eastAsiaTheme="minorEastAsia"/>
          <w:sz w:val="32"/>
          <w:szCs w:val="32"/>
          <w:lang w:val="en-US" w:eastAsia="zh-CN"/>
        </w:rPr>
        <w:t>无</w:t>
      </w:r>
      <w:r>
        <w:rPr>
          <w:rFonts w:hint="eastAsia" w:asciiTheme="minorEastAsia" w:hAnsiTheme="minorEastAsia" w:eastAsiaTheme="minorEastAsia"/>
          <w:sz w:val="32"/>
          <w:szCs w:val="32"/>
        </w:rPr>
        <w:t>事业收入；</w:t>
      </w:r>
      <w:r>
        <w:rPr>
          <w:rFonts w:hint="eastAsia" w:asciiTheme="minorEastAsia" w:hAnsiTheme="minorEastAsia" w:eastAsiaTheme="minorEastAsia"/>
          <w:sz w:val="32"/>
          <w:szCs w:val="32"/>
          <w:lang w:val="en-US" w:eastAsia="zh-CN"/>
        </w:rPr>
        <w:t>无</w:t>
      </w:r>
      <w:r>
        <w:rPr>
          <w:rFonts w:hint="eastAsia" w:asciiTheme="minorEastAsia" w:hAnsiTheme="minorEastAsia" w:eastAsiaTheme="minorEastAsia"/>
          <w:sz w:val="32"/>
          <w:szCs w:val="32"/>
        </w:rPr>
        <w:t>经营收入；</w:t>
      </w:r>
      <w:r>
        <w:rPr>
          <w:rFonts w:hint="eastAsia" w:asciiTheme="minorEastAsia" w:hAnsiTheme="minorEastAsia" w:eastAsiaTheme="minorEastAsia"/>
          <w:sz w:val="32"/>
          <w:szCs w:val="32"/>
          <w:lang w:val="en-US" w:eastAsia="zh-CN"/>
        </w:rPr>
        <w:t>无</w:t>
      </w:r>
      <w:r>
        <w:rPr>
          <w:rFonts w:hint="eastAsia" w:asciiTheme="minorEastAsia" w:hAnsiTheme="minorEastAsia" w:eastAsiaTheme="minorEastAsia"/>
          <w:sz w:val="32"/>
          <w:szCs w:val="32"/>
        </w:rPr>
        <w:t>附属单位上缴收入；</w:t>
      </w:r>
      <w:r>
        <w:rPr>
          <w:rFonts w:hint="eastAsia" w:asciiTheme="minorEastAsia" w:hAnsiTheme="minorEastAsia" w:eastAsiaTheme="minorEastAsia"/>
          <w:sz w:val="32"/>
          <w:szCs w:val="32"/>
          <w:lang w:val="en-US" w:eastAsia="zh-CN"/>
        </w:rPr>
        <w:t>无</w:t>
      </w:r>
      <w:r>
        <w:rPr>
          <w:rFonts w:hint="eastAsia" w:asciiTheme="minorEastAsia" w:hAnsiTheme="minorEastAsia" w:eastAsiaTheme="minorEastAsia"/>
          <w:sz w:val="32"/>
          <w:szCs w:val="32"/>
        </w:rPr>
        <w:t>其他收入。</w:t>
      </w:r>
    </w:p>
    <w:p>
      <w:pPr>
        <w:pStyle w:val="9"/>
        <w:rPr>
          <w:rFonts w:hAnsi="黑体"/>
          <w:b/>
          <w:sz w:val="32"/>
          <w:szCs w:val="32"/>
        </w:rPr>
      </w:pPr>
      <w:r>
        <w:rPr>
          <w:rFonts w:hint="eastAsia" w:hAnsi="黑体"/>
          <w:b/>
          <w:sz w:val="32"/>
          <w:szCs w:val="32"/>
        </w:rPr>
        <w:t>三、支出决算情况说明</w:t>
      </w:r>
    </w:p>
    <w:p>
      <w:pPr>
        <w:pStyle w:val="9"/>
        <w:ind w:firstLine="640" w:firstLineChars="200"/>
        <w:rPr>
          <w:rFonts w:asciiTheme="minorEastAsia" w:hAnsiTheme="minorEastAsia" w:eastAsiaTheme="minorEastAsia"/>
          <w:sz w:val="32"/>
          <w:szCs w:val="32"/>
        </w:rPr>
      </w:pPr>
      <w:r>
        <w:rPr>
          <w:rFonts w:hint="eastAsia" w:asciiTheme="minorEastAsia" w:hAnsiTheme="minorEastAsia" w:eastAsiaTheme="minorEastAsia"/>
          <w:sz w:val="32"/>
          <w:szCs w:val="32"/>
        </w:rPr>
        <w:t>2021年度支出合计</w:t>
      </w:r>
      <w:r>
        <w:rPr>
          <w:rFonts w:hint="eastAsia" w:asciiTheme="minorEastAsia" w:hAnsiTheme="minorEastAsia" w:eastAsiaTheme="minorEastAsia"/>
          <w:sz w:val="32"/>
          <w:szCs w:val="32"/>
          <w:lang w:val="en-US" w:eastAsia="zh-CN"/>
        </w:rPr>
        <w:t>53.7</w:t>
      </w:r>
      <w:r>
        <w:rPr>
          <w:rFonts w:hint="eastAsia" w:asciiTheme="minorEastAsia" w:hAnsiTheme="minorEastAsia" w:eastAsiaTheme="minorEastAsia"/>
          <w:sz w:val="32"/>
          <w:szCs w:val="32"/>
        </w:rPr>
        <w:t>万元，其中：基本支出</w:t>
      </w:r>
      <w:r>
        <w:rPr>
          <w:rFonts w:hint="eastAsia" w:asciiTheme="minorEastAsia" w:hAnsiTheme="minorEastAsia" w:eastAsiaTheme="minorEastAsia"/>
          <w:sz w:val="32"/>
          <w:szCs w:val="32"/>
          <w:lang w:val="en-US" w:eastAsia="zh-CN"/>
        </w:rPr>
        <w:t>46.70</w:t>
      </w:r>
      <w:r>
        <w:rPr>
          <w:rFonts w:hint="eastAsia" w:asciiTheme="minorEastAsia" w:hAnsiTheme="minorEastAsia" w:eastAsiaTheme="minorEastAsia"/>
          <w:sz w:val="32"/>
          <w:szCs w:val="32"/>
        </w:rPr>
        <w:t>万元，占</w:t>
      </w:r>
      <w:r>
        <w:rPr>
          <w:rFonts w:hint="eastAsia" w:asciiTheme="minorEastAsia" w:hAnsiTheme="minorEastAsia" w:eastAsiaTheme="minorEastAsia"/>
          <w:sz w:val="32"/>
          <w:szCs w:val="32"/>
          <w:lang w:val="en-US" w:eastAsia="zh-CN"/>
        </w:rPr>
        <w:t>86.96</w:t>
      </w:r>
      <w:r>
        <w:rPr>
          <w:rFonts w:hint="eastAsia" w:asciiTheme="minorEastAsia" w:hAnsiTheme="minorEastAsia" w:eastAsiaTheme="minorEastAsia"/>
          <w:sz w:val="32"/>
          <w:szCs w:val="32"/>
        </w:rPr>
        <w:t>%；项目支出</w:t>
      </w:r>
      <w:r>
        <w:rPr>
          <w:rFonts w:hint="eastAsia" w:asciiTheme="minorEastAsia" w:hAnsiTheme="minorEastAsia" w:eastAsiaTheme="minorEastAsia"/>
          <w:sz w:val="32"/>
          <w:szCs w:val="32"/>
          <w:lang w:val="en-US" w:eastAsia="zh-CN"/>
        </w:rPr>
        <w:t>7</w:t>
      </w:r>
      <w:r>
        <w:rPr>
          <w:rFonts w:hint="eastAsia" w:asciiTheme="minorEastAsia" w:hAnsiTheme="minorEastAsia" w:eastAsiaTheme="minorEastAsia"/>
          <w:sz w:val="32"/>
          <w:szCs w:val="32"/>
        </w:rPr>
        <w:t>万元，占</w:t>
      </w:r>
      <w:r>
        <w:rPr>
          <w:rFonts w:hint="eastAsia" w:asciiTheme="minorEastAsia" w:hAnsiTheme="minorEastAsia" w:eastAsiaTheme="minorEastAsia"/>
          <w:sz w:val="32"/>
          <w:szCs w:val="32"/>
          <w:lang w:val="en-US" w:eastAsia="zh-CN"/>
        </w:rPr>
        <w:t>13.04</w:t>
      </w:r>
      <w:r>
        <w:rPr>
          <w:rFonts w:hint="eastAsia" w:asciiTheme="minorEastAsia" w:hAnsiTheme="minorEastAsia" w:eastAsiaTheme="minorEastAsia"/>
          <w:sz w:val="32"/>
          <w:szCs w:val="32"/>
        </w:rPr>
        <w:t>%。</w:t>
      </w:r>
    </w:p>
    <w:p>
      <w:pPr>
        <w:pStyle w:val="9"/>
        <w:rPr>
          <w:rFonts w:hAnsi="黑体"/>
          <w:b/>
          <w:sz w:val="32"/>
          <w:szCs w:val="32"/>
        </w:rPr>
      </w:pPr>
      <w:r>
        <w:rPr>
          <w:rFonts w:hint="eastAsia" w:hAnsi="黑体"/>
          <w:b/>
          <w:sz w:val="32"/>
          <w:szCs w:val="32"/>
        </w:rPr>
        <w:t>四、财政拨款收入支出决算总体情况说明</w:t>
      </w:r>
    </w:p>
    <w:p>
      <w:pPr>
        <w:pStyle w:val="9"/>
        <w:ind w:firstLine="640"/>
        <w:rPr>
          <w:rFonts w:hint="eastAsia" w:asciiTheme="minorEastAsia" w:hAnsiTheme="minorEastAsia" w:eastAsiaTheme="minorEastAsia"/>
          <w:sz w:val="32"/>
          <w:szCs w:val="32"/>
          <w:lang w:val="en-US" w:eastAsia="zh-CN"/>
        </w:rPr>
      </w:pPr>
      <w:r>
        <w:rPr>
          <w:rFonts w:hint="eastAsia" w:asciiTheme="minorEastAsia" w:hAnsiTheme="minorEastAsia" w:eastAsiaTheme="minorEastAsia"/>
          <w:sz w:val="32"/>
          <w:szCs w:val="32"/>
        </w:rPr>
        <w:t>2021年度财政拨款收、支总计</w:t>
      </w:r>
      <w:r>
        <w:rPr>
          <w:rFonts w:hint="eastAsia" w:asciiTheme="minorEastAsia" w:hAnsiTheme="minorEastAsia" w:eastAsiaTheme="minorEastAsia"/>
          <w:sz w:val="32"/>
          <w:szCs w:val="32"/>
          <w:lang w:val="en-US" w:eastAsia="zh-CN"/>
        </w:rPr>
        <w:t>53.70</w:t>
      </w:r>
      <w:r>
        <w:rPr>
          <w:rFonts w:hint="eastAsia" w:asciiTheme="minorEastAsia" w:hAnsiTheme="minorEastAsia" w:eastAsiaTheme="minorEastAsia"/>
          <w:sz w:val="32"/>
          <w:szCs w:val="32"/>
        </w:rPr>
        <w:t>万元，与上年相比，增加</w:t>
      </w:r>
      <w:r>
        <w:rPr>
          <w:rFonts w:hint="eastAsia" w:asciiTheme="minorEastAsia" w:hAnsiTheme="minorEastAsia" w:eastAsiaTheme="minorEastAsia"/>
          <w:sz w:val="32"/>
          <w:szCs w:val="32"/>
          <w:lang w:val="en-US" w:eastAsia="zh-CN"/>
        </w:rPr>
        <w:t>12.47</w:t>
      </w:r>
      <w:r>
        <w:rPr>
          <w:rFonts w:hint="eastAsia" w:asciiTheme="minorEastAsia" w:hAnsiTheme="minorEastAsia" w:eastAsiaTheme="minorEastAsia"/>
          <w:sz w:val="32"/>
          <w:szCs w:val="32"/>
        </w:rPr>
        <w:t>万元,增长</w:t>
      </w:r>
      <w:r>
        <w:rPr>
          <w:rFonts w:hint="eastAsia" w:asciiTheme="minorEastAsia" w:hAnsiTheme="minorEastAsia" w:eastAsiaTheme="minorEastAsia"/>
          <w:sz w:val="32"/>
          <w:szCs w:val="32"/>
          <w:lang w:val="en-US" w:eastAsia="zh-CN"/>
        </w:rPr>
        <w:t>30.24</w:t>
      </w:r>
      <w:r>
        <w:rPr>
          <w:rFonts w:hint="eastAsia" w:asciiTheme="minorEastAsia" w:hAnsiTheme="minorEastAsia" w:eastAsiaTheme="minorEastAsia"/>
          <w:sz w:val="32"/>
          <w:szCs w:val="32"/>
        </w:rPr>
        <w:t>%，主要是因为</w:t>
      </w:r>
      <w:r>
        <w:rPr>
          <w:rFonts w:hint="eastAsia" w:asciiTheme="minorEastAsia" w:hAnsiTheme="minorEastAsia" w:eastAsiaTheme="minorEastAsia"/>
          <w:sz w:val="32"/>
          <w:szCs w:val="32"/>
          <w:lang w:val="en-US" w:eastAsia="zh-CN"/>
        </w:rPr>
        <w:t>基本收入和项目收入增加。</w:t>
      </w:r>
    </w:p>
    <w:p>
      <w:pPr>
        <w:pStyle w:val="9"/>
        <w:rPr>
          <w:rFonts w:hAnsi="黑体"/>
          <w:b/>
          <w:sz w:val="32"/>
          <w:szCs w:val="32"/>
        </w:rPr>
      </w:pPr>
      <w:r>
        <w:rPr>
          <w:rFonts w:hint="eastAsia" w:hAnsi="黑体"/>
          <w:b/>
          <w:sz w:val="32"/>
          <w:szCs w:val="32"/>
        </w:rPr>
        <w:t>五、一般公共预算财政拨款支出决算情况说明</w:t>
      </w:r>
    </w:p>
    <w:p>
      <w:pPr>
        <w:pStyle w:val="9"/>
        <w:ind w:firstLine="640" w:firstLineChars="200"/>
        <w:rPr>
          <w:rFonts w:asciiTheme="minorEastAsia" w:hAnsiTheme="minorEastAsia" w:eastAsiaTheme="minorEastAsia"/>
          <w:b/>
          <w:sz w:val="32"/>
          <w:szCs w:val="32"/>
        </w:rPr>
      </w:pPr>
      <w:r>
        <w:rPr>
          <w:rFonts w:hint="eastAsia" w:asciiTheme="minorEastAsia" w:hAnsiTheme="minorEastAsia" w:eastAsiaTheme="minorEastAsia"/>
          <w:b/>
          <w:sz w:val="32"/>
          <w:szCs w:val="32"/>
        </w:rPr>
        <w:t>（一）财政拨款支出决算总体情况</w:t>
      </w:r>
    </w:p>
    <w:p>
      <w:pPr>
        <w:pStyle w:val="9"/>
        <w:ind w:firstLine="800" w:firstLineChars="250"/>
        <w:rPr>
          <w:rFonts w:asciiTheme="minorEastAsia" w:hAnsiTheme="minorEastAsia" w:eastAsiaTheme="minorEastAsia"/>
          <w:sz w:val="32"/>
          <w:szCs w:val="32"/>
        </w:rPr>
      </w:pPr>
      <w:r>
        <w:rPr>
          <w:rFonts w:hint="eastAsia" w:asciiTheme="minorEastAsia" w:hAnsiTheme="minorEastAsia" w:eastAsiaTheme="minorEastAsia"/>
          <w:sz w:val="32"/>
          <w:szCs w:val="32"/>
        </w:rPr>
        <w:t>2021年度财政拨款支出</w:t>
      </w:r>
      <w:r>
        <w:rPr>
          <w:rFonts w:hint="eastAsia" w:asciiTheme="minorEastAsia" w:hAnsiTheme="minorEastAsia" w:eastAsiaTheme="minorEastAsia"/>
          <w:sz w:val="32"/>
          <w:szCs w:val="32"/>
          <w:lang w:val="en-US" w:eastAsia="zh-CN"/>
        </w:rPr>
        <w:t>53.70</w:t>
      </w:r>
      <w:r>
        <w:rPr>
          <w:rFonts w:hint="eastAsia" w:asciiTheme="minorEastAsia" w:hAnsiTheme="minorEastAsia" w:eastAsiaTheme="minorEastAsia"/>
          <w:sz w:val="32"/>
          <w:szCs w:val="32"/>
        </w:rPr>
        <w:t>万元，占本年支出合计的</w:t>
      </w:r>
      <w:r>
        <w:rPr>
          <w:rFonts w:hint="eastAsia" w:asciiTheme="minorEastAsia" w:hAnsiTheme="minorEastAsia" w:eastAsiaTheme="minorEastAsia"/>
          <w:sz w:val="32"/>
          <w:szCs w:val="32"/>
          <w:lang w:val="en-US" w:eastAsia="zh-CN"/>
        </w:rPr>
        <w:t>100</w:t>
      </w:r>
      <w:r>
        <w:rPr>
          <w:rFonts w:hint="eastAsia" w:asciiTheme="minorEastAsia" w:hAnsiTheme="minorEastAsia" w:eastAsiaTheme="minorEastAsia"/>
          <w:sz w:val="32"/>
          <w:szCs w:val="32"/>
        </w:rPr>
        <w:t>%，与上年相比，财政拨款支出增加</w:t>
      </w:r>
      <w:r>
        <w:rPr>
          <w:rFonts w:hint="eastAsia" w:asciiTheme="minorEastAsia" w:hAnsiTheme="minorEastAsia" w:eastAsiaTheme="minorEastAsia"/>
          <w:sz w:val="32"/>
          <w:szCs w:val="32"/>
          <w:lang w:val="en-US" w:eastAsia="zh-CN"/>
        </w:rPr>
        <w:t>12.47</w:t>
      </w:r>
      <w:r>
        <w:rPr>
          <w:rFonts w:hint="eastAsia" w:asciiTheme="minorEastAsia" w:hAnsiTheme="minorEastAsia" w:eastAsiaTheme="minorEastAsia"/>
          <w:sz w:val="32"/>
          <w:szCs w:val="32"/>
        </w:rPr>
        <w:t>万元，增长</w:t>
      </w:r>
      <w:r>
        <w:rPr>
          <w:rFonts w:hint="eastAsia" w:asciiTheme="minorEastAsia" w:hAnsiTheme="minorEastAsia" w:eastAsiaTheme="minorEastAsia"/>
          <w:sz w:val="32"/>
          <w:szCs w:val="32"/>
          <w:lang w:val="en-US" w:eastAsia="zh-CN"/>
        </w:rPr>
        <w:t>30.24</w:t>
      </w:r>
      <w:r>
        <w:rPr>
          <w:rFonts w:hint="eastAsia" w:asciiTheme="minorEastAsia" w:hAnsiTheme="minorEastAsia" w:eastAsiaTheme="minorEastAsia"/>
          <w:sz w:val="32"/>
          <w:szCs w:val="32"/>
        </w:rPr>
        <w:t>%，主要是因为</w:t>
      </w:r>
      <w:r>
        <w:rPr>
          <w:rFonts w:hint="eastAsia" w:asciiTheme="minorEastAsia" w:hAnsiTheme="minorEastAsia" w:eastAsiaTheme="minorEastAsia"/>
          <w:sz w:val="32"/>
          <w:szCs w:val="32"/>
          <w:lang w:val="en-US" w:eastAsia="zh-CN"/>
        </w:rPr>
        <w:t>基本收入和项目收入增加。</w:t>
      </w:r>
    </w:p>
    <w:p>
      <w:pPr>
        <w:pStyle w:val="9"/>
        <w:ind w:firstLine="480" w:firstLineChars="150"/>
        <w:rPr>
          <w:rFonts w:asciiTheme="minorEastAsia" w:hAnsiTheme="minorEastAsia" w:eastAsiaTheme="minorEastAsia"/>
          <w:b/>
          <w:sz w:val="32"/>
          <w:szCs w:val="32"/>
        </w:rPr>
      </w:pPr>
      <w:r>
        <w:rPr>
          <w:rFonts w:hint="eastAsia" w:asciiTheme="minorEastAsia" w:hAnsiTheme="minorEastAsia" w:eastAsiaTheme="minorEastAsia"/>
          <w:b/>
          <w:sz w:val="32"/>
          <w:szCs w:val="32"/>
        </w:rPr>
        <w:t>（二）财政拨款支出决算结构情况</w:t>
      </w:r>
    </w:p>
    <w:p>
      <w:pPr>
        <w:pStyle w:val="9"/>
        <w:ind w:firstLine="640" w:firstLineChars="200"/>
        <w:rPr>
          <w:rFonts w:hint="eastAsia" w:asciiTheme="minorEastAsia" w:hAnsiTheme="minorEastAsia" w:eastAsiaTheme="minorEastAsia"/>
          <w:sz w:val="32"/>
          <w:szCs w:val="32"/>
          <w:lang w:eastAsia="zh-CN"/>
        </w:rPr>
      </w:pPr>
      <w:r>
        <w:rPr>
          <w:rFonts w:hint="eastAsia" w:asciiTheme="minorEastAsia" w:hAnsiTheme="minorEastAsia" w:eastAsiaTheme="minorEastAsia"/>
          <w:sz w:val="32"/>
          <w:szCs w:val="32"/>
        </w:rPr>
        <w:t>2021年度财政拨款支出</w:t>
      </w:r>
      <w:r>
        <w:rPr>
          <w:rFonts w:hint="eastAsia" w:asciiTheme="minorEastAsia" w:hAnsiTheme="minorEastAsia" w:eastAsiaTheme="minorEastAsia"/>
          <w:sz w:val="32"/>
          <w:szCs w:val="32"/>
          <w:lang w:val="en-US" w:eastAsia="zh-CN"/>
        </w:rPr>
        <w:t>53.70</w:t>
      </w:r>
      <w:r>
        <w:rPr>
          <w:rFonts w:hint="eastAsia" w:asciiTheme="minorEastAsia" w:hAnsiTheme="minorEastAsia" w:eastAsiaTheme="minorEastAsia"/>
          <w:sz w:val="32"/>
          <w:szCs w:val="32"/>
        </w:rPr>
        <w:t>万元，主要用于以下方面：一般公共服务（类）支出</w:t>
      </w:r>
      <w:r>
        <w:rPr>
          <w:rFonts w:hint="eastAsia" w:asciiTheme="minorEastAsia" w:hAnsiTheme="minorEastAsia" w:eastAsiaTheme="minorEastAsia"/>
          <w:sz w:val="32"/>
          <w:szCs w:val="32"/>
          <w:lang w:val="en-US" w:eastAsia="zh-CN"/>
        </w:rPr>
        <w:t>53.70</w:t>
      </w:r>
      <w:r>
        <w:rPr>
          <w:rFonts w:hint="eastAsia" w:asciiTheme="minorEastAsia" w:hAnsiTheme="minorEastAsia" w:eastAsiaTheme="minorEastAsia"/>
          <w:sz w:val="32"/>
          <w:szCs w:val="32"/>
        </w:rPr>
        <w:t>万元，占</w:t>
      </w:r>
      <w:r>
        <w:rPr>
          <w:rFonts w:hint="eastAsia" w:asciiTheme="minorEastAsia" w:hAnsiTheme="minorEastAsia" w:eastAsiaTheme="minorEastAsia"/>
          <w:sz w:val="32"/>
          <w:szCs w:val="32"/>
          <w:lang w:val="en-US" w:eastAsia="zh-CN"/>
        </w:rPr>
        <w:t>100</w:t>
      </w:r>
      <w:r>
        <w:rPr>
          <w:rFonts w:hint="eastAsia" w:asciiTheme="minorEastAsia" w:hAnsiTheme="minorEastAsia" w:eastAsiaTheme="minorEastAsia"/>
          <w:sz w:val="32"/>
          <w:szCs w:val="32"/>
        </w:rPr>
        <w:t>%</w:t>
      </w:r>
      <w:r>
        <w:rPr>
          <w:rFonts w:hint="eastAsia" w:asciiTheme="minorEastAsia" w:hAnsiTheme="minorEastAsia" w:eastAsiaTheme="minorEastAsia"/>
          <w:sz w:val="32"/>
          <w:szCs w:val="32"/>
          <w:lang w:eastAsia="zh-CN"/>
        </w:rPr>
        <w:t>。</w:t>
      </w:r>
    </w:p>
    <w:p>
      <w:pPr>
        <w:pStyle w:val="9"/>
        <w:ind w:firstLine="800" w:firstLineChars="250"/>
        <w:rPr>
          <w:rFonts w:asciiTheme="minorEastAsia" w:hAnsiTheme="minorEastAsia" w:eastAsiaTheme="minorEastAsia"/>
          <w:b/>
          <w:sz w:val="32"/>
          <w:szCs w:val="32"/>
        </w:rPr>
      </w:pPr>
      <w:r>
        <w:rPr>
          <w:rFonts w:hint="eastAsia" w:asciiTheme="minorEastAsia" w:hAnsiTheme="minorEastAsia" w:eastAsiaTheme="minorEastAsia"/>
          <w:b/>
          <w:sz w:val="32"/>
          <w:szCs w:val="32"/>
        </w:rPr>
        <w:t>（三）财政拨款支出决算具体情况</w:t>
      </w:r>
    </w:p>
    <w:p>
      <w:pPr>
        <w:pStyle w:val="9"/>
        <w:ind w:firstLine="800" w:firstLineChars="250"/>
        <w:rPr>
          <w:rFonts w:asciiTheme="minorEastAsia" w:hAnsiTheme="minorEastAsia" w:eastAsiaTheme="minorEastAsia"/>
          <w:sz w:val="32"/>
          <w:szCs w:val="32"/>
        </w:rPr>
      </w:pPr>
      <w:r>
        <w:rPr>
          <w:rFonts w:hint="eastAsia" w:asciiTheme="minorEastAsia" w:hAnsiTheme="minorEastAsia" w:eastAsiaTheme="minorEastAsia"/>
          <w:sz w:val="32"/>
          <w:szCs w:val="32"/>
        </w:rPr>
        <w:t>2021年度财政拨款支出年初预算数为</w:t>
      </w:r>
      <w:r>
        <w:rPr>
          <w:rFonts w:hint="eastAsia" w:asciiTheme="minorEastAsia" w:hAnsiTheme="minorEastAsia" w:eastAsiaTheme="minorEastAsia"/>
          <w:sz w:val="32"/>
          <w:szCs w:val="32"/>
          <w:lang w:val="en-US" w:eastAsia="zh-CN"/>
        </w:rPr>
        <w:t>56.03</w:t>
      </w:r>
      <w:r>
        <w:rPr>
          <w:rFonts w:hint="eastAsia" w:asciiTheme="minorEastAsia" w:hAnsiTheme="minorEastAsia" w:eastAsiaTheme="minorEastAsia"/>
          <w:sz w:val="32"/>
          <w:szCs w:val="32"/>
        </w:rPr>
        <w:t>万元，支出决算数为</w:t>
      </w:r>
      <w:r>
        <w:rPr>
          <w:rFonts w:hint="eastAsia" w:asciiTheme="minorEastAsia" w:hAnsiTheme="minorEastAsia" w:eastAsiaTheme="minorEastAsia"/>
          <w:sz w:val="32"/>
          <w:szCs w:val="32"/>
          <w:lang w:val="en-US" w:eastAsia="zh-CN"/>
        </w:rPr>
        <w:t>53.70</w:t>
      </w:r>
      <w:r>
        <w:rPr>
          <w:rFonts w:hint="eastAsia" w:asciiTheme="minorEastAsia" w:hAnsiTheme="minorEastAsia" w:eastAsiaTheme="minorEastAsia"/>
          <w:sz w:val="32"/>
          <w:szCs w:val="32"/>
        </w:rPr>
        <w:t>万元，完成年初预算的</w:t>
      </w:r>
      <w:r>
        <w:rPr>
          <w:rFonts w:hint="eastAsia" w:asciiTheme="minorEastAsia" w:hAnsiTheme="minorEastAsia" w:eastAsiaTheme="minorEastAsia"/>
          <w:sz w:val="32"/>
          <w:szCs w:val="32"/>
          <w:lang w:val="en-US" w:eastAsia="zh-CN"/>
        </w:rPr>
        <w:t>95.84</w:t>
      </w:r>
      <w:r>
        <w:rPr>
          <w:rFonts w:hint="eastAsia" w:asciiTheme="minorEastAsia" w:hAnsiTheme="minorEastAsia" w:eastAsiaTheme="minorEastAsia"/>
          <w:sz w:val="32"/>
          <w:szCs w:val="32"/>
        </w:rPr>
        <w:t>%，其中：</w:t>
      </w:r>
    </w:p>
    <w:p>
      <w:pPr>
        <w:pStyle w:val="9"/>
        <w:ind w:firstLine="800" w:firstLineChars="250"/>
        <w:rPr>
          <w:rFonts w:hint="eastAsia" w:asciiTheme="minorEastAsia" w:hAnsiTheme="minorEastAsia" w:eastAsiaTheme="minorEastAsia"/>
          <w:sz w:val="32"/>
          <w:szCs w:val="32"/>
          <w:highlight w:val="none"/>
        </w:rPr>
      </w:pPr>
      <w:r>
        <w:rPr>
          <w:rFonts w:hint="eastAsia" w:asciiTheme="minorEastAsia" w:hAnsiTheme="minorEastAsia" w:eastAsiaTheme="minorEastAsia"/>
          <w:sz w:val="32"/>
          <w:szCs w:val="32"/>
          <w:highlight w:val="none"/>
        </w:rPr>
        <w:t>1、一般公共服务支出</w:t>
      </w:r>
      <w:r>
        <w:rPr>
          <w:rFonts w:hint="eastAsia" w:asciiTheme="minorEastAsia" w:hAnsiTheme="minorEastAsia" w:eastAsiaTheme="minorEastAsia"/>
          <w:sz w:val="32"/>
          <w:szCs w:val="32"/>
          <w:highlight w:val="none"/>
          <w:lang w:val="en-US" w:eastAsia="zh-CN"/>
        </w:rPr>
        <w:t>一般公共服务支出</w:t>
      </w:r>
      <w:r>
        <w:rPr>
          <w:rFonts w:hint="eastAsia" w:asciiTheme="minorEastAsia" w:hAnsiTheme="minorEastAsia" w:eastAsiaTheme="minorEastAsia"/>
          <w:sz w:val="32"/>
          <w:szCs w:val="32"/>
          <w:highlight w:val="none"/>
        </w:rPr>
        <w:t>（类）</w:t>
      </w:r>
      <w:r>
        <w:rPr>
          <w:rFonts w:hint="eastAsia" w:asciiTheme="minorEastAsia" w:hAnsiTheme="minorEastAsia" w:eastAsiaTheme="minorEastAsia"/>
          <w:sz w:val="32"/>
          <w:szCs w:val="32"/>
          <w:highlight w:val="none"/>
          <w:lang w:val="en-US" w:eastAsia="zh-CN"/>
        </w:rPr>
        <w:t>政府办公厅（室）及相关机构事务</w:t>
      </w:r>
      <w:r>
        <w:rPr>
          <w:rFonts w:hint="eastAsia" w:asciiTheme="minorEastAsia" w:hAnsiTheme="minorEastAsia" w:eastAsiaTheme="minorEastAsia"/>
          <w:sz w:val="32"/>
          <w:szCs w:val="32"/>
          <w:highlight w:val="none"/>
        </w:rPr>
        <w:t>（款）</w:t>
      </w:r>
      <w:r>
        <w:rPr>
          <w:rFonts w:hint="eastAsia" w:asciiTheme="minorEastAsia" w:hAnsiTheme="minorEastAsia" w:eastAsiaTheme="minorEastAsia"/>
          <w:sz w:val="32"/>
          <w:szCs w:val="32"/>
          <w:highlight w:val="none"/>
          <w:lang w:val="en-US" w:eastAsia="zh-CN"/>
        </w:rPr>
        <w:t xml:space="preserve"> 事业运行</w:t>
      </w:r>
      <w:r>
        <w:rPr>
          <w:rFonts w:hint="eastAsia" w:asciiTheme="minorEastAsia" w:hAnsiTheme="minorEastAsia" w:eastAsiaTheme="minorEastAsia"/>
          <w:sz w:val="32"/>
          <w:szCs w:val="32"/>
          <w:highlight w:val="none"/>
        </w:rPr>
        <w:t>（项）。</w:t>
      </w:r>
    </w:p>
    <w:p>
      <w:pPr>
        <w:pStyle w:val="9"/>
        <w:ind w:firstLine="800" w:firstLineChars="250"/>
        <w:rPr>
          <w:rFonts w:hint="eastAsia" w:asciiTheme="minorEastAsia" w:hAnsiTheme="minorEastAsia" w:eastAsiaTheme="minorEastAsia"/>
          <w:sz w:val="32"/>
          <w:szCs w:val="32"/>
          <w:highlight w:val="none"/>
          <w:lang w:eastAsia="zh-CN"/>
        </w:rPr>
      </w:pPr>
      <w:r>
        <w:rPr>
          <w:rFonts w:hint="eastAsia" w:asciiTheme="minorEastAsia" w:hAnsiTheme="minorEastAsia" w:eastAsiaTheme="minorEastAsia"/>
          <w:sz w:val="32"/>
          <w:szCs w:val="32"/>
          <w:highlight w:val="none"/>
        </w:rPr>
        <w:t>年初预算为</w:t>
      </w:r>
      <w:r>
        <w:rPr>
          <w:rFonts w:hint="eastAsia" w:asciiTheme="minorEastAsia" w:hAnsiTheme="minorEastAsia" w:eastAsiaTheme="minorEastAsia"/>
          <w:sz w:val="32"/>
          <w:szCs w:val="32"/>
          <w:highlight w:val="none"/>
          <w:lang w:val="en-US" w:eastAsia="zh-CN"/>
        </w:rPr>
        <w:t>1.5</w:t>
      </w:r>
      <w:r>
        <w:rPr>
          <w:rFonts w:hint="eastAsia" w:asciiTheme="minorEastAsia" w:hAnsiTheme="minorEastAsia" w:eastAsiaTheme="minorEastAsia"/>
          <w:sz w:val="32"/>
          <w:szCs w:val="32"/>
          <w:highlight w:val="none"/>
        </w:rPr>
        <w:t>万元，支出决算为</w:t>
      </w:r>
      <w:r>
        <w:rPr>
          <w:rFonts w:hint="eastAsia" w:asciiTheme="minorEastAsia" w:hAnsiTheme="minorEastAsia" w:eastAsiaTheme="minorEastAsia"/>
          <w:sz w:val="32"/>
          <w:szCs w:val="32"/>
          <w:highlight w:val="none"/>
          <w:lang w:val="en-US" w:eastAsia="zh-CN"/>
        </w:rPr>
        <w:t>1.48</w:t>
      </w:r>
      <w:r>
        <w:rPr>
          <w:rFonts w:hint="eastAsia" w:asciiTheme="minorEastAsia" w:hAnsiTheme="minorEastAsia" w:eastAsiaTheme="minorEastAsia"/>
          <w:sz w:val="32"/>
          <w:szCs w:val="32"/>
          <w:highlight w:val="none"/>
        </w:rPr>
        <w:t>万元，完成年初预算的</w:t>
      </w:r>
      <w:r>
        <w:rPr>
          <w:rFonts w:hint="eastAsia" w:asciiTheme="minorEastAsia" w:hAnsiTheme="minorEastAsia" w:eastAsiaTheme="minorEastAsia"/>
          <w:sz w:val="32"/>
          <w:szCs w:val="32"/>
          <w:highlight w:val="none"/>
          <w:lang w:val="en-US" w:eastAsia="zh-CN"/>
        </w:rPr>
        <w:t>98.67</w:t>
      </w:r>
      <w:r>
        <w:rPr>
          <w:rFonts w:hint="eastAsia" w:asciiTheme="minorEastAsia" w:hAnsiTheme="minorEastAsia" w:eastAsiaTheme="minorEastAsia"/>
          <w:sz w:val="32"/>
          <w:szCs w:val="32"/>
          <w:highlight w:val="none"/>
        </w:rPr>
        <w:t>%</w:t>
      </w:r>
      <w:r>
        <w:rPr>
          <w:rFonts w:hint="eastAsia" w:asciiTheme="minorEastAsia" w:hAnsiTheme="minorEastAsia" w:eastAsiaTheme="minorEastAsia"/>
          <w:sz w:val="32"/>
          <w:szCs w:val="32"/>
          <w:highlight w:val="none"/>
          <w:lang w:eastAsia="zh-CN"/>
        </w:rPr>
        <w:t>，</w:t>
      </w:r>
      <w:r>
        <w:rPr>
          <w:rFonts w:hint="eastAsia" w:asciiTheme="minorEastAsia" w:hAnsiTheme="minorEastAsia" w:eastAsiaTheme="minorEastAsia"/>
          <w:sz w:val="32"/>
          <w:szCs w:val="32"/>
          <w:highlight w:val="none"/>
          <w:lang w:val="en-US" w:eastAsia="zh-CN"/>
        </w:rPr>
        <w:t>比年初预算减少0.02万元，</w:t>
      </w:r>
      <w:r>
        <w:rPr>
          <w:rFonts w:hint="eastAsia" w:asciiTheme="minorEastAsia" w:hAnsiTheme="minorEastAsia" w:eastAsiaTheme="minorEastAsia"/>
          <w:sz w:val="32"/>
          <w:szCs w:val="32"/>
        </w:rPr>
        <w:t>决算数</w:t>
      </w:r>
      <w:r>
        <w:rPr>
          <w:rFonts w:hint="eastAsia" w:asciiTheme="minorEastAsia" w:hAnsiTheme="minorEastAsia" w:eastAsiaTheme="minorEastAsia"/>
          <w:sz w:val="32"/>
          <w:szCs w:val="32"/>
          <w:lang w:val="en-US" w:eastAsia="zh-CN"/>
        </w:rPr>
        <w:t>小</w:t>
      </w:r>
      <w:r>
        <w:rPr>
          <w:rFonts w:hint="eastAsia" w:asciiTheme="minorEastAsia" w:hAnsiTheme="minorEastAsia" w:eastAsiaTheme="minorEastAsia"/>
          <w:sz w:val="32"/>
          <w:szCs w:val="32"/>
        </w:rPr>
        <w:t>于年初预算数的主要原因是</w:t>
      </w:r>
      <w:r>
        <w:rPr>
          <w:rFonts w:hint="eastAsia" w:asciiTheme="minorEastAsia" w:hAnsiTheme="minorEastAsia" w:eastAsiaTheme="minorEastAsia"/>
          <w:sz w:val="32"/>
          <w:szCs w:val="32"/>
          <w:highlight w:val="none"/>
          <w:lang w:val="en-US" w:eastAsia="zh-CN"/>
        </w:rPr>
        <w:t>工资福利预算欠精准。</w:t>
      </w:r>
    </w:p>
    <w:p>
      <w:pPr>
        <w:pStyle w:val="9"/>
        <w:ind w:firstLine="800" w:firstLineChars="250"/>
        <w:rPr>
          <w:rFonts w:hint="eastAsia" w:asciiTheme="minorEastAsia" w:hAnsiTheme="minorEastAsia" w:eastAsiaTheme="minorEastAsia"/>
          <w:sz w:val="32"/>
          <w:szCs w:val="32"/>
          <w:highlight w:val="none"/>
        </w:rPr>
      </w:pPr>
      <w:r>
        <w:rPr>
          <w:rFonts w:hint="eastAsia" w:asciiTheme="minorEastAsia" w:hAnsiTheme="minorEastAsia" w:eastAsiaTheme="minorEastAsia"/>
          <w:sz w:val="32"/>
          <w:szCs w:val="32"/>
          <w:highlight w:val="none"/>
        </w:rPr>
        <w:t>2、一般公共服务支出</w:t>
      </w:r>
      <w:r>
        <w:rPr>
          <w:rFonts w:hint="eastAsia" w:asciiTheme="minorEastAsia" w:hAnsiTheme="minorEastAsia" w:eastAsiaTheme="minorEastAsia"/>
          <w:sz w:val="32"/>
          <w:szCs w:val="32"/>
          <w:highlight w:val="none"/>
          <w:lang w:val="en-US" w:eastAsia="zh-CN"/>
        </w:rPr>
        <w:t>一般公共服务支出</w:t>
      </w:r>
      <w:r>
        <w:rPr>
          <w:rFonts w:hint="eastAsia" w:asciiTheme="minorEastAsia" w:hAnsiTheme="minorEastAsia" w:eastAsiaTheme="minorEastAsia"/>
          <w:sz w:val="32"/>
          <w:szCs w:val="32"/>
          <w:highlight w:val="none"/>
        </w:rPr>
        <w:t>（类）</w:t>
      </w:r>
      <w:r>
        <w:rPr>
          <w:rFonts w:hint="eastAsia" w:asciiTheme="minorEastAsia" w:hAnsiTheme="minorEastAsia" w:eastAsiaTheme="minorEastAsia"/>
          <w:sz w:val="32"/>
          <w:szCs w:val="32"/>
          <w:highlight w:val="none"/>
          <w:lang w:val="en-US" w:eastAsia="zh-CN"/>
        </w:rPr>
        <w:t>群众团体事务</w:t>
      </w:r>
      <w:r>
        <w:rPr>
          <w:rFonts w:hint="eastAsia" w:asciiTheme="minorEastAsia" w:hAnsiTheme="minorEastAsia" w:eastAsiaTheme="minorEastAsia"/>
          <w:sz w:val="32"/>
          <w:szCs w:val="32"/>
          <w:highlight w:val="none"/>
        </w:rPr>
        <w:t>（款）</w:t>
      </w:r>
      <w:r>
        <w:rPr>
          <w:rFonts w:hint="eastAsia" w:asciiTheme="minorEastAsia" w:hAnsiTheme="minorEastAsia" w:eastAsiaTheme="minorEastAsia"/>
          <w:sz w:val="32"/>
          <w:szCs w:val="32"/>
          <w:highlight w:val="none"/>
          <w:lang w:val="en-US" w:eastAsia="zh-CN"/>
        </w:rPr>
        <w:t xml:space="preserve"> 行政运行</w:t>
      </w:r>
      <w:r>
        <w:rPr>
          <w:rFonts w:hint="eastAsia" w:asciiTheme="minorEastAsia" w:hAnsiTheme="minorEastAsia" w:eastAsiaTheme="minorEastAsia"/>
          <w:sz w:val="32"/>
          <w:szCs w:val="32"/>
          <w:highlight w:val="none"/>
        </w:rPr>
        <w:t>（项）。</w:t>
      </w:r>
    </w:p>
    <w:p>
      <w:pPr>
        <w:pStyle w:val="9"/>
        <w:ind w:firstLine="800" w:firstLineChars="250"/>
        <w:rPr>
          <w:rFonts w:hint="eastAsia" w:asciiTheme="minorEastAsia" w:hAnsiTheme="minorEastAsia" w:eastAsiaTheme="minorEastAsia"/>
          <w:sz w:val="32"/>
          <w:szCs w:val="32"/>
          <w:highlight w:val="none"/>
          <w:lang w:eastAsia="zh-CN"/>
        </w:rPr>
      </w:pPr>
      <w:r>
        <w:rPr>
          <w:rFonts w:hint="eastAsia" w:asciiTheme="minorEastAsia" w:hAnsiTheme="minorEastAsia" w:eastAsiaTheme="minorEastAsia"/>
          <w:sz w:val="32"/>
          <w:szCs w:val="32"/>
          <w:highlight w:val="none"/>
        </w:rPr>
        <w:t>年初预算为</w:t>
      </w:r>
      <w:r>
        <w:rPr>
          <w:rFonts w:hint="eastAsia" w:asciiTheme="minorEastAsia" w:hAnsiTheme="minorEastAsia" w:eastAsiaTheme="minorEastAsia"/>
          <w:sz w:val="32"/>
          <w:szCs w:val="32"/>
          <w:highlight w:val="none"/>
          <w:lang w:val="en-US" w:eastAsia="zh-CN"/>
        </w:rPr>
        <w:t>1.68</w:t>
      </w:r>
      <w:r>
        <w:rPr>
          <w:rFonts w:hint="eastAsia" w:asciiTheme="minorEastAsia" w:hAnsiTheme="minorEastAsia" w:eastAsiaTheme="minorEastAsia"/>
          <w:sz w:val="32"/>
          <w:szCs w:val="32"/>
          <w:highlight w:val="none"/>
        </w:rPr>
        <w:t>万元，支出决算为</w:t>
      </w:r>
      <w:r>
        <w:rPr>
          <w:rFonts w:hint="eastAsia" w:asciiTheme="minorEastAsia" w:hAnsiTheme="minorEastAsia" w:eastAsiaTheme="minorEastAsia"/>
          <w:sz w:val="32"/>
          <w:szCs w:val="32"/>
          <w:highlight w:val="none"/>
          <w:lang w:val="en-US" w:eastAsia="zh-CN"/>
        </w:rPr>
        <w:t>1.5</w:t>
      </w:r>
      <w:r>
        <w:rPr>
          <w:rFonts w:hint="eastAsia" w:asciiTheme="minorEastAsia" w:hAnsiTheme="minorEastAsia" w:eastAsiaTheme="minorEastAsia"/>
          <w:sz w:val="32"/>
          <w:szCs w:val="32"/>
          <w:highlight w:val="none"/>
        </w:rPr>
        <w:t>万元，</w:t>
      </w:r>
      <w:r>
        <w:rPr>
          <w:rFonts w:hint="eastAsia" w:asciiTheme="minorEastAsia" w:hAnsiTheme="minorEastAsia" w:eastAsiaTheme="minorEastAsia"/>
          <w:sz w:val="32"/>
          <w:szCs w:val="32"/>
          <w:highlight w:val="none"/>
          <w:lang w:val="en-US" w:eastAsia="zh-CN"/>
        </w:rPr>
        <w:t>比年初预算减少0.18万元，</w:t>
      </w:r>
      <w:r>
        <w:rPr>
          <w:rFonts w:hint="eastAsia" w:asciiTheme="minorEastAsia" w:hAnsiTheme="minorEastAsia" w:eastAsiaTheme="minorEastAsia"/>
          <w:sz w:val="32"/>
          <w:szCs w:val="32"/>
          <w:highlight w:val="none"/>
        </w:rPr>
        <w:t>完成年初预算的</w:t>
      </w:r>
      <w:r>
        <w:rPr>
          <w:rFonts w:hint="eastAsia" w:asciiTheme="minorEastAsia" w:hAnsiTheme="minorEastAsia" w:eastAsiaTheme="minorEastAsia"/>
          <w:sz w:val="32"/>
          <w:szCs w:val="32"/>
          <w:highlight w:val="none"/>
          <w:lang w:val="en-US" w:eastAsia="zh-CN"/>
        </w:rPr>
        <w:t>89.29</w:t>
      </w:r>
      <w:r>
        <w:rPr>
          <w:rFonts w:hint="eastAsia" w:asciiTheme="minorEastAsia" w:hAnsiTheme="minorEastAsia" w:eastAsiaTheme="minorEastAsia"/>
          <w:sz w:val="32"/>
          <w:szCs w:val="32"/>
          <w:highlight w:val="none"/>
        </w:rPr>
        <w:t>%</w:t>
      </w:r>
      <w:r>
        <w:rPr>
          <w:rFonts w:hint="eastAsia" w:asciiTheme="minorEastAsia" w:hAnsiTheme="minorEastAsia" w:eastAsiaTheme="minorEastAsia"/>
          <w:sz w:val="32"/>
          <w:szCs w:val="32"/>
          <w:highlight w:val="none"/>
          <w:lang w:eastAsia="zh-CN"/>
        </w:rPr>
        <w:t>，</w:t>
      </w:r>
      <w:r>
        <w:rPr>
          <w:rFonts w:hint="eastAsia" w:asciiTheme="minorEastAsia" w:hAnsiTheme="minorEastAsia" w:eastAsiaTheme="minorEastAsia"/>
          <w:sz w:val="32"/>
          <w:szCs w:val="32"/>
        </w:rPr>
        <w:t>决算数</w:t>
      </w:r>
      <w:r>
        <w:rPr>
          <w:rFonts w:hint="eastAsia" w:asciiTheme="minorEastAsia" w:hAnsiTheme="minorEastAsia" w:eastAsiaTheme="minorEastAsia"/>
          <w:sz w:val="32"/>
          <w:szCs w:val="32"/>
          <w:lang w:val="en-US" w:eastAsia="zh-CN"/>
        </w:rPr>
        <w:t>小</w:t>
      </w:r>
      <w:r>
        <w:rPr>
          <w:rFonts w:hint="eastAsia" w:asciiTheme="minorEastAsia" w:hAnsiTheme="minorEastAsia" w:eastAsiaTheme="minorEastAsia"/>
          <w:sz w:val="32"/>
          <w:szCs w:val="32"/>
        </w:rPr>
        <w:t>于年初预算数的主要原因是</w:t>
      </w:r>
      <w:r>
        <w:rPr>
          <w:rFonts w:hint="eastAsia" w:asciiTheme="minorEastAsia" w:hAnsiTheme="minorEastAsia" w:eastAsiaTheme="minorEastAsia"/>
          <w:sz w:val="32"/>
          <w:szCs w:val="32"/>
          <w:highlight w:val="none"/>
          <w:lang w:val="en-US" w:eastAsia="zh-CN"/>
        </w:rPr>
        <w:t>工资福利预算欠精准。</w:t>
      </w:r>
    </w:p>
    <w:p>
      <w:pPr>
        <w:pStyle w:val="9"/>
        <w:ind w:firstLine="800" w:firstLineChars="250"/>
        <w:rPr>
          <w:rFonts w:hint="eastAsia" w:asciiTheme="minorEastAsia" w:hAnsiTheme="minorEastAsia" w:eastAsiaTheme="minorEastAsia"/>
          <w:sz w:val="32"/>
          <w:szCs w:val="32"/>
          <w:highlight w:val="none"/>
        </w:rPr>
      </w:pPr>
      <w:r>
        <w:rPr>
          <w:rFonts w:hint="eastAsia" w:asciiTheme="minorEastAsia" w:hAnsiTheme="minorEastAsia" w:eastAsiaTheme="minorEastAsia"/>
          <w:sz w:val="32"/>
          <w:szCs w:val="32"/>
          <w:highlight w:val="none"/>
          <w:lang w:val="en-US" w:eastAsia="zh-CN"/>
        </w:rPr>
        <w:t>3</w:t>
      </w:r>
      <w:r>
        <w:rPr>
          <w:rFonts w:hint="eastAsia" w:asciiTheme="minorEastAsia" w:hAnsiTheme="minorEastAsia" w:eastAsiaTheme="minorEastAsia"/>
          <w:sz w:val="32"/>
          <w:szCs w:val="32"/>
          <w:highlight w:val="none"/>
        </w:rPr>
        <w:t>、一般公共服务支出</w:t>
      </w:r>
      <w:r>
        <w:rPr>
          <w:rFonts w:hint="eastAsia" w:asciiTheme="minorEastAsia" w:hAnsiTheme="minorEastAsia" w:eastAsiaTheme="minorEastAsia"/>
          <w:sz w:val="32"/>
          <w:szCs w:val="32"/>
          <w:highlight w:val="none"/>
          <w:lang w:val="en-US" w:eastAsia="zh-CN"/>
        </w:rPr>
        <w:t>一般公共服务支出</w:t>
      </w:r>
      <w:r>
        <w:rPr>
          <w:rFonts w:hint="eastAsia" w:asciiTheme="minorEastAsia" w:hAnsiTheme="minorEastAsia" w:eastAsiaTheme="minorEastAsia"/>
          <w:sz w:val="32"/>
          <w:szCs w:val="32"/>
          <w:highlight w:val="none"/>
        </w:rPr>
        <w:t>（类）</w:t>
      </w:r>
      <w:r>
        <w:rPr>
          <w:rFonts w:hint="eastAsia" w:asciiTheme="minorEastAsia" w:hAnsiTheme="minorEastAsia" w:eastAsiaTheme="minorEastAsia"/>
          <w:sz w:val="32"/>
          <w:szCs w:val="32"/>
          <w:highlight w:val="none"/>
          <w:lang w:val="en-US" w:eastAsia="zh-CN"/>
        </w:rPr>
        <w:t>宣传事务</w:t>
      </w:r>
      <w:r>
        <w:rPr>
          <w:rFonts w:hint="eastAsia" w:asciiTheme="minorEastAsia" w:hAnsiTheme="minorEastAsia" w:eastAsiaTheme="minorEastAsia"/>
          <w:sz w:val="32"/>
          <w:szCs w:val="32"/>
          <w:highlight w:val="none"/>
        </w:rPr>
        <w:t>（款）</w:t>
      </w:r>
      <w:r>
        <w:rPr>
          <w:rFonts w:hint="eastAsia" w:asciiTheme="minorEastAsia" w:hAnsiTheme="minorEastAsia" w:eastAsiaTheme="minorEastAsia"/>
          <w:sz w:val="32"/>
          <w:szCs w:val="32"/>
          <w:highlight w:val="none"/>
          <w:lang w:val="en-US" w:eastAsia="zh-CN"/>
        </w:rPr>
        <w:t xml:space="preserve"> 其他宣传事务支出</w:t>
      </w:r>
      <w:r>
        <w:rPr>
          <w:rFonts w:hint="eastAsia" w:asciiTheme="minorEastAsia" w:hAnsiTheme="minorEastAsia" w:eastAsiaTheme="minorEastAsia"/>
          <w:sz w:val="32"/>
          <w:szCs w:val="32"/>
          <w:highlight w:val="none"/>
        </w:rPr>
        <w:t>（项）。</w:t>
      </w:r>
    </w:p>
    <w:p>
      <w:pPr>
        <w:pStyle w:val="9"/>
        <w:ind w:firstLine="800" w:firstLineChars="250"/>
        <w:rPr>
          <w:rFonts w:hint="default" w:asciiTheme="minorEastAsia" w:hAnsiTheme="minorEastAsia" w:eastAsiaTheme="minorEastAsia"/>
          <w:sz w:val="32"/>
          <w:szCs w:val="32"/>
          <w:highlight w:val="none"/>
          <w:lang w:val="en-US" w:eastAsia="zh-CN"/>
        </w:rPr>
      </w:pPr>
      <w:r>
        <w:rPr>
          <w:rFonts w:hint="eastAsia" w:asciiTheme="minorEastAsia" w:hAnsiTheme="minorEastAsia" w:eastAsiaTheme="minorEastAsia"/>
          <w:sz w:val="32"/>
          <w:szCs w:val="32"/>
          <w:highlight w:val="none"/>
        </w:rPr>
        <w:t>年初预算为</w:t>
      </w:r>
      <w:r>
        <w:rPr>
          <w:rFonts w:hint="eastAsia" w:asciiTheme="minorEastAsia" w:hAnsiTheme="minorEastAsia" w:eastAsiaTheme="minorEastAsia"/>
          <w:sz w:val="32"/>
          <w:szCs w:val="32"/>
          <w:highlight w:val="none"/>
          <w:lang w:val="en-US" w:eastAsia="zh-CN"/>
        </w:rPr>
        <w:t>16.53</w:t>
      </w:r>
      <w:r>
        <w:rPr>
          <w:rFonts w:hint="eastAsia" w:asciiTheme="minorEastAsia" w:hAnsiTheme="minorEastAsia" w:eastAsiaTheme="minorEastAsia"/>
          <w:sz w:val="32"/>
          <w:szCs w:val="32"/>
          <w:highlight w:val="none"/>
        </w:rPr>
        <w:t>万元，支出决算为</w:t>
      </w:r>
      <w:r>
        <w:rPr>
          <w:rFonts w:hint="eastAsia" w:asciiTheme="minorEastAsia" w:hAnsiTheme="minorEastAsia" w:eastAsiaTheme="minorEastAsia"/>
          <w:sz w:val="32"/>
          <w:szCs w:val="32"/>
          <w:highlight w:val="none"/>
          <w:lang w:val="en-US" w:eastAsia="zh-CN"/>
        </w:rPr>
        <w:t>15.79</w:t>
      </w:r>
      <w:r>
        <w:rPr>
          <w:rFonts w:hint="eastAsia" w:asciiTheme="minorEastAsia" w:hAnsiTheme="minorEastAsia" w:eastAsiaTheme="minorEastAsia"/>
          <w:sz w:val="32"/>
          <w:szCs w:val="32"/>
          <w:highlight w:val="none"/>
        </w:rPr>
        <w:t>万元，完成年初预算的</w:t>
      </w:r>
      <w:r>
        <w:rPr>
          <w:rFonts w:hint="eastAsia" w:asciiTheme="minorEastAsia" w:hAnsiTheme="minorEastAsia" w:eastAsiaTheme="minorEastAsia"/>
          <w:sz w:val="32"/>
          <w:szCs w:val="32"/>
          <w:highlight w:val="none"/>
          <w:lang w:val="en-US" w:eastAsia="zh-CN"/>
        </w:rPr>
        <w:t>95.52</w:t>
      </w:r>
      <w:r>
        <w:rPr>
          <w:rFonts w:hint="eastAsia" w:asciiTheme="minorEastAsia" w:hAnsiTheme="minorEastAsia" w:eastAsiaTheme="minorEastAsia"/>
          <w:sz w:val="32"/>
          <w:szCs w:val="32"/>
          <w:highlight w:val="none"/>
        </w:rPr>
        <w:t>%</w:t>
      </w:r>
      <w:r>
        <w:rPr>
          <w:rFonts w:hint="eastAsia" w:asciiTheme="minorEastAsia" w:hAnsiTheme="minorEastAsia" w:eastAsiaTheme="minorEastAsia"/>
          <w:sz w:val="32"/>
          <w:szCs w:val="32"/>
          <w:highlight w:val="none"/>
          <w:lang w:eastAsia="zh-CN"/>
        </w:rPr>
        <w:t>，</w:t>
      </w:r>
      <w:r>
        <w:rPr>
          <w:rFonts w:hint="eastAsia" w:asciiTheme="minorEastAsia" w:hAnsiTheme="minorEastAsia" w:eastAsiaTheme="minorEastAsia"/>
          <w:sz w:val="32"/>
          <w:szCs w:val="32"/>
          <w:highlight w:val="none"/>
          <w:lang w:val="en-US" w:eastAsia="zh-CN"/>
        </w:rPr>
        <w:t>比年初预算减少0.74万元，</w:t>
      </w:r>
      <w:r>
        <w:rPr>
          <w:rFonts w:hint="eastAsia" w:asciiTheme="minorEastAsia" w:hAnsiTheme="minorEastAsia" w:eastAsiaTheme="minorEastAsia"/>
          <w:sz w:val="32"/>
          <w:szCs w:val="32"/>
        </w:rPr>
        <w:t>决算数</w:t>
      </w:r>
      <w:r>
        <w:rPr>
          <w:rFonts w:hint="eastAsia" w:asciiTheme="minorEastAsia" w:hAnsiTheme="minorEastAsia" w:eastAsiaTheme="minorEastAsia"/>
          <w:sz w:val="32"/>
          <w:szCs w:val="32"/>
          <w:lang w:val="en-US" w:eastAsia="zh-CN"/>
        </w:rPr>
        <w:t>小</w:t>
      </w:r>
      <w:r>
        <w:rPr>
          <w:rFonts w:hint="eastAsia" w:asciiTheme="minorEastAsia" w:hAnsiTheme="minorEastAsia" w:eastAsiaTheme="minorEastAsia"/>
          <w:sz w:val="32"/>
          <w:szCs w:val="32"/>
        </w:rPr>
        <w:t>于年初预算数的主要原因是</w:t>
      </w:r>
      <w:r>
        <w:rPr>
          <w:rFonts w:hint="eastAsia" w:asciiTheme="minorEastAsia" w:hAnsiTheme="minorEastAsia" w:eastAsiaTheme="minorEastAsia"/>
          <w:sz w:val="32"/>
          <w:szCs w:val="32"/>
          <w:highlight w:val="none"/>
          <w:lang w:val="en-US" w:eastAsia="zh-CN"/>
        </w:rPr>
        <w:t>公用经费减少。</w:t>
      </w:r>
    </w:p>
    <w:p>
      <w:pPr>
        <w:pStyle w:val="9"/>
        <w:ind w:firstLine="800" w:firstLineChars="250"/>
        <w:rPr>
          <w:rFonts w:hint="eastAsia" w:asciiTheme="minorEastAsia" w:hAnsiTheme="minorEastAsia" w:eastAsiaTheme="minorEastAsia"/>
          <w:sz w:val="32"/>
          <w:szCs w:val="32"/>
          <w:highlight w:val="none"/>
        </w:rPr>
      </w:pPr>
      <w:r>
        <w:rPr>
          <w:rFonts w:hint="eastAsia" w:asciiTheme="minorEastAsia" w:hAnsiTheme="minorEastAsia" w:eastAsiaTheme="minorEastAsia"/>
          <w:sz w:val="32"/>
          <w:szCs w:val="32"/>
          <w:highlight w:val="none"/>
          <w:lang w:val="en-US" w:eastAsia="zh-CN"/>
        </w:rPr>
        <w:t>4</w:t>
      </w:r>
      <w:r>
        <w:rPr>
          <w:rFonts w:hint="eastAsia" w:asciiTheme="minorEastAsia" w:hAnsiTheme="minorEastAsia" w:eastAsiaTheme="minorEastAsia"/>
          <w:sz w:val="32"/>
          <w:szCs w:val="32"/>
          <w:highlight w:val="none"/>
        </w:rPr>
        <w:t>、一般公共服务支出</w:t>
      </w:r>
      <w:r>
        <w:rPr>
          <w:rFonts w:hint="eastAsia" w:asciiTheme="minorEastAsia" w:hAnsiTheme="minorEastAsia" w:eastAsiaTheme="minorEastAsia"/>
          <w:sz w:val="32"/>
          <w:szCs w:val="32"/>
          <w:highlight w:val="none"/>
          <w:lang w:val="en-US" w:eastAsia="zh-CN"/>
        </w:rPr>
        <w:t>文化旅游体育与传媒支出</w:t>
      </w:r>
      <w:r>
        <w:rPr>
          <w:rFonts w:hint="eastAsia" w:asciiTheme="minorEastAsia" w:hAnsiTheme="minorEastAsia" w:eastAsiaTheme="minorEastAsia"/>
          <w:sz w:val="32"/>
          <w:szCs w:val="32"/>
          <w:highlight w:val="none"/>
        </w:rPr>
        <w:t>（类）</w:t>
      </w:r>
      <w:r>
        <w:rPr>
          <w:rFonts w:hint="eastAsia" w:asciiTheme="minorEastAsia" w:hAnsiTheme="minorEastAsia" w:eastAsiaTheme="minorEastAsia"/>
          <w:sz w:val="32"/>
          <w:szCs w:val="32"/>
          <w:highlight w:val="none"/>
          <w:lang w:val="en-US" w:eastAsia="zh-CN"/>
        </w:rPr>
        <w:t>文化和旅游</w:t>
      </w:r>
      <w:r>
        <w:rPr>
          <w:rFonts w:hint="eastAsia" w:asciiTheme="minorEastAsia" w:hAnsiTheme="minorEastAsia" w:eastAsiaTheme="minorEastAsia"/>
          <w:sz w:val="32"/>
          <w:szCs w:val="32"/>
          <w:highlight w:val="none"/>
        </w:rPr>
        <w:t>（款）</w:t>
      </w:r>
      <w:r>
        <w:rPr>
          <w:rFonts w:hint="eastAsia" w:asciiTheme="minorEastAsia" w:hAnsiTheme="minorEastAsia" w:eastAsiaTheme="minorEastAsia"/>
          <w:sz w:val="32"/>
          <w:szCs w:val="32"/>
          <w:highlight w:val="none"/>
          <w:lang w:val="en-US" w:eastAsia="zh-CN"/>
        </w:rPr>
        <w:t xml:space="preserve"> 行政运行</w:t>
      </w:r>
      <w:r>
        <w:rPr>
          <w:rFonts w:hint="eastAsia" w:asciiTheme="minorEastAsia" w:hAnsiTheme="minorEastAsia" w:eastAsiaTheme="minorEastAsia"/>
          <w:sz w:val="32"/>
          <w:szCs w:val="32"/>
          <w:highlight w:val="none"/>
        </w:rPr>
        <w:t>（项）。</w:t>
      </w:r>
    </w:p>
    <w:p>
      <w:pPr>
        <w:pStyle w:val="9"/>
        <w:ind w:firstLine="800" w:firstLineChars="250"/>
        <w:rPr>
          <w:rFonts w:hint="default" w:asciiTheme="minorEastAsia" w:hAnsiTheme="minorEastAsia" w:eastAsiaTheme="minorEastAsia"/>
          <w:sz w:val="32"/>
          <w:szCs w:val="32"/>
          <w:highlight w:val="none"/>
          <w:lang w:val="en-US" w:eastAsia="zh-CN"/>
        </w:rPr>
      </w:pPr>
      <w:r>
        <w:rPr>
          <w:rFonts w:hint="eastAsia" w:asciiTheme="minorEastAsia" w:hAnsiTheme="minorEastAsia" w:eastAsiaTheme="minorEastAsia"/>
          <w:sz w:val="32"/>
          <w:szCs w:val="32"/>
          <w:highlight w:val="none"/>
        </w:rPr>
        <w:t>年初预算为</w:t>
      </w:r>
      <w:r>
        <w:rPr>
          <w:rFonts w:hint="eastAsia" w:asciiTheme="minorEastAsia" w:hAnsiTheme="minorEastAsia" w:eastAsiaTheme="minorEastAsia"/>
          <w:sz w:val="32"/>
          <w:szCs w:val="32"/>
          <w:highlight w:val="none"/>
          <w:lang w:val="en-US" w:eastAsia="zh-CN"/>
        </w:rPr>
        <w:t>27.87</w:t>
      </w:r>
      <w:r>
        <w:rPr>
          <w:rFonts w:hint="eastAsia" w:asciiTheme="minorEastAsia" w:hAnsiTheme="minorEastAsia" w:eastAsiaTheme="minorEastAsia"/>
          <w:sz w:val="32"/>
          <w:szCs w:val="32"/>
          <w:highlight w:val="none"/>
        </w:rPr>
        <w:t>万元，支出决算为</w:t>
      </w:r>
      <w:r>
        <w:rPr>
          <w:rFonts w:hint="eastAsia" w:asciiTheme="minorEastAsia" w:hAnsiTheme="minorEastAsia" w:eastAsiaTheme="minorEastAsia"/>
          <w:sz w:val="32"/>
          <w:szCs w:val="32"/>
          <w:highlight w:val="none"/>
          <w:lang w:val="en-US" w:eastAsia="zh-CN"/>
        </w:rPr>
        <w:t>27.18</w:t>
      </w:r>
      <w:r>
        <w:rPr>
          <w:rFonts w:hint="eastAsia" w:asciiTheme="minorEastAsia" w:hAnsiTheme="minorEastAsia" w:eastAsiaTheme="minorEastAsia"/>
          <w:sz w:val="32"/>
          <w:szCs w:val="32"/>
          <w:highlight w:val="none"/>
        </w:rPr>
        <w:t>万元，</w:t>
      </w:r>
      <w:r>
        <w:rPr>
          <w:rFonts w:hint="eastAsia" w:asciiTheme="minorEastAsia" w:hAnsiTheme="minorEastAsia" w:eastAsiaTheme="minorEastAsia"/>
          <w:sz w:val="32"/>
          <w:szCs w:val="32"/>
          <w:highlight w:val="none"/>
          <w:lang w:val="en-US" w:eastAsia="zh-CN"/>
        </w:rPr>
        <w:t>比年初预算减少0.69万元，</w:t>
      </w:r>
      <w:r>
        <w:rPr>
          <w:rFonts w:hint="eastAsia" w:asciiTheme="minorEastAsia" w:hAnsiTheme="minorEastAsia" w:eastAsiaTheme="minorEastAsia"/>
          <w:sz w:val="32"/>
          <w:szCs w:val="32"/>
          <w:highlight w:val="none"/>
        </w:rPr>
        <w:t>完成年初预算的</w:t>
      </w:r>
      <w:r>
        <w:rPr>
          <w:rFonts w:hint="eastAsia" w:asciiTheme="minorEastAsia" w:hAnsiTheme="minorEastAsia" w:eastAsiaTheme="minorEastAsia"/>
          <w:sz w:val="32"/>
          <w:szCs w:val="32"/>
          <w:highlight w:val="none"/>
          <w:lang w:val="en-US" w:eastAsia="zh-CN"/>
        </w:rPr>
        <w:t>97.52</w:t>
      </w:r>
      <w:r>
        <w:rPr>
          <w:rFonts w:hint="eastAsia" w:asciiTheme="minorEastAsia" w:hAnsiTheme="minorEastAsia" w:eastAsiaTheme="minorEastAsia"/>
          <w:sz w:val="32"/>
          <w:szCs w:val="32"/>
          <w:highlight w:val="none"/>
        </w:rPr>
        <w:t>%</w:t>
      </w:r>
      <w:r>
        <w:rPr>
          <w:rFonts w:hint="eastAsia" w:asciiTheme="minorEastAsia" w:hAnsiTheme="minorEastAsia" w:eastAsiaTheme="minorEastAsia"/>
          <w:sz w:val="32"/>
          <w:szCs w:val="32"/>
          <w:highlight w:val="none"/>
          <w:lang w:eastAsia="zh-CN"/>
        </w:rPr>
        <w:t>，</w:t>
      </w:r>
      <w:r>
        <w:rPr>
          <w:rFonts w:hint="eastAsia" w:asciiTheme="minorEastAsia" w:hAnsiTheme="minorEastAsia" w:eastAsiaTheme="minorEastAsia"/>
          <w:sz w:val="32"/>
          <w:szCs w:val="32"/>
        </w:rPr>
        <w:t>决算数</w:t>
      </w:r>
      <w:r>
        <w:rPr>
          <w:rFonts w:hint="eastAsia" w:asciiTheme="minorEastAsia" w:hAnsiTheme="minorEastAsia" w:eastAsiaTheme="minorEastAsia"/>
          <w:sz w:val="32"/>
          <w:szCs w:val="32"/>
          <w:lang w:val="en-US" w:eastAsia="zh-CN"/>
        </w:rPr>
        <w:t>小</w:t>
      </w:r>
      <w:r>
        <w:rPr>
          <w:rFonts w:hint="eastAsia" w:asciiTheme="minorEastAsia" w:hAnsiTheme="minorEastAsia" w:eastAsiaTheme="minorEastAsia"/>
          <w:sz w:val="32"/>
          <w:szCs w:val="32"/>
        </w:rPr>
        <w:t>于年初预算数的主要原因是</w:t>
      </w:r>
      <w:r>
        <w:rPr>
          <w:rFonts w:hint="eastAsia" w:asciiTheme="minorEastAsia" w:hAnsiTheme="minorEastAsia" w:eastAsiaTheme="minorEastAsia"/>
          <w:sz w:val="32"/>
          <w:szCs w:val="32"/>
          <w:highlight w:val="none"/>
          <w:lang w:val="en-US" w:eastAsia="zh-CN"/>
        </w:rPr>
        <w:t>工资福利预算欠精准。</w:t>
      </w:r>
    </w:p>
    <w:p>
      <w:pPr>
        <w:pStyle w:val="9"/>
        <w:ind w:firstLine="800" w:firstLineChars="250"/>
        <w:rPr>
          <w:rFonts w:hint="eastAsia" w:asciiTheme="minorEastAsia" w:hAnsiTheme="minorEastAsia" w:eastAsiaTheme="minorEastAsia"/>
          <w:sz w:val="32"/>
          <w:szCs w:val="32"/>
          <w:highlight w:val="none"/>
        </w:rPr>
      </w:pPr>
      <w:r>
        <w:rPr>
          <w:rFonts w:hint="eastAsia" w:asciiTheme="minorEastAsia" w:hAnsiTheme="minorEastAsia" w:eastAsiaTheme="minorEastAsia"/>
          <w:sz w:val="32"/>
          <w:szCs w:val="32"/>
          <w:highlight w:val="none"/>
          <w:lang w:val="en-US" w:eastAsia="zh-CN"/>
        </w:rPr>
        <w:t>5</w:t>
      </w:r>
      <w:r>
        <w:rPr>
          <w:rFonts w:hint="eastAsia" w:asciiTheme="minorEastAsia" w:hAnsiTheme="minorEastAsia" w:eastAsiaTheme="minorEastAsia"/>
          <w:sz w:val="32"/>
          <w:szCs w:val="32"/>
          <w:highlight w:val="none"/>
        </w:rPr>
        <w:t>、一般公共服务支出</w:t>
      </w:r>
      <w:r>
        <w:rPr>
          <w:rFonts w:hint="eastAsia" w:asciiTheme="minorEastAsia" w:hAnsiTheme="minorEastAsia" w:eastAsiaTheme="minorEastAsia"/>
          <w:sz w:val="32"/>
          <w:szCs w:val="32"/>
          <w:highlight w:val="none"/>
          <w:lang w:val="en-US" w:eastAsia="zh-CN"/>
        </w:rPr>
        <w:t>文化旅游体育与传媒支出</w:t>
      </w:r>
      <w:r>
        <w:rPr>
          <w:rFonts w:hint="eastAsia" w:asciiTheme="minorEastAsia" w:hAnsiTheme="minorEastAsia" w:eastAsiaTheme="minorEastAsia"/>
          <w:sz w:val="32"/>
          <w:szCs w:val="32"/>
          <w:highlight w:val="none"/>
        </w:rPr>
        <w:t>（类）</w:t>
      </w:r>
      <w:r>
        <w:rPr>
          <w:rFonts w:hint="eastAsia" w:asciiTheme="minorEastAsia" w:hAnsiTheme="minorEastAsia" w:eastAsiaTheme="minorEastAsia"/>
          <w:sz w:val="32"/>
          <w:szCs w:val="32"/>
          <w:highlight w:val="none"/>
          <w:lang w:val="en-US" w:eastAsia="zh-CN"/>
        </w:rPr>
        <w:t>文化和旅游</w:t>
      </w:r>
      <w:r>
        <w:rPr>
          <w:rFonts w:hint="eastAsia" w:asciiTheme="minorEastAsia" w:hAnsiTheme="minorEastAsia" w:eastAsiaTheme="minorEastAsia"/>
          <w:sz w:val="32"/>
          <w:szCs w:val="32"/>
          <w:highlight w:val="none"/>
        </w:rPr>
        <w:t>（款）</w:t>
      </w:r>
      <w:r>
        <w:rPr>
          <w:rFonts w:hint="eastAsia" w:asciiTheme="minorEastAsia" w:hAnsiTheme="minorEastAsia" w:eastAsiaTheme="minorEastAsia"/>
          <w:sz w:val="32"/>
          <w:szCs w:val="32"/>
          <w:highlight w:val="none"/>
          <w:lang w:val="en-US" w:eastAsia="zh-CN"/>
        </w:rPr>
        <w:t xml:space="preserve"> 其他文化和旅游支出</w:t>
      </w:r>
      <w:r>
        <w:rPr>
          <w:rFonts w:hint="eastAsia" w:asciiTheme="minorEastAsia" w:hAnsiTheme="minorEastAsia" w:eastAsiaTheme="minorEastAsia"/>
          <w:sz w:val="32"/>
          <w:szCs w:val="32"/>
          <w:highlight w:val="none"/>
        </w:rPr>
        <w:t>（项）。</w:t>
      </w:r>
    </w:p>
    <w:p>
      <w:pPr>
        <w:pStyle w:val="9"/>
        <w:ind w:firstLine="800" w:firstLineChars="250"/>
        <w:rPr>
          <w:rFonts w:hint="eastAsia" w:asciiTheme="minorEastAsia" w:hAnsiTheme="minorEastAsia" w:eastAsiaTheme="minorEastAsia"/>
          <w:sz w:val="32"/>
          <w:szCs w:val="32"/>
          <w:highlight w:val="none"/>
          <w:lang w:eastAsia="zh-CN"/>
        </w:rPr>
      </w:pPr>
      <w:r>
        <w:rPr>
          <w:rFonts w:hint="eastAsia" w:asciiTheme="minorEastAsia" w:hAnsiTheme="minorEastAsia" w:eastAsiaTheme="minorEastAsia"/>
          <w:sz w:val="32"/>
          <w:szCs w:val="32"/>
          <w:highlight w:val="none"/>
        </w:rPr>
        <w:t>年初预算为</w:t>
      </w:r>
      <w:r>
        <w:rPr>
          <w:rFonts w:hint="eastAsia" w:asciiTheme="minorEastAsia" w:hAnsiTheme="minorEastAsia" w:eastAsiaTheme="minorEastAsia"/>
          <w:sz w:val="32"/>
          <w:szCs w:val="32"/>
          <w:highlight w:val="none"/>
          <w:lang w:val="en-US" w:eastAsia="zh-CN"/>
        </w:rPr>
        <w:t>4.65</w:t>
      </w:r>
      <w:r>
        <w:rPr>
          <w:rFonts w:hint="eastAsia" w:asciiTheme="minorEastAsia" w:hAnsiTheme="minorEastAsia" w:eastAsiaTheme="minorEastAsia"/>
          <w:sz w:val="32"/>
          <w:szCs w:val="32"/>
          <w:highlight w:val="none"/>
        </w:rPr>
        <w:t>万元，支出决算为</w:t>
      </w:r>
      <w:r>
        <w:rPr>
          <w:rFonts w:hint="eastAsia" w:asciiTheme="minorEastAsia" w:hAnsiTheme="minorEastAsia" w:eastAsiaTheme="minorEastAsia"/>
          <w:sz w:val="32"/>
          <w:szCs w:val="32"/>
          <w:highlight w:val="none"/>
          <w:lang w:val="en-US" w:eastAsia="zh-CN"/>
        </w:rPr>
        <w:t>4.65</w:t>
      </w:r>
      <w:r>
        <w:rPr>
          <w:rFonts w:hint="eastAsia" w:asciiTheme="minorEastAsia" w:hAnsiTheme="minorEastAsia" w:eastAsiaTheme="minorEastAsia"/>
          <w:sz w:val="32"/>
          <w:szCs w:val="32"/>
          <w:highlight w:val="none"/>
        </w:rPr>
        <w:t>万元，完成年初预算的</w:t>
      </w:r>
      <w:r>
        <w:rPr>
          <w:rFonts w:hint="eastAsia" w:asciiTheme="minorEastAsia" w:hAnsiTheme="minorEastAsia" w:eastAsiaTheme="minorEastAsia"/>
          <w:sz w:val="32"/>
          <w:szCs w:val="32"/>
          <w:highlight w:val="none"/>
          <w:lang w:val="en-US" w:eastAsia="zh-CN"/>
        </w:rPr>
        <w:t>100</w:t>
      </w:r>
      <w:r>
        <w:rPr>
          <w:rFonts w:hint="eastAsia" w:asciiTheme="minorEastAsia" w:hAnsiTheme="minorEastAsia" w:eastAsiaTheme="minorEastAsia"/>
          <w:sz w:val="32"/>
          <w:szCs w:val="32"/>
          <w:highlight w:val="none"/>
        </w:rPr>
        <w:t>%</w:t>
      </w:r>
      <w:r>
        <w:rPr>
          <w:rFonts w:hint="eastAsia" w:asciiTheme="minorEastAsia" w:hAnsiTheme="minorEastAsia" w:eastAsiaTheme="minorEastAsia"/>
          <w:sz w:val="32"/>
          <w:szCs w:val="32"/>
          <w:highlight w:val="none"/>
          <w:lang w:eastAsia="zh-CN"/>
        </w:rPr>
        <w:t>。</w:t>
      </w:r>
    </w:p>
    <w:p>
      <w:pPr>
        <w:pStyle w:val="9"/>
        <w:ind w:firstLine="800" w:firstLineChars="250"/>
        <w:rPr>
          <w:rFonts w:hint="eastAsia" w:asciiTheme="minorEastAsia" w:hAnsiTheme="minorEastAsia" w:eastAsiaTheme="minorEastAsia"/>
          <w:sz w:val="32"/>
          <w:szCs w:val="32"/>
          <w:highlight w:val="none"/>
        </w:rPr>
      </w:pPr>
      <w:r>
        <w:rPr>
          <w:rFonts w:hint="eastAsia" w:asciiTheme="minorEastAsia" w:hAnsiTheme="minorEastAsia" w:eastAsiaTheme="minorEastAsia"/>
          <w:sz w:val="32"/>
          <w:szCs w:val="32"/>
          <w:highlight w:val="none"/>
          <w:lang w:val="en-US" w:eastAsia="zh-CN"/>
        </w:rPr>
        <w:t>6</w:t>
      </w:r>
      <w:r>
        <w:rPr>
          <w:rFonts w:hint="eastAsia" w:asciiTheme="minorEastAsia" w:hAnsiTheme="minorEastAsia" w:eastAsiaTheme="minorEastAsia"/>
          <w:sz w:val="32"/>
          <w:szCs w:val="32"/>
          <w:highlight w:val="none"/>
        </w:rPr>
        <w:t>、一般公共服务支出</w:t>
      </w:r>
      <w:r>
        <w:rPr>
          <w:rFonts w:hint="eastAsia" w:asciiTheme="minorEastAsia" w:hAnsiTheme="minorEastAsia" w:eastAsiaTheme="minorEastAsia"/>
          <w:sz w:val="32"/>
          <w:szCs w:val="32"/>
          <w:highlight w:val="none"/>
          <w:lang w:val="en-US" w:eastAsia="zh-CN"/>
        </w:rPr>
        <w:t>221</w:t>
      </w:r>
      <w:r>
        <w:rPr>
          <w:rFonts w:hint="eastAsia" w:asciiTheme="minorEastAsia" w:hAnsiTheme="minorEastAsia" w:eastAsiaTheme="minorEastAsia"/>
          <w:sz w:val="32"/>
          <w:szCs w:val="32"/>
          <w:highlight w:val="none"/>
        </w:rPr>
        <w:t>（类）</w:t>
      </w:r>
      <w:r>
        <w:rPr>
          <w:rFonts w:hint="eastAsia" w:asciiTheme="minorEastAsia" w:hAnsiTheme="minorEastAsia" w:eastAsiaTheme="minorEastAsia"/>
          <w:sz w:val="32"/>
          <w:szCs w:val="32"/>
          <w:highlight w:val="none"/>
          <w:lang w:val="en-US" w:eastAsia="zh-CN"/>
        </w:rPr>
        <w:t>住房改革支出</w:t>
      </w:r>
      <w:r>
        <w:rPr>
          <w:rFonts w:hint="eastAsia" w:asciiTheme="minorEastAsia" w:hAnsiTheme="minorEastAsia" w:eastAsiaTheme="minorEastAsia"/>
          <w:sz w:val="32"/>
          <w:szCs w:val="32"/>
          <w:highlight w:val="none"/>
        </w:rPr>
        <w:t>（款）</w:t>
      </w:r>
      <w:r>
        <w:rPr>
          <w:rFonts w:hint="eastAsia" w:asciiTheme="minorEastAsia" w:hAnsiTheme="minorEastAsia" w:eastAsiaTheme="minorEastAsia"/>
          <w:sz w:val="32"/>
          <w:szCs w:val="32"/>
          <w:highlight w:val="none"/>
          <w:lang w:val="en-US" w:eastAsia="zh-CN"/>
        </w:rPr>
        <w:t xml:space="preserve"> 住房公积金</w:t>
      </w:r>
      <w:r>
        <w:rPr>
          <w:rFonts w:hint="eastAsia" w:asciiTheme="minorEastAsia" w:hAnsiTheme="minorEastAsia" w:eastAsiaTheme="minorEastAsia"/>
          <w:sz w:val="32"/>
          <w:szCs w:val="32"/>
          <w:highlight w:val="none"/>
        </w:rPr>
        <w:t>（项）。</w:t>
      </w:r>
    </w:p>
    <w:p>
      <w:pPr>
        <w:pStyle w:val="9"/>
        <w:ind w:firstLine="800" w:firstLineChars="250"/>
        <w:rPr>
          <w:rFonts w:hint="eastAsia" w:asciiTheme="minorEastAsia" w:hAnsiTheme="minorEastAsia" w:eastAsiaTheme="minorEastAsia"/>
          <w:color w:val="auto"/>
          <w:sz w:val="32"/>
          <w:szCs w:val="32"/>
          <w:highlight w:val="none"/>
          <w:lang w:val="en-US" w:eastAsia="zh-CN"/>
        </w:rPr>
      </w:pPr>
      <w:r>
        <w:rPr>
          <w:rFonts w:hint="eastAsia" w:asciiTheme="minorEastAsia" w:hAnsiTheme="minorEastAsia" w:eastAsiaTheme="minorEastAsia"/>
          <w:sz w:val="32"/>
          <w:szCs w:val="32"/>
          <w:highlight w:val="none"/>
        </w:rPr>
        <w:t>年初预算为</w:t>
      </w:r>
      <w:r>
        <w:rPr>
          <w:rFonts w:hint="eastAsia" w:asciiTheme="minorEastAsia" w:hAnsiTheme="minorEastAsia" w:eastAsiaTheme="minorEastAsia"/>
          <w:sz w:val="32"/>
          <w:szCs w:val="32"/>
          <w:highlight w:val="none"/>
          <w:lang w:val="en-US" w:eastAsia="zh-CN"/>
        </w:rPr>
        <w:t>3.0</w:t>
      </w:r>
      <w:r>
        <w:rPr>
          <w:rFonts w:hint="eastAsia" w:asciiTheme="minorEastAsia" w:hAnsiTheme="minorEastAsia" w:eastAsiaTheme="minorEastAsia"/>
          <w:sz w:val="32"/>
          <w:szCs w:val="32"/>
          <w:highlight w:val="none"/>
        </w:rPr>
        <w:t>万元，支出决算为</w:t>
      </w:r>
      <w:r>
        <w:rPr>
          <w:rFonts w:hint="eastAsia" w:asciiTheme="minorEastAsia" w:hAnsiTheme="minorEastAsia" w:eastAsiaTheme="minorEastAsia"/>
          <w:sz w:val="32"/>
          <w:szCs w:val="32"/>
          <w:highlight w:val="none"/>
          <w:lang w:val="en-US" w:eastAsia="zh-CN"/>
        </w:rPr>
        <w:t>3.1</w:t>
      </w:r>
      <w:r>
        <w:rPr>
          <w:rFonts w:hint="eastAsia" w:asciiTheme="minorEastAsia" w:hAnsiTheme="minorEastAsia" w:eastAsiaTheme="minorEastAsia"/>
          <w:sz w:val="32"/>
          <w:szCs w:val="32"/>
          <w:highlight w:val="none"/>
        </w:rPr>
        <w:t>万元，完成年初预算的</w:t>
      </w:r>
      <w:r>
        <w:rPr>
          <w:rFonts w:hint="eastAsia" w:asciiTheme="minorEastAsia" w:hAnsiTheme="minorEastAsia" w:eastAsiaTheme="minorEastAsia"/>
          <w:sz w:val="32"/>
          <w:szCs w:val="32"/>
          <w:highlight w:val="none"/>
          <w:lang w:val="en-US" w:eastAsia="zh-CN"/>
        </w:rPr>
        <w:t>103.33</w:t>
      </w:r>
      <w:r>
        <w:rPr>
          <w:rFonts w:hint="eastAsia" w:asciiTheme="minorEastAsia" w:hAnsiTheme="minorEastAsia" w:eastAsiaTheme="minorEastAsia"/>
          <w:sz w:val="32"/>
          <w:szCs w:val="32"/>
          <w:highlight w:val="none"/>
        </w:rPr>
        <w:t>%</w:t>
      </w:r>
      <w:r>
        <w:rPr>
          <w:rFonts w:hint="eastAsia" w:asciiTheme="minorEastAsia" w:hAnsiTheme="minorEastAsia" w:eastAsiaTheme="minorEastAsia"/>
          <w:sz w:val="32"/>
          <w:szCs w:val="32"/>
          <w:highlight w:val="none"/>
          <w:lang w:eastAsia="zh-CN"/>
        </w:rPr>
        <w:t>，</w:t>
      </w:r>
      <w:r>
        <w:rPr>
          <w:rFonts w:hint="eastAsia" w:asciiTheme="minorEastAsia" w:hAnsiTheme="minorEastAsia" w:eastAsiaTheme="minorEastAsia"/>
          <w:sz w:val="32"/>
          <w:szCs w:val="32"/>
          <w:highlight w:val="none"/>
          <w:lang w:val="en-US" w:eastAsia="zh-CN"/>
        </w:rPr>
        <w:t>比年初预算增加0.1万元，</w:t>
      </w:r>
      <w:r>
        <w:rPr>
          <w:rFonts w:hint="eastAsia" w:asciiTheme="minorEastAsia" w:hAnsiTheme="minorEastAsia" w:eastAsiaTheme="minorEastAsia"/>
          <w:sz w:val="32"/>
          <w:szCs w:val="32"/>
        </w:rPr>
        <w:t>决算数</w:t>
      </w:r>
      <w:r>
        <w:rPr>
          <w:rFonts w:hint="eastAsia" w:asciiTheme="minorEastAsia" w:hAnsiTheme="minorEastAsia" w:eastAsiaTheme="minorEastAsia"/>
          <w:sz w:val="32"/>
          <w:szCs w:val="32"/>
          <w:lang w:val="en-US" w:eastAsia="zh-CN"/>
        </w:rPr>
        <w:t>大</w:t>
      </w:r>
      <w:r>
        <w:rPr>
          <w:rFonts w:hint="eastAsia" w:asciiTheme="minorEastAsia" w:hAnsiTheme="minorEastAsia" w:eastAsiaTheme="minorEastAsia"/>
          <w:sz w:val="32"/>
          <w:szCs w:val="32"/>
        </w:rPr>
        <w:t>于年初预算数的主要原因是</w:t>
      </w:r>
      <w:r>
        <w:rPr>
          <w:rFonts w:hint="eastAsia" w:asciiTheme="minorEastAsia" w:hAnsiTheme="minorEastAsia" w:eastAsiaTheme="minorEastAsia"/>
          <w:sz w:val="32"/>
          <w:szCs w:val="32"/>
          <w:highlight w:val="none"/>
          <w:lang w:val="en-US" w:eastAsia="zh-CN"/>
        </w:rPr>
        <w:t>住房公积金基数提高。</w:t>
      </w:r>
    </w:p>
    <w:p>
      <w:pPr>
        <w:pStyle w:val="9"/>
        <w:rPr>
          <w:rFonts w:hAnsi="黑体"/>
          <w:b/>
          <w:sz w:val="32"/>
          <w:szCs w:val="32"/>
        </w:rPr>
      </w:pPr>
      <w:r>
        <w:rPr>
          <w:rFonts w:hint="eastAsia" w:hAnsi="黑体"/>
          <w:b/>
          <w:sz w:val="32"/>
          <w:szCs w:val="32"/>
        </w:rPr>
        <w:t>六、一般公共预算财政拨款基本支出决算情况说明</w:t>
      </w:r>
    </w:p>
    <w:p>
      <w:pPr>
        <w:pStyle w:val="9"/>
        <w:ind w:firstLine="640" w:firstLineChars="200"/>
        <w:rPr>
          <w:rFonts w:asciiTheme="minorEastAsia" w:hAnsiTheme="minorEastAsia" w:eastAsiaTheme="minorEastAsia"/>
          <w:i/>
          <w:color w:val="FF0000"/>
          <w:sz w:val="32"/>
          <w:szCs w:val="32"/>
        </w:rPr>
      </w:pPr>
      <w:r>
        <w:rPr>
          <w:rFonts w:hint="eastAsia" w:asciiTheme="minorEastAsia" w:hAnsiTheme="minorEastAsia" w:eastAsiaTheme="minorEastAsia"/>
          <w:sz w:val="32"/>
          <w:szCs w:val="32"/>
        </w:rPr>
        <w:t>2021年度财政拨款基本支出</w:t>
      </w:r>
      <w:r>
        <w:rPr>
          <w:rFonts w:hint="eastAsia" w:asciiTheme="minorEastAsia" w:hAnsiTheme="minorEastAsia" w:eastAsiaTheme="minorEastAsia"/>
          <w:sz w:val="32"/>
          <w:szCs w:val="32"/>
          <w:lang w:val="en-US" w:eastAsia="zh-CN"/>
        </w:rPr>
        <w:t>46.70</w:t>
      </w:r>
      <w:r>
        <w:rPr>
          <w:rFonts w:hint="eastAsia" w:asciiTheme="minorEastAsia" w:hAnsiTheme="minorEastAsia" w:eastAsiaTheme="minorEastAsia"/>
          <w:sz w:val="32"/>
          <w:szCs w:val="32"/>
        </w:rPr>
        <w:t>万元，其中：人员经费</w:t>
      </w:r>
      <w:r>
        <w:rPr>
          <w:rFonts w:hint="eastAsia" w:asciiTheme="minorEastAsia" w:hAnsiTheme="minorEastAsia" w:eastAsiaTheme="minorEastAsia"/>
          <w:sz w:val="32"/>
          <w:szCs w:val="32"/>
          <w:lang w:val="en-US" w:eastAsia="zh-CN"/>
        </w:rPr>
        <w:t>40.22</w:t>
      </w:r>
      <w:r>
        <w:rPr>
          <w:rFonts w:hint="eastAsia" w:asciiTheme="minorEastAsia" w:hAnsiTheme="minorEastAsia" w:eastAsiaTheme="minorEastAsia"/>
          <w:sz w:val="32"/>
          <w:szCs w:val="32"/>
        </w:rPr>
        <w:t>万元，占基本支出的</w:t>
      </w:r>
      <w:r>
        <w:rPr>
          <w:rFonts w:hint="eastAsia" w:asciiTheme="minorEastAsia" w:hAnsiTheme="minorEastAsia" w:eastAsiaTheme="minorEastAsia"/>
          <w:sz w:val="32"/>
          <w:szCs w:val="32"/>
          <w:lang w:val="en-US" w:eastAsia="zh-CN"/>
        </w:rPr>
        <w:t>86.12</w:t>
      </w:r>
      <w:r>
        <w:rPr>
          <w:rFonts w:hint="eastAsia" w:asciiTheme="minorEastAsia" w:hAnsiTheme="minorEastAsia" w:eastAsiaTheme="minorEastAsia"/>
          <w:sz w:val="32"/>
          <w:szCs w:val="32"/>
        </w:rPr>
        <w:t>%,主要包括基本工资</w:t>
      </w:r>
      <w:r>
        <w:rPr>
          <w:rFonts w:hint="eastAsia" w:asciiTheme="minorEastAsia" w:hAnsiTheme="minorEastAsia" w:eastAsiaTheme="minorEastAsia"/>
          <w:sz w:val="32"/>
          <w:szCs w:val="32"/>
          <w:lang w:val="en-US" w:eastAsia="zh-CN"/>
        </w:rPr>
        <w:t>16.20万元</w:t>
      </w:r>
      <w:r>
        <w:rPr>
          <w:rFonts w:hint="eastAsia" w:asciiTheme="minorEastAsia" w:hAnsiTheme="minorEastAsia" w:eastAsiaTheme="minorEastAsia"/>
          <w:sz w:val="32"/>
          <w:szCs w:val="32"/>
        </w:rPr>
        <w:t>、津贴补贴</w:t>
      </w:r>
      <w:r>
        <w:rPr>
          <w:rFonts w:hint="eastAsia" w:asciiTheme="minorEastAsia" w:hAnsiTheme="minorEastAsia" w:eastAsiaTheme="minorEastAsia"/>
          <w:sz w:val="32"/>
          <w:szCs w:val="32"/>
          <w:lang w:val="en-US" w:eastAsia="zh-CN"/>
        </w:rPr>
        <w:t>9.37万元</w:t>
      </w:r>
      <w:r>
        <w:rPr>
          <w:rFonts w:hint="eastAsia" w:asciiTheme="minorEastAsia" w:hAnsiTheme="minorEastAsia" w:eastAsiaTheme="minorEastAsia"/>
          <w:sz w:val="32"/>
          <w:szCs w:val="32"/>
        </w:rPr>
        <w:t>、奖金</w:t>
      </w:r>
      <w:r>
        <w:rPr>
          <w:rFonts w:hint="eastAsia" w:asciiTheme="minorEastAsia" w:hAnsiTheme="minorEastAsia" w:eastAsiaTheme="minorEastAsia"/>
          <w:sz w:val="32"/>
          <w:szCs w:val="32"/>
          <w:lang w:val="en-US" w:eastAsia="zh-CN"/>
        </w:rPr>
        <w:t>1万元</w:t>
      </w:r>
      <w:r>
        <w:rPr>
          <w:rFonts w:hint="eastAsia" w:asciiTheme="minorEastAsia" w:hAnsiTheme="minorEastAsia" w:eastAsiaTheme="minorEastAsia"/>
          <w:sz w:val="32"/>
          <w:szCs w:val="32"/>
        </w:rPr>
        <w:t>、</w:t>
      </w:r>
      <w:r>
        <w:rPr>
          <w:rFonts w:hint="eastAsia" w:asciiTheme="minorEastAsia" w:hAnsiTheme="minorEastAsia" w:eastAsiaTheme="minorEastAsia"/>
          <w:sz w:val="32"/>
          <w:szCs w:val="32"/>
          <w:lang w:val="en-US" w:eastAsia="zh-CN"/>
        </w:rPr>
        <w:t>绩效工资3.44万元，养老保险4万元、职业年金1.1万元、医疗保险2万元、住房公积金3.1万元</w:t>
      </w:r>
      <w:r>
        <w:rPr>
          <w:rFonts w:hint="eastAsia" w:asciiTheme="minorEastAsia" w:hAnsiTheme="minorEastAsia" w:eastAsiaTheme="minorEastAsia"/>
          <w:sz w:val="32"/>
          <w:szCs w:val="32"/>
        </w:rPr>
        <w:t>；公用经费</w:t>
      </w:r>
      <w:r>
        <w:rPr>
          <w:rFonts w:hint="eastAsia" w:asciiTheme="minorEastAsia" w:hAnsiTheme="minorEastAsia" w:eastAsiaTheme="minorEastAsia"/>
          <w:sz w:val="32"/>
          <w:szCs w:val="32"/>
          <w:lang w:val="en-US" w:eastAsia="zh-CN"/>
        </w:rPr>
        <w:t>6.48</w:t>
      </w:r>
      <w:r>
        <w:rPr>
          <w:rFonts w:hint="eastAsia" w:asciiTheme="minorEastAsia" w:hAnsiTheme="minorEastAsia" w:eastAsiaTheme="minorEastAsia"/>
          <w:sz w:val="32"/>
          <w:szCs w:val="32"/>
        </w:rPr>
        <w:t>万元，占基本支出的</w:t>
      </w:r>
      <w:r>
        <w:rPr>
          <w:rFonts w:hint="eastAsia" w:asciiTheme="minorEastAsia" w:hAnsiTheme="minorEastAsia" w:eastAsiaTheme="minorEastAsia"/>
          <w:sz w:val="32"/>
          <w:szCs w:val="32"/>
          <w:lang w:val="en-US" w:eastAsia="zh-CN"/>
        </w:rPr>
        <w:t>13.88</w:t>
      </w:r>
      <w:r>
        <w:rPr>
          <w:rFonts w:hint="eastAsia" w:asciiTheme="minorEastAsia" w:hAnsiTheme="minorEastAsia" w:eastAsiaTheme="minorEastAsia"/>
          <w:sz w:val="32"/>
          <w:szCs w:val="32"/>
        </w:rPr>
        <w:t>%，主要包括办公费</w:t>
      </w:r>
      <w:r>
        <w:rPr>
          <w:rFonts w:hint="eastAsia" w:asciiTheme="minorEastAsia" w:hAnsiTheme="minorEastAsia" w:eastAsiaTheme="minorEastAsia"/>
          <w:sz w:val="32"/>
          <w:szCs w:val="32"/>
          <w:lang w:val="en-US" w:eastAsia="zh-CN"/>
        </w:rPr>
        <w:t>0.5万元</w:t>
      </w:r>
      <w:r>
        <w:rPr>
          <w:rFonts w:hint="eastAsia" w:asciiTheme="minorEastAsia" w:hAnsiTheme="minorEastAsia" w:eastAsiaTheme="minorEastAsia"/>
          <w:sz w:val="32"/>
          <w:szCs w:val="32"/>
        </w:rPr>
        <w:t>、印刷费</w:t>
      </w:r>
      <w:r>
        <w:rPr>
          <w:rFonts w:hint="eastAsia" w:asciiTheme="minorEastAsia" w:hAnsiTheme="minorEastAsia" w:eastAsiaTheme="minorEastAsia"/>
          <w:sz w:val="32"/>
          <w:szCs w:val="32"/>
          <w:lang w:val="en-US" w:eastAsia="zh-CN"/>
        </w:rPr>
        <w:t>0.6万元</w:t>
      </w:r>
      <w:r>
        <w:rPr>
          <w:rFonts w:hint="eastAsia" w:asciiTheme="minorEastAsia" w:hAnsiTheme="minorEastAsia" w:eastAsiaTheme="minorEastAsia"/>
          <w:sz w:val="32"/>
          <w:szCs w:val="32"/>
        </w:rPr>
        <w:t>、</w:t>
      </w:r>
      <w:r>
        <w:rPr>
          <w:rFonts w:hint="eastAsia" w:asciiTheme="minorEastAsia" w:hAnsiTheme="minorEastAsia" w:eastAsiaTheme="minorEastAsia"/>
          <w:sz w:val="32"/>
          <w:szCs w:val="32"/>
          <w:lang w:val="en-US" w:eastAsia="zh-CN"/>
        </w:rPr>
        <w:t>水费0.1万元、电费0.25万元、邮电费0.05万元、差旅费0.5万元、会议费0.18万元、培训费0.2万元、公务接待费0.3万元、劳务费0.72万元、工会经费1.3万元、其他交通费1.48万元、其他商品与服务支出0.3万元</w:t>
      </w:r>
      <w:r>
        <w:rPr>
          <w:rFonts w:hint="eastAsia" w:asciiTheme="minorEastAsia" w:hAnsiTheme="minorEastAsia" w:eastAsiaTheme="minorEastAsia"/>
          <w:sz w:val="32"/>
          <w:szCs w:val="32"/>
        </w:rPr>
        <w:t>。</w:t>
      </w:r>
    </w:p>
    <w:p>
      <w:pPr>
        <w:pStyle w:val="9"/>
        <w:numPr>
          <w:ilvl w:val="0"/>
          <w:numId w:val="2"/>
        </w:numPr>
        <w:rPr>
          <w:rFonts w:hint="eastAsia" w:hAnsi="黑体"/>
          <w:b/>
          <w:sz w:val="32"/>
          <w:szCs w:val="32"/>
        </w:rPr>
      </w:pPr>
      <w:r>
        <w:rPr>
          <w:rFonts w:hint="eastAsia" w:hAnsi="黑体"/>
          <w:b/>
          <w:sz w:val="32"/>
          <w:szCs w:val="32"/>
        </w:rPr>
        <w:t>一般公共预算财政拨款“三公”经费支出决算情况说明</w:t>
      </w:r>
    </w:p>
    <w:p>
      <w:pPr>
        <w:pStyle w:val="9"/>
        <w:ind w:firstLine="640" w:firstLineChars="200"/>
        <w:rPr>
          <w:rFonts w:hint="eastAsia" w:asciiTheme="minorEastAsia" w:hAnsiTheme="minorEastAsia" w:eastAsiaTheme="minorEastAsia"/>
          <w:b/>
          <w:sz w:val="32"/>
          <w:szCs w:val="32"/>
        </w:rPr>
      </w:pPr>
      <w:r>
        <w:rPr>
          <w:rFonts w:hint="eastAsia" w:asciiTheme="minorEastAsia" w:hAnsiTheme="minorEastAsia" w:eastAsiaTheme="minorEastAsia"/>
          <w:b/>
          <w:sz w:val="32"/>
          <w:szCs w:val="32"/>
        </w:rPr>
        <w:t>（一）“三公”经费财政拨款支出决算总体情况说明</w:t>
      </w:r>
    </w:p>
    <w:p>
      <w:pPr>
        <w:pStyle w:val="9"/>
        <w:ind w:firstLine="640" w:firstLineChars="200"/>
        <w:rPr>
          <w:rFonts w:hint="eastAsia" w:asciiTheme="minorEastAsia" w:hAnsiTheme="minorEastAsia" w:eastAsiaTheme="minorEastAsia"/>
          <w:sz w:val="32"/>
          <w:szCs w:val="32"/>
        </w:rPr>
      </w:pPr>
      <w:r>
        <w:rPr>
          <w:rFonts w:hint="eastAsia" w:asciiTheme="minorEastAsia" w:hAnsiTheme="minorEastAsia" w:eastAsiaTheme="minorEastAsia"/>
          <w:sz w:val="32"/>
          <w:szCs w:val="32"/>
        </w:rPr>
        <w:t xml:space="preserve"> 2021年度“三公”经费财政拨款支出预算为</w:t>
      </w:r>
      <w:r>
        <w:rPr>
          <w:rFonts w:hint="eastAsia" w:asciiTheme="minorEastAsia" w:hAnsiTheme="minorEastAsia" w:eastAsiaTheme="minorEastAsia"/>
          <w:sz w:val="32"/>
          <w:szCs w:val="32"/>
          <w:lang w:val="en-US" w:eastAsia="zh-CN"/>
        </w:rPr>
        <w:t>0.5</w:t>
      </w:r>
      <w:r>
        <w:rPr>
          <w:rFonts w:hint="eastAsia" w:asciiTheme="minorEastAsia" w:hAnsiTheme="minorEastAsia" w:eastAsiaTheme="minorEastAsia"/>
          <w:sz w:val="32"/>
          <w:szCs w:val="32"/>
        </w:rPr>
        <w:t>万元，支出决算为</w:t>
      </w:r>
      <w:r>
        <w:rPr>
          <w:rFonts w:hint="eastAsia" w:asciiTheme="minorEastAsia" w:hAnsiTheme="minorEastAsia" w:eastAsiaTheme="minorEastAsia"/>
          <w:sz w:val="32"/>
          <w:szCs w:val="32"/>
          <w:lang w:val="en-US" w:eastAsia="zh-CN"/>
        </w:rPr>
        <w:t>0.4</w:t>
      </w:r>
      <w:r>
        <w:rPr>
          <w:rFonts w:hint="eastAsia" w:asciiTheme="minorEastAsia" w:hAnsiTheme="minorEastAsia" w:eastAsiaTheme="minorEastAsia"/>
          <w:sz w:val="32"/>
          <w:szCs w:val="32"/>
        </w:rPr>
        <w:t>万元，完成预算的</w:t>
      </w:r>
      <w:r>
        <w:rPr>
          <w:rFonts w:hint="eastAsia" w:asciiTheme="minorEastAsia" w:hAnsiTheme="minorEastAsia" w:eastAsiaTheme="minorEastAsia"/>
          <w:sz w:val="32"/>
          <w:szCs w:val="32"/>
          <w:lang w:val="en-US" w:eastAsia="zh-CN"/>
        </w:rPr>
        <w:t>80.00</w:t>
      </w:r>
      <w:r>
        <w:rPr>
          <w:rFonts w:hint="eastAsia" w:asciiTheme="minorEastAsia" w:hAnsiTheme="minorEastAsia" w:eastAsiaTheme="minorEastAsia"/>
          <w:sz w:val="32"/>
          <w:szCs w:val="32"/>
        </w:rPr>
        <w:t>%，其中：</w:t>
      </w:r>
    </w:p>
    <w:p>
      <w:pPr>
        <w:pStyle w:val="9"/>
        <w:ind w:firstLine="640" w:firstLineChars="200"/>
        <w:rPr>
          <w:rFonts w:hint="eastAsia" w:asciiTheme="minorEastAsia" w:hAnsiTheme="minorEastAsia" w:eastAsiaTheme="minorEastAsia"/>
          <w:sz w:val="32"/>
          <w:szCs w:val="32"/>
        </w:rPr>
      </w:pPr>
      <w:r>
        <w:rPr>
          <w:rFonts w:hint="eastAsia" w:asciiTheme="minorEastAsia" w:hAnsiTheme="minorEastAsia" w:eastAsiaTheme="minorEastAsia"/>
          <w:sz w:val="32"/>
          <w:szCs w:val="32"/>
        </w:rPr>
        <w:t>因公出国（境）费支出预算为0万元，支出决算为0万元，完成预算的0%。</w:t>
      </w:r>
    </w:p>
    <w:p>
      <w:pPr>
        <w:pStyle w:val="9"/>
        <w:ind w:firstLine="640" w:firstLineChars="200"/>
        <w:rPr>
          <w:rFonts w:hint="eastAsia" w:asciiTheme="minorEastAsia" w:hAnsiTheme="minorEastAsia" w:eastAsiaTheme="minorEastAsia"/>
          <w:sz w:val="32"/>
          <w:szCs w:val="32"/>
        </w:rPr>
      </w:pPr>
      <w:r>
        <w:rPr>
          <w:rFonts w:hint="eastAsia" w:asciiTheme="minorEastAsia" w:hAnsiTheme="minorEastAsia" w:eastAsiaTheme="minorEastAsia"/>
          <w:sz w:val="32"/>
          <w:szCs w:val="32"/>
        </w:rPr>
        <w:t>公务接待费支出预算为</w:t>
      </w:r>
      <w:r>
        <w:rPr>
          <w:rFonts w:hint="eastAsia" w:asciiTheme="minorEastAsia" w:hAnsiTheme="minorEastAsia" w:eastAsiaTheme="minorEastAsia"/>
          <w:sz w:val="32"/>
          <w:szCs w:val="32"/>
          <w:lang w:val="en-US" w:eastAsia="zh-CN"/>
        </w:rPr>
        <w:t>0.5</w:t>
      </w:r>
      <w:r>
        <w:rPr>
          <w:rFonts w:hint="eastAsia" w:asciiTheme="minorEastAsia" w:hAnsiTheme="minorEastAsia" w:eastAsiaTheme="minorEastAsia"/>
          <w:sz w:val="32"/>
          <w:szCs w:val="32"/>
        </w:rPr>
        <w:t>万元，支出决算为</w:t>
      </w:r>
      <w:r>
        <w:rPr>
          <w:rFonts w:hint="eastAsia" w:asciiTheme="minorEastAsia" w:hAnsiTheme="minorEastAsia" w:eastAsiaTheme="minorEastAsia"/>
          <w:sz w:val="32"/>
          <w:szCs w:val="32"/>
          <w:lang w:val="en-US" w:eastAsia="zh-CN"/>
        </w:rPr>
        <w:t>0.4</w:t>
      </w:r>
      <w:r>
        <w:rPr>
          <w:rFonts w:hint="eastAsia" w:asciiTheme="minorEastAsia" w:hAnsiTheme="minorEastAsia" w:eastAsiaTheme="minorEastAsia"/>
          <w:sz w:val="32"/>
          <w:szCs w:val="32"/>
        </w:rPr>
        <w:t>万元，完成预算的</w:t>
      </w:r>
      <w:r>
        <w:rPr>
          <w:rFonts w:hint="eastAsia" w:asciiTheme="minorEastAsia" w:hAnsiTheme="minorEastAsia" w:eastAsiaTheme="minorEastAsia"/>
          <w:sz w:val="32"/>
          <w:szCs w:val="32"/>
          <w:lang w:val="en-US" w:eastAsia="zh-CN"/>
        </w:rPr>
        <w:t>80.00</w:t>
      </w:r>
      <w:r>
        <w:rPr>
          <w:rFonts w:hint="eastAsia" w:asciiTheme="minorEastAsia" w:hAnsiTheme="minorEastAsia" w:eastAsiaTheme="minorEastAsia"/>
          <w:sz w:val="32"/>
          <w:szCs w:val="32"/>
        </w:rPr>
        <w:t>%，决算数小于预算数的主要原因是厉行节约，控制接待规模，要求接待用餐一律从简安排，反对铺张浪费，严格控制开支项目，与上年相比</w:t>
      </w:r>
      <w:r>
        <w:rPr>
          <w:rFonts w:hint="eastAsia" w:asciiTheme="minorEastAsia" w:hAnsiTheme="minorEastAsia" w:eastAsiaTheme="minorEastAsia"/>
          <w:sz w:val="32"/>
          <w:szCs w:val="32"/>
          <w:lang w:val="en-US" w:eastAsia="zh-CN"/>
        </w:rPr>
        <w:t>持平</w:t>
      </w:r>
      <w:r>
        <w:rPr>
          <w:rFonts w:hint="eastAsia" w:asciiTheme="minorEastAsia" w:hAnsiTheme="minorEastAsia" w:eastAsiaTheme="minorEastAsia"/>
          <w:sz w:val="32"/>
          <w:szCs w:val="32"/>
        </w:rPr>
        <w:t>。</w:t>
      </w:r>
    </w:p>
    <w:p>
      <w:pPr>
        <w:pStyle w:val="9"/>
        <w:ind w:firstLine="640" w:firstLineChars="200"/>
        <w:rPr>
          <w:rFonts w:hint="eastAsia" w:asciiTheme="minorEastAsia" w:hAnsiTheme="minorEastAsia" w:eastAsiaTheme="minorEastAsia"/>
          <w:sz w:val="32"/>
          <w:szCs w:val="32"/>
        </w:rPr>
      </w:pPr>
      <w:r>
        <w:rPr>
          <w:rFonts w:hint="eastAsia" w:asciiTheme="minorEastAsia" w:hAnsiTheme="minorEastAsia" w:eastAsiaTheme="minorEastAsia"/>
          <w:sz w:val="32"/>
          <w:szCs w:val="32"/>
        </w:rPr>
        <w:t xml:space="preserve">公务用车购置费支出预算为0万元，支出决算为0万元，完成预算的0%。        </w:t>
      </w:r>
    </w:p>
    <w:p>
      <w:pPr>
        <w:pStyle w:val="9"/>
        <w:ind w:firstLine="640" w:firstLineChars="200"/>
        <w:rPr>
          <w:rFonts w:hint="eastAsia" w:asciiTheme="minorEastAsia" w:hAnsiTheme="minorEastAsia" w:eastAsiaTheme="minorEastAsia"/>
          <w:sz w:val="32"/>
          <w:szCs w:val="32"/>
        </w:rPr>
      </w:pPr>
      <w:r>
        <w:rPr>
          <w:rFonts w:hint="eastAsia" w:asciiTheme="minorEastAsia" w:hAnsiTheme="minorEastAsia" w:eastAsiaTheme="minorEastAsia"/>
          <w:sz w:val="32"/>
          <w:szCs w:val="32"/>
        </w:rPr>
        <w:t>公务用车运行维护费支出预算为0万元，支出决算为0万元，完成预算的0%。</w:t>
      </w:r>
    </w:p>
    <w:p>
      <w:pPr>
        <w:pStyle w:val="9"/>
        <w:ind w:firstLine="640" w:firstLineChars="200"/>
        <w:rPr>
          <w:rFonts w:asciiTheme="minorEastAsia" w:hAnsiTheme="minorEastAsia" w:eastAsiaTheme="minorEastAsia"/>
          <w:b/>
          <w:sz w:val="32"/>
          <w:szCs w:val="32"/>
        </w:rPr>
      </w:pPr>
      <w:r>
        <w:rPr>
          <w:rFonts w:hint="eastAsia" w:asciiTheme="minorEastAsia" w:hAnsiTheme="minorEastAsia" w:eastAsiaTheme="minorEastAsia"/>
          <w:b/>
          <w:sz w:val="32"/>
          <w:szCs w:val="32"/>
        </w:rPr>
        <w:t>（二）“三公”经费财政拨款支出决算具体情况说明</w:t>
      </w:r>
    </w:p>
    <w:p>
      <w:pPr>
        <w:pStyle w:val="9"/>
        <w:ind w:firstLine="640" w:firstLineChars="200"/>
        <w:rPr>
          <w:rFonts w:asciiTheme="minorEastAsia" w:hAnsiTheme="minorEastAsia" w:eastAsiaTheme="minorEastAsia"/>
          <w:sz w:val="32"/>
          <w:szCs w:val="32"/>
        </w:rPr>
      </w:pPr>
      <w:r>
        <w:rPr>
          <w:rFonts w:hint="eastAsia" w:asciiTheme="minorEastAsia" w:hAnsiTheme="minorEastAsia" w:eastAsiaTheme="minorEastAsia"/>
          <w:sz w:val="32"/>
          <w:szCs w:val="32"/>
        </w:rPr>
        <w:t>2021年度“三公”经费财政拨款支出决算中，公务接待费支出决算</w:t>
      </w:r>
      <w:r>
        <w:rPr>
          <w:rFonts w:hint="eastAsia" w:asciiTheme="minorEastAsia" w:hAnsiTheme="minorEastAsia" w:eastAsiaTheme="minorEastAsia"/>
          <w:sz w:val="32"/>
          <w:szCs w:val="32"/>
          <w:lang w:val="en-US" w:eastAsia="zh-CN"/>
        </w:rPr>
        <w:t>0.4</w:t>
      </w:r>
      <w:r>
        <w:rPr>
          <w:rFonts w:hint="eastAsia" w:asciiTheme="minorEastAsia" w:hAnsiTheme="minorEastAsia" w:eastAsiaTheme="minorEastAsia"/>
          <w:sz w:val="32"/>
          <w:szCs w:val="32"/>
        </w:rPr>
        <w:t>万元，占</w:t>
      </w:r>
      <w:r>
        <w:rPr>
          <w:rFonts w:hint="eastAsia" w:asciiTheme="minorEastAsia" w:hAnsiTheme="minorEastAsia" w:eastAsiaTheme="minorEastAsia"/>
          <w:sz w:val="32"/>
          <w:szCs w:val="32"/>
          <w:lang w:val="en-US" w:eastAsia="zh-CN"/>
        </w:rPr>
        <w:t>100</w:t>
      </w:r>
      <w:r>
        <w:rPr>
          <w:rFonts w:hint="eastAsia" w:asciiTheme="minorEastAsia" w:hAnsiTheme="minorEastAsia" w:eastAsiaTheme="minorEastAsia"/>
          <w:sz w:val="32"/>
          <w:szCs w:val="32"/>
        </w:rPr>
        <w:t>%,因公出国（境）费支出决算</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万元，占</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%,公务用车购置费及运行维护费支出决算</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万元，占</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%。其中：</w:t>
      </w:r>
    </w:p>
    <w:p>
      <w:pPr>
        <w:pStyle w:val="9"/>
        <w:rPr>
          <w:rFonts w:hint="eastAsia" w:asciiTheme="minorEastAsia" w:hAnsiTheme="minorEastAsia" w:eastAsiaTheme="minorEastAsia"/>
          <w:sz w:val="32"/>
          <w:szCs w:val="32"/>
          <w:lang w:eastAsia="zh-CN"/>
        </w:rPr>
      </w:pPr>
      <w:r>
        <w:rPr>
          <w:rFonts w:hint="eastAsia" w:asciiTheme="minorEastAsia" w:hAnsiTheme="minorEastAsia" w:eastAsiaTheme="minorEastAsia"/>
          <w:sz w:val="32"/>
          <w:szCs w:val="32"/>
        </w:rPr>
        <w:t>1、因公出国（境）费支出决算为</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万元，全年安排因公出国（境）团组</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个，累计</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人次</w:t>
      </w:r>
      <w:r>
        <w:rPr>
          <w:rFonts w:hint="eastAsia" w:asciiTheme="minorEastAsia" w:hAnsiTheme="minorEastAsia" w:eastAsiaTheme="minorEastAsia"/>
          <w:sz w:val="32"/>
          <w:szCs w:val="32"/>
          <w:lang w:eastAsia="zh-CN"/>
        </w:rPr>
        <w:t>。</w:t>
      </w:r>
    </w:p>
    <w:p>
      <w:pPr>
        <w:pStyle w:val="9"/>
        <w:ind w:firstLine="800" w:firstLineChars="250"/>
        <w:rPr>
          <w:rFonts w:asciiTheme="minorEastAsia" w:hAnsiTheme="minorEastAsia" w:eastAsiaTheme="minorEastAsia"/>
          <w:sz w:val="32"/>
          <w:szCs w:val="32"/>
        </w:rPr>
      </w:pPr>
      <w:r>
        <w:rPr>
          <w:rFonts w:hint="eastAsia" w:asciiTheme="minorEastAsia" w:hAnsiTheme="minorEastAsia" w:eastAsiaTheme="minorEastAsia"/>
          <w:sz w:val="32"/>
          <w:szCs w:val="32"/>
        </w:rPr>
        <w:t>2、公务接待费支出决算为</w:t>
      </w:r>
      <w:r>
        <w:rPr>
          <w:rFonts w:hint="eastAsia" w:asciiTheme="minorEastAsia" w:hAnsiTheme="minorEastAsia" w:eastAsiaTheme="minorEastAsia"/>
          <w:sz w:val="32"/>
          <w:szCs w:val="32"/>
          <w:lang w:val="en-US" w:eastAsia="zh-CN"/>
        </w:rPr>
        <w:t>0.4</w:t>
      </w:r>
      <w:r>
        <w:rPr>
          <w:rFonts w:hint="eastAsia" w:asciiTheme="minorEastAsia" w:hAnsiTheme="minorEastAsia" w:eastAsiaTheme="minorEastAsia"/>
          <w:sz w:val="32"/>
          <w:szCs w:val="32"/>
        </w:rPr>
        <w:t>万元，全年共接待来访团组</w:t>
      </w:r>
      <w:r>
        <w:rPr>
          <w:rFonts w:hint="eastAsia" w:asciiTheme="minorEastAsia" w:hAnsiTheme="minorEastAsia" w:eastAsiaTheme="minorEastAsia"/>
          <w:sz w:val="32"/>
          <w:szCs w:val="32"/>
          <w:lang w:val="en-US" w:eastAsia="zh-CN"/>
        </w:rPr>
        <w:t>6</w:t>
      </w:r>
      <w:r>
        <w:rPr>
          <w:rFonts w:hint="eastAsia" w:asciiTheme="minorEastAsia" w:hAnsiTheme="minorEastAsia" w:eastAsiaTheme="minorEastAsia"/>
          <w:sz w:val="32"/>
          <w:szCs w:val="32"/>
        </w:rPr>
        <w:t>个、来宾</w:t>
      </w:r>
      <w:r>
        <w:rPr>
          <w:rFonts w:hint="eastAsia" w:asciiTheme="minorEastAsia" w:hAnsiTheme="minorEastAsia" w:eastAsiaTheme="minorEastAsia"/>
          <w:sz w:val="32"/>
          <w:szCs w:val="32"/>
          <w:lang w:val="en-US" w:eastAsia="zh-CN"/>
        </w:rPr>
        <w:t>32</w:t>
      </w:r>
      <w:r>
        <w:rPr>
          <w:rFonts w:hint="eastAsia" w:asciiTheme="minorEastAsia" w:hAnsiTheme="minorEastAsia" w:eastAsiaTheme="minorEastAsia"/>
          <w:sz w:val="32"/>
          <w:szCs w:val="32"/>
        </w:rPr>
        <w:t>人次，主要是</w:t>
      </w:r>
      <w:r>
        <w:rPr>
          <w:rFonts w:hint="eastAsia" w:asciiTheme="minorEastAsia" w:hAnsiTheme="minorEastAsia" w:eastAsiaTheme="minorEastAsia"/>
          <w:sz w:val="32"/>
          <w:szCs w:val="32"/>
          <w:lang w:val="en-US" w:eastAsia="zh-CN"/>
        </w:rPr>
        <w:t>业务交流、开展业务活动</w:t>
      </w:r>
      <w:r>
        <w:rPr>
          <w:rFonts w:hint="eastAsia" w:asciiTheme="minorEastAsia" w:hAnsiTheme="minorEastAsia" w:eastAsiaTheme="minorEastAsia"/>
          <w:sz w:val="32"/>
          <w:szCs w:val="32"/>
        </w:rPr>
        <w:t>发生的接待支出。</w:t>
      </w:r>
    </w:p>
    <w:p>
      <w:pPr>
        <w:ind w:firstLine="800" w:firstLineChars="250"/>
        <w:rPr>
          <w:rFonts w:cs="黑体" w:asciiTheme="minorEastAsia" w:hAnsiTheme="minorEastAsia"/>
          <w:color w:val="000000"/>
          <w:kern w:val="0"/>
          <w:sz w:val="32"/>
          <w:szCs w:val="32"/>
        </w:rPr>
      </w:pPr>
      <w:r>
        <w:rPr>
          <w:rFonts w:hint="eastAsia" w:asciiTheme="minorEastAsia" w:hAnsiTheme="minorEastAsia"/>
          <w:sz w:val="32"/>
          <w:szCs w:val="32"/>
        </w:rPr>
        <w:t>3、公务用车购置费及运行维护费支出决算为</w:t>
      </w:r>
      <w:r>
        <w:rPr>
          <w:rFonts w:hint="eastAsia" w:asciiTheme="minorEastAsia" w:hAnsiTheme="minorEastAsia"/>
          <w:sz w:val="32"/>
          <w:szCs w:val="32"/>
          <w:lang w:val="en-US" w:eastAsia="zh-CN"/>
        </w:rPr>
        <w:t>0</w:t>
      </w:r>
      <w:r>
        <w:rPr>
          <w:rFonts w:hint="eastAsia" w:asciiTheme="minorEastAsia" w:hAnsiTheme="minorEastAsia"/>
          <w:sz w:val="32"/>
          <w:szCs w:val="32"/>
        </w:rPr>
        <w:t>万元，其中：公务用车购置费</w:t>
      </w:r>
      <w:r>
        <w:rPr>
          <w:rFonts w:hint="eastAsia" w:asciiTheme="minorEastAsia" w:hAnsiTheme="minorEastAsia"/>
          <w:sz w:val="32"/>
          <w:szCs w:val="32"/>
          <w:lang w:val="en-US" w:eastAsia="zh-CN"/>
        </w:rPr>
        <w:t>0</w:t>
      </w:r>
      <w:r>
        <w:rPr>
          <w:rFonts w:hint="eastAsia" w:asciiTheme="minorEastAsia" w:hAnsiTheme="minorEastAsia"/>
          <w:sz w:val="32"/>
          <w:szCs w:val="32"/>
        </w:rPr>
        <w:t>万元</w:t>
      </w:r>
      <w:r>
        <w:rPr>
          <w:rFonts w:hint="eastAsia" w:asciiTheme="minorEastAsia" w:hAnsiTheme="minorEastAsia"/>
          <w:color w:val="000000" w:themeColor="text1"/>
          <w:sz w:val="32"/>
          <w:szCs w:val="32"/>
          <w14:textFill>
            <w14:solidFill>
              <w14:schemeClr w14:val="tx1"/>
            </w14:solidFill>
          </w14:textFill>
        </w:rPr>
        <w:t>。</w:t>
      </w:r>
      <w:r>
        <w:rPr>
          <w:rFonts w:hint="eastAsia" w:asciiTheme="minorEastAsia" w:hAnsiTheme="minorEastAsia"/>
          <w:sz w:val="32"/>
          <w:szCs w:val="32"/>
        </w:rPr>
        <w:t>公务用车运行维护费</w:t>
      </w:r>
      <w:r>
        <w:rPr>
          <w:rFonts w:hint="eastAsia" w:asciiTheme="minorEastAsia" w:hAnsiTheme="minorEastAsia"/>
          <w:sz w:val="32"/>
          <w:szCs w:val="32"/>
          <w:lang w:val="en-US" w:eastAsia="zh-CN"/>
        </w:rPr>
        <w:t>0</w:t>
      </w:r>
      <w:r>
        <w:rPr>
          <w:rFonts w:hint="eastAsia" w:asciiTheme="minorEastAsia" w:hAnsiTheme="minorEastAsia"/>
          <w:sz w:val="32"/>
          <w:szCs w:val="32"/>
        </w:rPr>
        <w:t>万元，截止2021年12月31日，我单位开支财政拨款的公务用车保有量为</w:t>
      </w:r>
      <w:r>
        <w:rPr>
          <w:rFonts w:hint="eastAsia" w:asciiTheme="minorEastAsia" w:hAnsiTheme="minorEastAsia"/>
          <w:sz w:val="32"/>
          <w:szCs w:val="32"/>
          <w:lang w:val="en-US" w:eastAsia="zh-CN"/>
        </w:rPr>
        <w:t>0</w:t>
      </w:r>
      <w:r>
        <w:rPr>
          <w:rFonts w:hint="eastAsia" w:asciiTheme="minorEastAsia" w:hAnsiTheme="minorEastAsia"/>
          <w:sz w:val="32"/>
          <w:szCs w:val="32"/>
        </w:rPr>
        <w:t>辆。</w:t>
      </w:r>
    </w:p>
    <w:p>
      <w:pPr>
        <w:pStyle w:val="9"/>
        <w:rPr>
          <w:rFonts w:hAnsi="黑体"/>
          <w:b/>
          <w:sz w:val="32"/>
          <w:szCs w:val="32"/>
        </w:rPr>
      </w:pPr>
      <w:r>
        <w:rPr>
          <w:rFonts w:hint="eastAsia" w:hAnsi="黑体"/>
          <w:b/>
          <w:sz w:val="32"/>
          <w:szCs w:val="32"/>
        </w:rPr>
        <w:t>八、政府性基金预算收入支出决算情况</w:t>
      </w:r>
    </w:p>
    <w:p>
      <w:pPr>
        <w:pStyle w:val="9"/>
        <w:ind w:firstLine="800" w:firstLineChars="250"/>
        <w:rPr>
          <w:rFonts w:asciiTheme="minorEastAsia" w:hAnsiTheme="minorEastAsia" w:eastAsiaTheme="minorEastAsia"/>
          <w:sz w:val="32"/>
          <w:szCs w:val="32"/>
        </w:rPr>
      </w:pPr>
      <w:r>
        <w:rPr>
          <w:rFonts w:hint="eastAsia" w:asciiTheme="minorEastAsia" w:hAnsiTheme="minorEastAsia" w:eastAsiaTheme="minorEastAsia"/>
          <w:sz w:val="32"/>
          <w:szCs w:val="32"/>
        </w:rPr>
        <w:t>2021年度政府性基金预算财政拨款收入</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万元；年初结转和结余</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万元；支出</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万元，其中基本支出</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万元，项目支出</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万元；年末结转和结余</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w:t>
      </w:r>
    </w:p>
    <w:p>
      <w:pPr>
        <w:pStyle w:val="9"/>
        <w:rPr>
          <w:rFonts w:hAnsi="黑体"/>
          <w:b/>
          <w:sz w:val="32"/>
          <w:szCs w:val="32"/>
        </w:rPr>
      </w:pPr>
      <w:r>
        <w:rPr>
          <w:rFonts w:hint="eastAsia" w:hAnsi="黑体"/>
          <w:b/>
          <w:sz w:val="32"/>
          <w:szCs w:val="32"/>
        </w:rPr>
        <w:t>九、机关运行经费支出说明</w:t>
      </w:r>
    </w:p>
    <w:p>
      <w:pPr>
        <w:pStyle w:val="9"/>
        <w:ind w:firstLine="640" w:firstLineChars="200"/>
        <w:rPr>
          <w:rFonts w:asciiTheme="minorEastAsia" w:hAnsiTheme="minorEastAsia" w:eastAsiaTheme="minorEastAsia"/>
          <w:sz w:val="32"/>
          <w:szCs w:val="32"/>
        </w:rPr>
      </w:pPr>
      <w:r>
        <w:rPr>
          <w:rFonts w:hint="eastAsia" w:asciiTheme="minorEastAsia" w:hAnsiTheme="minorEastAsia" w:eastAsiaTheme="minorEastAsia"/>
          <w:sz w:val="32"/>
          <w:szCs w:val="32"/>
        </w:rPr>
        <w:t>本部门2021年度机关运行经费支出</w:t>
      </w:r>
      <w:r>
        <w:rPr>
          <w:rFonts w:hint="eastAsia" w:asciiTheme="minorEastAsia" w:hAnsiTheme="minorEastAsia" w:eastAsiaTheme="minorEastAsia"/>
          <w:sz w:val="32"/>
          <w:szCs w:val="32"/>
          <w:lang w:val="en-US" w:eastAsia="zh-CN"/>
        </w:rPr>
        <w:t>6.40</w:t>
      </w:r>
      <w:r>
        <w:rPr>
          <w:rFonts w:hint="eastAsia" w:asciiTheme="minorEastAsia" w:hAnsiTheme="minorEastAsia" w:eastAsiaTheme="minorEastAsia"/>
          <w:sz w:val="32"/>
          <w:szCs w:val="32"/>
        </w:rPr>
        <w:t>万元，</w:t>
      </w:r>
      <w:r>
        <w:rPr>
          <w:rFonts w:hint="eastAsia" w:asciiTheme="minorEastAsia" w:hAnsiTheme="minorEastAsia" w:eastAsiaTheme="minorEastAsia"/>
          <w:sz w:val="32"/>
          <w:szCs w:val="32"/>
          <w:lang w:val="en-US" w:eastAsia="zh-CN"/>
        </w:rPr>
        <w:t>与</w:t>
      </w:r>
      <w:r>
        <w:rPr>
          <w:rFonts w:hint="eastAsia" w:asciiTheme="minorEastAsia" w:hAnsiTheme="minorEastAsia" w:eastAsiaTheme="minorEastAsia"/>
          <w:sz w:val="32"/>
          <w:szCs w:val="32"/>
        </w:rPr>
        <w:t>年初预算数</w:t>
      </w:r>
      <w:r>
        <w:rPr>
          <w:rFonts w:hint="eastAsia" w:asciiTheme="minorEastAsia" w:hAnsiTheme="minorEastAsia" w:eastAsiaTheme="minorEastAsia"/>
          <w:sz w:val="32"/>
          <w:szCs w:val="32"/>
          <w:lang w:val="en-US" w:eastAsia="zh-CN"/>
        </w:rPr>
        <w:t>持平</w:t>
      </w:r>
      <w:r>
        <w:rPr>
          <w:rFonts w:hint="eastAsia" w:asciiTheme="minorEastAsia" w:hAnsiTheme="minorEastAsia" w:eastAsiaTheme="minorEastAsia"/>
          <w:sz w:val="32"/>
          <w:szCs w:val="32"/>
        </w:rPr>
        <w:t>。</w:t>
      </w:r>
    </w:p>
    <w:p>
      <w:pPr>
        <w:pStyle w:val="9"/>
        <w:rPr>
          <w:rFonts w:hAnsi="黑体"/>
          <w:b/>
          <w:sz w:val="32"/>
          <w:szCs w:val="32"/>
        </w:rPr>
      </w:pPr>
      <w:r>
        <w:rPr>
          <w:rFonts w:hint="eastAsia" w:hAnsi="黑体"/>
          <w:b/>
          <w:sz w:val="32"/>
          <w:szCs w:val="32"/>
        </w:rPr>
        <w:t>十、一般性支出情况说明</w:t>
      </w:r>
    </w:p>
    <w:p>
      <w:pPr>
        <w:pStyle w:val="9"/>
        <w:ind w:firstLine="640" w:firstLineChars="200"/>
        <w:rPr>
          <w:rFonts w:asciiTheme="minorEastAsia" w:hAnsiTheme="minorEastAsia" w:eastAsiaTheme="minorEastAsia"/>
          <w:sz w:val="32"/>
          <w:szCs w:val="32"/>
        </w:rPr>
      </w:pPr>
      <w:r>
        <w:rPr>
          <w:rFonts w:hint="eastAsia" w:asciiTheme="minorEastAsia" w:hAnsiTheme="minorEastAsia" w:eastAsiaTheme="minorEastAsia"/>
          <w:sz w:val="32"/>
          <w:szCs w:val="32"/>
        </w:rPr>
        <w:t>2021年本部门开支会议费</w:t>
      </w:r>
      <w:r>
        <w:rPr>
          <w:rFonts w:hint="eastAsia" w:asciiTheme="minorEastAsia" w:hAnsiTheme="minorEastAsia" w:eastAsiaTheme="minorEastAsia"/>
          <w:sz w:val="32"/>
          <w:szCs w:val="32"/>
          <w:lang w:val="en-US" w:eastAsia="zh-CN"/>
        </w:rPr>
        <w:t>0.18</w:t>
      </w:r>
      <w:r>
        <w:rPr>
          <w:rFonts w:hint="eastAsia" w:asciiTheme="minorEastAsia" w:hAnsiTheme="minorEastAsia" w:eastAsiaTheme="minorEastAsia"/>
          <w:sz w:val="32"/>
          <w:szCs w:val="32"/>
        </w:rPr>
        <w:t>万元，用于召开</w:t>
      </w:r>
      <w:r>
        <w:rPr>
          <w:rFonts w:hint="eastAsia" w:asciiTheme="minorEastAsia" w:hAnsiTheme="minorEastAsia" w:eastAsiaTheme="minorEastAsia"/>
          <w:sz w:val="32"/>
          <w:szCs w:val="32"/>
          <w:lang w:val="en-US" w:eastAsia="zh-CN"/>
        </w:rPr>
        <w:t>干部职工</w:t>
      </w:r>
      <w:r>
        <w:rPr>
          <w:rFonts w:hint="eastAsia" w:asciiTheme="minorEastAsia" w:hAnsiTheme="minorEastAsia" w:eastAsiaTheme="minorEastAsia"/>
          <w:sz w:val="32"/>
          <w:szCs w:val="32"/>
        </w:rPr>
        <w:t>会议，人数</w:t>
      </w:r>
      <w:r>
        <w:rPr>
          <w:rFonts w:hint="eastAsia" w:asciiTheme="minorEastAsia" w:hAnsiTheme="minorEastAsia" w:eastAsiaTheme="minorEastAsia"/>
          <w:sz w:val="32"/>
          <w:szCs w:val="32"/>
          <w:lang w:val="en-US" w:eastAsia="zh-CN"/>
        </w:rPr>
        <w:t>6</w:t>
      </w:r>
      <w:r>
        <w:rPr>
          <w:rFonts w:hint="eastAsia" w:asciiTheme="minorEastAsia" w:hAnsiTheme="minorEastAsia" w:eastAsiaTheme="minorEastAsia"/>
          <w:sz w:val="32"/>
          <w:szCs w:val="32"/>
        </w:rPr>
        <w:t>人，内容为</w:t>
      </w:r>
      <w:r>
        <w:rPr>
          <w:rFonts w:hint="eastAsia" w:asciiTheme="minorEastAsia" w:hAnsiTheme="minorEastAsia" w:eastAsiaTheme="minorEastAsia"/>
          <w:sz w:val="32"/>
          <w:szCs w:val="32"/>
          <w:lang w:val="en-US" w:eastAsia="zh-CN"/>
        </w:rPr>
        <w:t>安排各项日常及临时性工作</w:t>
      </w:r>
      <w:r>
        <w:rPr>
          <w:rFonts w:hint="eastAsia" w:asciiTheme="minorEastAsia" w:hAnsiTheme="minorEastAsia" w:eastAsiaTheme="minorEastAsia"/>
          <w:sz w:val="32"/>
          <w:szCs w:val="32"/>
        </w:rPr>
        <w:t>；开支培训费</w:t>
      </w:r>
      <w:r>
        <w:rPr>
          <w:rFonts w:hint="eastAsia" w:asciiTheme="minorEastAsia" w:hAnsiTheme="minorEastAsia" w:eastAsiaTheme="minorEastAsia"/>
          <w:sz w:val="32"/>
          <w:szCs w:val="32"/>
          <w:lang w:val="en-US" w:eastAsia="zh-CN"/>
        </w:rPr>
        <w:t>0.2</w:t>
      </w:r>
      <w:r>
        <w:rPr>
          <w:rFonts w:hint="eastAsia" w:asciiTheme="minorEastAsia" w:hAnsiTheme="minorEastAsia" w:eastAsiaTheme="minorEastAsia"/>
          <w:sz w:val="32"/>
          <w:szCs w:val="32"/>
        </w:rPr>
        <w:t>万元，用于</w:t>
      </w:r>
      <w:r>
        <w:rPr>
          <w:rFonts w:hint="eastAsia" w:asciiTheme="minorEastAsia" w:hAnsiTheme="minorEastAsia" w:eastAsiaTheme="minorEastAsia"/>
          <w:sz w:val="32"/>
          <w:szCs w:val="32"/>
          <w:lang w:val="en-US" w:eastAsia="zh-CN"/>
        </w:rPr>
        <w:t>参加上级部门举办的业务</w:t>
      </w:r>
      <w:r>
        <w:rPr>
          <w:rFonts w:hint="eastAsia" w:asciiTheme="minorEastAsia" w:hAnsiTheme="minorEastAsia" w:eastAsiaTheme="minorEastAsia"/>
          <w:sz w:val="32"/>
          <w:szCs w:val="32"/>
        </w:rPr>
        <w:t>培训，人数</w:t>
      </w:r>
      <w:r>
        <w:rPr>
          <w:rFonts w:hint="eastAsia" w:asciiTheme="minorEastAsia" w:hAnsiTheme="minorEastAsia" w:eastAsiaTheme="minorEastAsia"/>
          <w:sz w:val="32"/>
          <w:szCs w:val="32"/>
          <w:lang w:val="en-US" w:eastAsia="zh-CN"/>
        </w:rPr>
        <w:t>2</w:t>
      </w:r>
      <w:r>
        <w:rPr>
          <w:rFonts w:hint="eastAsia" w:asciiTheme="minorEastAsia" w:hAnsiTheme="minorEastAsia" w:eastAsiaTheme="minorEastAsia"/>
          <w:sz w:val="32"/>
          <w:szCs w:val="32"/>
        </w:rPr>
        <w:t>人，内容为</w:t>
      </w:r>
      <w:r>
        <w:rPr>
          <w:rFonts w:hint="eastAsia" w:asciiTheme="minorEastAsia" w:hAnsiTheme="minorEastAsia" w:eastAsiaTheme="minorEastAsia"/>
          <w:sz w:val="32"/>
          <w:szCs w:val="32"/>
          <w:lang w:val="en-US" w:eastAsia="zh-CN"/>
        </w:rPr>
        <w:t>业务培训</w:t>
      </w:r>
      <w:r>
        <w:rPr>
          <w:rFonts w:hint="eastAsia" w:asciiTheme="minorEastAsia" w:hAnsiTheme="minorEastAsia" w:eastAsiaTheme="minorEastAsia"/>
          <w:sz w:val="32"/>
          <w:szCs w:val="32"/>
        </w:rPr>
        <w:t>。</w:t>
      </w:r>
    </w:p>
    <w:p>
      <w:pPr>
        <w:pStyle w:val="9"/>
        <w:rPr>
          <w:rFonts w:hAnsi="黑体"/>
          <w:b/>
          <w:sz w:val="32"/>
          <w:szCs w:val="32"/>
        </w:rPr>
      </w:pPr>
      <w:r>
        <w:rPr>
          <w:rFonts w:hint="eastAsia" w:hAnsi="黑体"/>
          <w:b/>
          <w:sz w:val="32"/>
          <w:szCs w:val="32"/>
        </w:rPr>
        <w:t>十一、政府采购支出说明</w:t>
      </w:r>
    </w:p>
    <w:p>
      <w:pPr>
        <w:pStyle w:val="9"/>
        <w:ind w:firstLine="640" w:firstLineChars="200"/>
        <w:rPr>
          <w:rFonts w:asciiTheme="minorEastAsia" w:hAnsiTheme="minorEastAsia" w:eastAsiaTheme="minorEastAsia"/>
          <w:sz w:val="32"/>
          <w:szCs w:val="32"/>
        </w:rPr>
      </w:pPr>
      <w:r>
        <w:rPr>
          <w:rFonts w:hint="eastAsia" w:asciiTheme="minorEastAsia" w:hAnsiTheme="minorEastAsia" w:eastAsiaTheme="minorEastAsia"/>
          <w:sz w:val="32"/>
          <w:szCs w:val="32"/>
        </w:rPr>
        <w:t>本部门2021年度政府采购支出总额</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万元，其中：政府采购货物支出</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万元、政府采购工程支出</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万元、政府采购服务支出</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万元。授予中小企业合同金额</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万元，占政府采购支出总额的</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%，其中：授予小微企业合同金额XX万元，占授予中小企业合同金额的</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%；货物采购授予中小企业合同金额占货物支出金额的</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%，工程采购授予中小企业合同金额占工程支出金额的</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%，服务采购授予中小企业合同金额占服务支出金额的</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w:t>
      </w:r>
    </w:p>
    <w:p>
      <w:pPr>
        <w:pStyle w:val="9"/>
        <w:rPr>
          <w:rFonts w:hAnsi="黑体"/>
          <w:b/>
          <w:sz w:val="32"/>
          <w:szCs w:val="32"/>
        </w:rPr>
      </w:pPr>
      <w:r>
        <w:rPr>
          <w:rFonts w:hint="eastAsia" w:hAnsi="黑体"/>
          <w:b/>
          <w:sz w:val="32"/>
          <w:szCs w:val="32"/>
        </w:rPr>
        <w:t>十二、国有资产占用情况说明</w:t>
      </w:r>
    </w:p>
    <w:p>
      <w:pPr>
        <w:pStyle w:val="9"/>
        <w:ind w:firstLine="640" w:firstLineChars="200"/>
        <w:rPr>
          <w:rFonts w:asciiTheme="minorEastAsia" w:hAnsiTheme="minorEastAsia" w:eastAsiaTheme="minorEastAsia"/>
          <w:sz w:val="32"/>
          <w:szCs w:val="32"/>
        </w:rPr>
      </w:pPr>
      <w:r>
        <w:rPr>
          <w:rFonts w:hint="eastAsia" w:asciiTheme="minorEastAsia" w:hAnsiTheme="minorEastAsia" w:eastAsiaTheme="minorEastAsia"/>
          <w:sz w:val="32"/>
          <w:szCs w:val="32"/>
        </w:rPr>
        <w:t>截至2021年12月31日，部门（单位）共有车辆</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辆，其中，主要领导干部用车</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辆，机要通信用车</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辆、应急保障用车</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辆、执法执勤用车</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辆、特种专业技术用车</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辆、其他用车</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辆，；单位价值50万元以上通用设备</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台（套）；单位价值100万元以上专用设备</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台（套）。</w:t>
      </w:r>
    </w:p>
    <w:p>
      <w:pPr>
        <w:pStyle w:val="9"/>
        <w:rPr>
          <w:rFonts w:hint="eastAsia" w:hAnsi="黑体"/>
          <w:b/>
          <w:sz w:val="32"/>
          <w:szCs w:val="32"/>
        </w:rPr>
      </w:pPr>
      <w:r>
        <w:rPr>
          <w:rFonts w:hint="eastAsia" w:hAnsi="黑体"/>
          <w:b/>
          <w:sz w:val="32"/>
          <w:szCs w:val="32"/>
        </w:rPr>
        <w:t>十三、2021年度预算绩效情况说明</w:t>
      </w:r>
    </w:p>
    <w:p>
      <w:pPr>
        <w:pStyle w:val="9"/>
        <w:ind w:firstLine="640" w:firstLineChars="200"/>
        <w:rPr>
          <w:rFonts w:hint="eastAsia" w:asciiTheme="minorEastAsia" w:hAnsiTheme="minorEastAsia" w:eastAsiaTheme="minorEastAsia"/>
          <w:sz w:val="32"/>
          <w:szCs w:val="32"/>
        </w:rPr>
      </w:pPr>
      <w:r>
        <w:rPr>
          <w:rFonts w:hint="eastAsia" w:asciiTheme="minorEastAsia" w:hAnsiTheme="minorEastAsia" w:eastAsiaTheme="minorEastAsia"/>
          <w:sz w:val="32"/>
          <w:szCs w:val="32"/>
        </w:rPr>
        <w:t>2021年度预算绩效情况说明</w:t>
      </w:r>
    </w:p>
    <w:p>
      <w:pPr>
        <w:pStyle w:val="9"/>
        <w:ind w:firstLine="640" w:firstLineChars="200"/>
        <w:rPr>
          <w:rFonts w:hint="eastAsia" w:asciiTheme="minorEastAsia" w:hAnsiTheme="minorEastAsia" w:eastAsiaTheme="minorEastAsia"/>
          <w:sz w:val="32"/>
          <w:szCs w:val="32"/>
        </w:rPr>
      </w:pPr>
      <w:r>
        <w:rPr>
          <w:rFonts w:hint="eastAsia" w:asciiTheme="minorEastAsia" w:hAnsiTheme="minorEastAsia" w:eastAsiaTheme="minorEastAsia"/>
          <w:sz w:val="32"/>
          <w:szCs w:val="32"/>
        </w:rPr>
        <w:t>本部门预算绩效管理开展情况、绩效目标和绩效评价报告等见附件。</w:t>
      </w:r>
    </w:p>
    <w:p>
      <w:pPr>
        <w:pStyle w:val="9"/>
        <w:jc w:val="center"/>
        <w:rPr>
          <w:sz w:val="72"/>
          <w:szCs w:val="72"/>
        </w:rPr>
      </w:pPr>
    </w:p>
    <w:p>
      <w:pPr>
        <w:pStyle w:val="9"/>
        <w:jc w:val="center"/>
        <w:rPr>
          <w:rFonts w:hint="eastAsia"/>
          <w:sz w:val="72"/>
          <w:szCs w:val="72"/>
        </w:rPr>
      </w:pPr>
    </w:p>
    <w:p>
      <w:pPr>
        <w:pStyle w:val="9"/>
        <w:jc w:val="center"/>
        <w:rPr>
          <w:rFonts w:hint="eastAsia"/>
          <w:sz w:val="72"/>
          <w:szCs w:val="72"/>
        </w:rPr>
      </w:pPr>
    </w:p>
    <w:p>
      <w:pPr>
        <w:pStyle w:val="9"/>
        <w:jc w:val="center"/>
        <w:rPr>
          <w:rFonts w:hint="eastAsia"/>
          <w:sz w:val="72"/>
          <w:szCs w:val="72"/>
        </w:rPr>
      </w:pPr>
    </w:p>
    <w:p>
      <w:pPr>
        <w:pStyle w:val="9"/>
        <w:jc w:val="center"/>
        <w:rPr>
          <w:rFonts w:hint="eastAsia"/>
          <w:sz w:val="72"/>
          <w:szCs w:val="72"/>
        </w:rPr>
      </w:pPr>
    </w:p>
    <w:p>
      <w:pPr>
        <w:pStyle w:val="9"/>
        <w:jc w:val="center"/>
        <w:rPr>
          <w:rFonts w:hint="eastAsia"/>
          <w:sz w:val="72"/>
          <w:szCs w:val="72"/>
        </w:rPr>
      </w:pPr>
    </w:p>
    <w:p>
      <w:pPr>
        <w:pStyle w:val="9"/>
        <w:jc w:val="center"/>
        <w:rPr>
          <w:rFonts w:hint="eastAsia"/>
          <w:sz w:val="72"/>
          <w:szCs w:val="72"/>
        </w:rPr>
      </w:pPr>
    </w:p>
    <w:p>
      <w:pPr>
        <w:pStyle w:val="9"/>
        <w:jc w:val="center"/>
        <w:rPr>
          <w:rFonts w:hint="eastAsia"/>
          <w:sz w:val="72"/>
          <w:szCs w:val="72"/>
        </w:rPr>
      </w:pPr>
    </w:p>
    <w:p>
      <w:pPr>
        <w:pStyle w:val="9"/>
        <w:jc w:val="center"/>
        <w:rPr>
          <w:rFonts w:hint="eastAsia"/>
          <w:sz w:val="72"/>
          <w:szCs w:val="72"/>
        </w:rPr>
      </w:pPr>
    </w:p>
    <w:p>
      <w:pPr>
        <w:pStyle w:val="9"/>
        <w:jc w:val="center"/>
        <w:rPr>
          <w:rFonts w:hint="eastAsia"/>
          <w:sz w:val="72"/>
          <w:szCs w:val="72"/>
        </w:rPr>
      </w:pPr>
    </w:p>
    <w:p>
      <w:pPr>
        <w:pStyle w:val="9"/>
        <w:jc w:val="center"/>
        <w:rPr>
          <w:rFonts w:hint="eastAsia"/>
          <w:sz w:val="72"/>
          <w:szCs w:val="72"/>
        </w:rPr>
      </w:pPr>
    </w:p>
    <w:p>
      <w:pPr>
        <w:pStyle w:val="9"/>
        <w:jc w:val="center"/>
        <w:rPr>
          <w:rFonts w:hint="eastAsia"/>
          <w:sz w:val="72"/>
          <w:szCs w:val="72"/>
        </w:rPr>
      </w:pPr>
    </w:p>
    <w:p>
      <w:pPr>
        <w:pStyle w:val="9"/>
        <w:jc w:val="center"/>
        <w:rPr>
          <w:rFonts w:hint="eastAsia"/>
          <w:sz w:val="72"/>
          <w:szCs w:val="72"/>
        </w:rPr>
      </w:pPr>
    </w:p>
    <w:p>
      <w:pPr>
        <w:pStyle w:val="9"/>
        <w:jc w:val="center"/>
        <w:rPr>
          <w:rFonts w:hint="eastAsia"/>
          <w:sz w:val="72"/>
          <w:szCs w:val="72"/>
        </w:rPr>
      </w:pPr>
    </w:p>
    <w:p>
      <w:pPr>
        <w:pStyle w:val="9"/>
        <w:jc w:val="center"/>
        <w:rPr>
          <w:rFonts w:hint="eastAsia"/>
          <w:sz w:val="72"/>
          <w:szCs w:val="72"/>
        </w:rPr>
      </w:pPr>
    </w:p>
    <w:p>
      <w:pPr>
        <w:pStyle w:val="9"/>
        <w:jc w:val="center"/>
        <w:rPr>
          <w:rFonts w:hint="eastAsia"/>
          <w:sz w:val="72"/>
          <w:szCs w:val="72"/>
        </w:rPr>
      </w:pPr>
    </w:p>
    <w:p>
      <w:pPr>
        <w:pStyle w:val="9"/>
        <w:jc w:val="center"/>
        <w:rPr>
          <w:rFonts w:hint="eastAsia"/>
          <w:sz w:val="72"/>
          <w:szCs w:val="72"/>
        </w:rPr>
      </w:pPr>
    </w:p>
    <w:p>
      <w:pPr>
        <w:pStyle w:val="9"/>
        <w:jc w:val="center"/>
        <w:rPr>
          <w:sz w:val="72"/>
          <w:szCs w:val="72"/>
        </w:rPr>
      </w:pPr>
      <w:r>
        <w:rPr>
          <w:rFonts w:hint="eastAsia"/>
          <w:sz w:val="72"/>
          <w:szCs w:val="72"/>
        </w:rPr>
        <w:t>第四部分</w:t>
      </w:r>
    </w:p>
    <w:p>
      <w:pPr>
        <w:jc w:val="center"/>
        <w:rPr>
          <w:rFonts w:ascii="黑体" w:eastAsia="黑体" w:cs="黑体"/>
          <w:color w:val="000000"/>
          <w:kern w:val="0"/>
          <w:sz w:val="70"/>
          <w:szCs w:val="70"/>
        </w:rPr>
      </w:pPr>
    </w:p>
    <w:p>
      <w:pPr>
        <w:jc w:val="center"/>
        <w:rPr>
          <w:rFonts w:ascii="黑体" w:eastAsia="黑体" w:cs="黑体"/>
          <w:color w:val="000000"/>
          <w:kern w:val="0"/>
          <w:sz w:val="70"/>
          <w:szCs w:val="70"/>
        </w:rPr>
      </w:pPr>
      <w:r>
        <w:rPr>
          <w:rFonts w:hint="eastAsia" w:ascii="黑体" w:eastAsia="黑体" w:cs="黑体"/>
          <w:color w:val="000000"/>
          <w:kern w:val="0"/>
          <w:sz w:val="70"/>
          <w:szCs w:val="70"/>
        </w:rPr>
        <w:t>名词解释</w:t>
      </w:r>
    </w:p>
    <w:p>
      <w:pPr>
        <w:widowControl/>
        <w:jc w:val="left"/>
        <w:rPr>
          <w:rFonts w:ascii="黑体" w:eastAsia="黑体" w:cs="黑体"/>
          <w:color w:val="000000"/>
          <w:kern w:val="0"/>
          <w:sz w:val="70"/>
          <w:szCs w:val="70"/>
        </w:rPr>
      </w:pPr>
      <w:r>
        <w:rPr>
          <w:rFonts w:ascii="黑体" w:eastAsia="黑体" w:cs="黑体"/>
          <w:color w:val="000000"/>
          <w:kern w:val="0"/>
          <w:sz w:val="70"/>
          <w:szCs w:val="70"/>
        </w:rPr>
        <w:br w:type="page"/>
      </w:r>
    </w:p>
    <w:p>
      <w:pPr>
        <w:widowControl/>
        <w:spacing w:line="600" w:lineRule="exact"/>
        <w:jc w:val="center"/>
        <w:rPr>
          <w:rFonts w:hint="eastAsia" w:eastAsia="黑体"/>
          <w:bCs/>
          <w:kern w:val="0"/>
          <w:sz w:val="36"/>
          <w:szCs w:val="36"/>
        </w:rPr>
      </w:pPr>
      <w:r>
        <w:rPr>
          <w:rFonts w:hint="eastAsia" w:eastAsia="黑体"/>
          <w:bCs/>
          <w:kern w:val="0"/>
          <w:sz w:val="36"/>
          <w:szCs w:val="36"/>
        </w:rPr>
        <w:t>第四部分 名词解释</w:t>
      </w:r>
    </w:p>
    <w:p>
      <w:pPr>
        <w:widowControl/>
        <w:jc w:val="left"/>
        <w:rPr>
          <w:rFonts w:hint="eastAsia" w:ascii="Cambria Math" w:hAnsi="Cambria Math" w:cs="等线"/>
          <w:color w:val="000000"/>
          <w:kern w:val="0"/>
          <w:sz w:val="32"/>
          <w:szCs w:val="32"/>
        </w:rPr>
      </w:pPr>
    </w:p>
    <w:p>
      <w:pPr>
        <w:tabs>
          <w:tab w:val="left" w:pos="246"/>
        </w:tabs>
        <w:spacing w:line="500" w:lineRule="atLeast"/>
        <w:ind w:firstLine="640" w:firstLineChars="200"/>
        <w:jc w:val="left"/>
        <w:rPr>
          <w:rFonts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lang w:val="en-US" w:eastAsia="zh-CN"/>
        </w:rPr>
        <w:t>一</w:t>
      </w:r>
      <w:r>
        <w:rPr>
          <w:rFonts w:hint="eastAsia" w:ascii="Times New Roman" w:hAnsi="Times New Roman" w:eastAsia="仿宋_GB2312" w:cs="Times New Roman"/>
          <w:kern w:val="0"/>
          <w:sz w:val="32"/>
          <w:szCs w:val="32"/>
        </w:rPr>
        <w:t>、机关运行经费：是指本级的公用经费，包括办公及印刷费、邮电费、差旅费、会议费、福利费、日常维修费、专用资料及一般设备购置费、办公用房水电费、办公用房取暖费、办公用房物业管理费、公务用车运行维护费以及其他费用。</w:t>
      </w:r>
    </w:p>
    <w:p>
      <w:pPr>
        <w:tabs>
          <w:tab w:val="left" w:pos="246"/>
        </w:tabs>
        <w:spacing w:line="500" w:lineRule="atLeast"/>
        <w:ind w:firstLine="640" w:firstLineChars="200"/>
        <w:jc w:val="left"/>
        <w:rPr>
          <w:rFonts w:hint="eastAsia"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lang w:val="en-US" w:eastAsia="zh-CN"/>
        </w:rPr>
        <w:t>二</w:t>
      </w:r>
      <w:r>
        <w:rPr>
          <w:rFonts w:hint="eastAsia" w:ascii="Times New Roman" w:hAnsi="Times New Roman" w:eastAsia="仿宋_GB2312" w:cs="Times New Roman"/>
          <w:kern w:val="0"/>
          <w:sz w:val="32"/>
          <w:szCs w:val="32"/>
        </w:rPr>
        <w:t>、“三公”经费：纳入省财政预算管理的“三公“经费，是指用一般公共预算拨款安排的公务接待费、公务用车购置及运行维护费和因公出国（境）费。其中，公务接待费反映单位按规定开支的各类公务接待支出；公务用车购置及运行费反映单位公务用车车辆购置支出（含车辆购置税），以及燃料费、维修费、保险费等支出；因公出国（境）费反映单位公务出国（境）的国际旅费、国外城市间交通费、食宿费等支出。</w:t>
      </w:r>
    </w:p>
    <w:p>
      <w:pPr>
        <w:widowControl/>
        <w:jc w:val="left"/>
        <w:rPr>
          <w:rFonts w:eastAsia="黑体" w:cs="黑体" w:asciiTheme="minorEastAsia" w:hAnsiTheme="minorEastAsia"/>
          <w:color w:val="000000"/>
          <w:kern w:val="0"/>
          <w:sz w:val="28"/>
          <w:szCs w:val="32"/>
        </w:rPr>
      </w:pPr>
      <w:r>
        <w:rPr>
          <w:rFonts w:hint="eastAsia" w:asciiTheme="minorEastAsia" w:hAnsiTheme="minorEastAsia"/>
          <w:sz w:val="28"/>
          <w:szCs w:val="32"/>
        </w:rPr>
        <w:t>（名词解释应包含本部门专有名词，如省财政厅应有对“财政事务”科目的解释）</w:t>
      </w:r>
    </w:p>
    <w:p>
      <w:pPr>
        <w:tabs>
          <w:tab w:val="left" w:pos="246"/>
        </w:tabs>
        <w:spacing w:line="500" w:lineRule="atLeast"/>
        <w:ind w:firstLine="640" w:firstLineChars="200"/>
        <w:jc w:val="left"/>
        <w:rPr>
          <w:rFonts w:hint="eastAsia" w:ascii="Times New Roman" w:hAnsi="Times New Roman" w:eastAsia="仿宋_GB2312" w:cs="Times New Roman"/>
          <w:kern w:val="0"/>
          <w:sz w:val="32"/>
          <w:szCs w:val="32"/>
        </w:rPr>
      </w:pPr>
    </w:p>
    <w:p>
      <w:pPr>
        <w:pStyle w:val="9"/>
        <w:jc w:val="center"/>
        <w:rPr>
          <w:sz w:val="72"/>
          <w:szCs w:val="72"/>
        </w:rPr>
      </w:pPr>
    </w:p>
    <w:p>
      <w:pPr>
        <w:pStyle w:val="9"/>
        <w:jc w:val="center"/>
        <w:rPr>
          <w:sz w:val="72"/>
          <w:szCs w:val="72"/>
        </w:rPr>
      </w:pPr>
    </w:p>
    <w:p>
      <w:pPr>
        <w:pStyle w:val="9"/>
        <w:jc w:val="center"/>
        <w:rPr>
          <w:sz w:val="72"/>
          <w:szCs w:val="72"/>
        </w:rPr>
      </w:pPr>
    </w:p>
    <w:p>
      <w:pPr>
        <w:pStyle w:val="9"/>
        <w:jc w:val="center"/>
        <w:rPr>
          <w:sz w:val="72"/>
          <w:szCs w:val="72"/>
        </w:rPr>
      </w:pPr>
    </w:p>
    <w:p>
      <w:pPr>
        <w:pStyle w:val="9"/>
        <w:jc w:val="center"/>
        <w:rPr>
          <w:sz w:val="72"/>
          <w:szCs w:val="72"/>
        </w:rPr>
      </w:pPr>
    </w:p>
    <w:p>
      <w:pPr>
        <w:pStyle w:val="9"/>
        <w:jc w:val="center"/>
        <w:rPr>
          <w:sz w:val="72"/>
          <w:szCs w:val="72"/>
        </w:rPr>
      </w:pPr>
    </w:p>
    <w:p>
      <w:pPr>
        <w:pStyle w:val="9"/>
        <w:jc w:val="both"/>
        <w:rPr>
          <w:sz w:val="72"/>
          <w:szCs w:val="72"/>
        </w:rPr>
      </w:pPr>
    </w:p>
    <w:p>
      <w:pPr>
        <w:pStyle w:val="9"/>
        <w:jc w:val="center"/>
        <w:rPr>
          <w:sz w:val="72"/>
          <w:szCs w:val="72"/>
        </w:rPr>
      </w:pPr>
    </w:p>
    <w:p>
      <w:pPr>
        <w:pStyle w:val="9"/>
        <w:jc w:val="center"/>
        <w:rPr>
          <w:sz w:val="72"/>
          <w:szCs w:val="72"/>
        </w:rPr>
      </w:pPr>
    </w:p>
    <w:p>
      <w:pPr>
        <w:pStyle w:val="9"/>
        <w:jc w:val="center"/>
        <w:rPr>
          <w:sz w:val="72"/>
          <w:szCs w:val="72"/>
        </w:rPr>
      </w:pPr>
    </w:p>
    <w:p>
      <w:pPr>
        <w:pStyle w:val="9"/>
        <w:jc w:val="center"/>
        <w:rPr>
          <w:sz w:val="72"/>
          <w:szCs w:val="72"/>
        </w:rPr>
      </w:pPr>
      <w:r>
        <w:rPr>
          <w:rFonts w:hint="eastAsia"/>
          <w:sz w:val="72"/>
          <w:szCs w:val="72"/>
        </w:rPr>
        <w:t>第五部分</w:t>
      </w:r>
    </w:p>
    <w:p>
      <w:pPr>
        <w:jc w:val="center"/>
        <w:rPr>
          <w:rFonts w:ascii="黑体" w:eastAsia="黑体" w:cs="黑体"/>
          <w:color w:val="000000"/>
          <w:kern w:val="0"/>
          <w:sz w:val="70"/>
          <w:szCs w:val="70"/>
        </w:rPr>
      </w:pPr>
    </w:p>
    <w:p>
      <w:pPr>
        <w:jc w:val="center"/>
        <w:rPr>
          <w:rFonts w:ascii="黑体" w:eastAsia="黑体" w:cs="黑体"/>
          <w:color w:val="000000"/>
          <w:kern w:val="0"/>
          <w:sz w:val="70"/>
          <w:szCs w:val="70"/>
        </w:rPr>
      </w:pPr>
      <w:r>
        <w:rPr>
          <w:rFonts w:hint="eastAsia" w:ascii="黑体" w:eastAsia="黑体" w:cs="黑体"/>
          <w:color w:val="000000"/>
          <w:kern w:val="0"/>
          <w:sz w:val="70"/>
          <w:szCs w:val="70"/>
        </w:rPr>
        <w:t>附件</w:t>
      </w:r>
    </w:p>
    <w:p>
      <w:pPr>
        <w:widowControl/>
        <w:jc w:val="left"/>
        <w:rPr>
          <w:rFonts w:hint="eastAsia" w:ascii="等线" w:cs="等线"/>
          <w:color w:val="000000"/>
          <w:kern w:val="0"/>
          <w:sz w:val="70"/>
          <w:szCs w:val="70"/>
        </w:rPr>
      </w:pPr>
      <w:r>
        <w:rPr>
          <w:rFonts w:ascii="黑体" w:eastAsia="黑体" w:cs="黑体"/>
          <w:color w:val="000000"/>
          <w:kern w:val="0"/>
          <w:sz w:val="70"/>
          <w:szCs w:val="70"/>
        </w:rPr>
        <w:br w:type="page"/>
      </w:r>
    </w:p>
    <w:p>
      <w:pPr>
        <w:ind w:firstLine="880" w:firstLineChars="200"/>
        <w:jc w:val="center"/>
        <w:rPr>
          <w:rFonts w:hint="eastAsia" w:cs="黑体" w:asciiTheme="minorEastAsia" w:hAnsiTheme="minorEastAsia"/>
          <w:b/>
          <w:color w:val="000000"/>
          <w:kern w:val="0"/>
          <w:sz w:val="44"/>
          <w:szCs w:val="44"/>
        </w:rPr>
      </w:pPr>
    </w:p>
    <w:p>
      <w:pPr>
        <w:ind w:firstLine="880" w:firstLineChars="200"/>
        <w:jc w:val="center"/>
        <w:rPr>
          <w:rFonts w:hint="eastAsia" w:cs="黑体" w:asciiTheme="minorEastAsia" w:hAnsiTheme="minorEastAsia"/>
          <w:b/>
          <w:color w:val="000000"/>
          <w:kern w:val="0"/>
          <w:sz w:val="44"/>
          <w:szCs w:val="44"/>
        </w:rPr>
      </w:pPr>
    </w:p>
    <w:p>
      <w:pPr>
        <w:ind w:firstLine="880" w:firstLineChars="200"/>
        <w:jc w:val="center"/>
        <w:rPr>
          <w:rFonts w:hint="eastAsia" w:cs="黑体" w:asciiTheme="minorEastAsia" w:hAnsiTheme="minorEastAsia"/>
          <w:b/>
          <w:color w:val="000000"/>
          <w:kern w:val="0"/>
          <w:sz w:val="44"/>
          <w:szCs w:val="44"/>
        </w:rPr>
      </w:pPr>
    </w:p>
    <w:p>
      <w:pPr>
        <w:ind w:firstLine="880" w:firstLineChars="200"/>
        <w:jc w:val="center"/>
        <w:rPr>
          <w:rFonts w:hint="eastAsia" w:ascii="等线" w:hAnsi="等线" w:cs="等线"/>
          <w:color w:val="000000"/>
          <w:kern w:val="0"/>
          <w:sz w:val="44"/>
          <w:szCs w:val="44"/>
        </w:rPr>
      </w:pPr>
      <w:r>
        <w:rPr>
          <w:rFonts w:hint="eastAsia" w:cs="黑体" w:asciiTheme="minorEastAsia" w:hAnsiTheme="minorEastAsia"/>
          <w:b/>
          <w:color w:val="000000"/>
          <w:kern w:val="0"/>
          <w:sz w:val="44"/>
          <w:szCs w:val="44"/>
        </w:rPr>
        <w:t>2021年度</w:t>
      </w:r>
      <w:r>
        <w:rPr>
          <w:rFonts w:hint="eastAsia" w:cs="黑体" w:asciiTheme="minorEastAsia" w:hAnsiTheme="minorEastAsia"/>
          <w:b/>
          <w:color w:val="000000"/>
          <w:kern w:val="0"/>
          <w:sz w:val="44"/>
          <w:szCs w:val="44"/>
          <w:lang w:val="en-US" w:eastAsia="zh-CN"/>
        </w:rPr>
        <w:t>文联</w:t>
      </w:r>
      <w:r>
        <w:rPr>
          <w:rFonts w:hint="eastAsia" w:cs="黑体" w:asciiTheme="minorEastAsia" w:hAnsiTheme="minorEastAsia"/>
          <w:b/>
          <w:color w:val="000000"/>
          <w:kern w:val="0"/>
          <w:sz w:val="44"/>
          <w:szCs w:val="44"/>
        </w:rPr>
        <w:t>部门整体支出绩效评价报告</w:t>
      </w:r>
    </w:p>
    <w:p>
      <w:pPr>
        <w:adjustRightInd w:val="0"/>
        <w:spacing w:line="600" w:lineRule="exact"/>
        <w:rPr>
          <w:rFonts w:ascii="Cambria Math" w:hAnsi="Cambria Math" w:cs="Cambria Math"/>
          <w:bCs/>
          <w:sz w:val="30"/>
          <w:szCs w:val="30"/>
        </w:rPr>
      </w:pPr>
    </w:p>
    <w:p>
      <w:pPr>
        <w:adjustRightInd w:val="0"/>
        <w:spacing w:line="600" w:lineRule="exact"/>
        <w:rPr>
          <w:rFonts w:ascii="Cambria Math" w:hAnsi="Cambria Math" w:cs="Cambria Math"/>
          <w:bCs/>
          <w:sz w:val="30"/>
          <w:szCs w:val="30"/>
        </w:rPr>
      </w:pPr>
    </w:p>
    <w:p>
      <w:pPr>
        <w:adjustRightInd w:val="0"/>
        <w:snapToGrid w:val="0"/>
        <w:spacing w:line="600" w:lineRule="exact"/>
        <w:ind w:firstLine="600" w:firstLineChars="200"/>
        <w:rPr>
          <w:rFonts w:ascii="Cambria Math" w:hAnsi="Cambria Math" w:cs="Cambria Math"/>
          <w:bCs/>
          <w:sz w:val="30"/>
          <w:szCs w:val="30"/>
        </w:rPr>
      </w:pPr>
      <w:r>
        <w:rPr>
          <w:rFonts w:hint="eastAsia" w:ascii="Cambria Math" w:hAnsi="Cambria Math" w:cs="Cambria Math"/>
          <w:bCs/>
          <w:sz w:val="30"/>
          <w:szCs w:val="30"/>
        </w:rPr>
        <w:t>一、部门概况</w:t>
      </w:r>
    </w:p>
    <w:p>
      <w:pPr>
        <w:adjustRightInd w:val="0"/>
        <w:snapToGrid w:val="0"/>
        <w:spacing w:line="600" w:lineRule="exact"/>
        <w:ind w:firstLine="600" w:firstLineChars="200"/>
        <w:rPr>
          <w:rFonts w:ascii="Cambria Math" w:hAnsi="Cambria Math" w:cs="Cambria Math"/>
          <w:bCs/>
          <w:sz w:val="30"/>
          <w:szCs w:val="30"/>
        </w:rPr>
      </w:pPr>
      <w:r>
        <w:rPr>
          <w:rFonts w:hint="eastAsia" w:ascii="Cambria Math" w:hAnsi="Cambria Math" w:cs="Cambria Math"/>
          <w:bCs/>
          <w:sz w:val="30"/>
          <w:szCs w:val="30"/>
        </w:rPr>
        <w:t>（一）部门基本情况</w:t>
      </w:r>
    </w:p>
    <w:p>
      <w:pPr>
        <w:pStyle w:val="12"/>
        <w:snapToGrid w:val="0"/>
        <w:spacing w:line="600" w:lineRule="atLeast"/>
        <w:ind w:firstLine="600" w:firstLineChars="200"/>
        <w:jc w:val="left"/>
        <w:rPr>
          <w:rFonts w:ascii="Cambria Math" w:hAnsi="Cambria Math" w:cs="Cambria Math"/>
          <w:bCs/>
          <w:sz w:val="30"/>
          <w:szCs w:val="30"/>
        </w:rPr>
      </w:pPr>
      <w:r>
        <w:rPr>
          <w:rFonts w:hint="eastAsia" w:ascii="Cambria Math" w:hAnsi="Cambria Math" w:cs="Cambria Math"/>
          <w:bCs/>
          <w:sz w:val="30"/>
          <w:szCs w:val="30"/>
        </w:rPr>
        <w:t>1.</w:t>
      </w:r>
      <w:r>
        <w:rPr>
          <w:rFonts w:hint="eastAsia" w:asciiTheme="minorEastAsia" w:hAnsiTheme="minorEastAsia"/>
          <w:bCs/>
          <w:kern w:val="0"/>
          <w:sz w:val="32"/>
          <w:szCs w:val="32"/>
        </w:rPr>
        <w:t>内设机构</w:t>
      </w:r>
      <w:r>
        <w:rPr>
          <w:rFonts w:hint="eastAsia" w:asciiTheme="minorEastAsia" w:hAnsiTheme="minorEastAsia"/>
          <w:bCs/>
          <w:kern w:val="0"/>
          <w:sz w:val="32"/>
          <w:szCs w:val="32"/>
          <w:lang w:val="en-US" w:eastAsia="zh-CN"/>
        </w:rPr>
        <w:t>设置：</w:t>
      </w:r>
      <w:r>
        <w:rPr>
          <w:rFonts w:hint="eastAsia" w:asciiTheme="minorEastAsia" w:hAnsiTheme="minorEastAsia"/>
          <w:bCs/>
          <w:kern w:val="0"/>
          <w:sz w:val="32"/>
          <w:szCs w:val="32"/>
        </w:rPr>
        <w:t>包括办公室、组织联络室、权益保护与行业建设室。</w:t>
      </w:r>
    </w:p>
    <w:p>
      <w:pPr>
        <w:widowControl/>
        <w:spacing w:line="600" w:lineRule="exact"/>
        <w:jc w:val="left"/>
        <w:rPr>
          <w:rFonts w:ascii="Cambria Math" w:hAnsi="Cambria Math" w:cs="Cambria Math"/>
          <w:bCs/>
          <w:sz w:val="30"/>
          <w:szCs w:val="30"/>
        </w:rPr>
      </w:pPr>
      <w:r>
        <w:rPr>
          <w:rFonts w:hint="eastAsia" w:ascii="Cambria Math" w:hAnsi="Cambria Math" w:cs="Cambria Math"/>
          <w:bCs/>
          <w:kern w:val="0"/>
          <w:sz w:val="30"/>
          <w:szCs w:val="30"/>
        </w:rPr>
        <w:t>　　2.</w:t>
      </w:r>
      <w:r>
        <w:rPr>
          <w:rFonts w:hint="eastAsia" w:ascii="Cambria Math" w:hAnsi="Cambria Math" w:cs="Cambria Math"/>
          <w:bCs/>
          <w:sz w:val="30"/>
          <w:szCs w:val="30"/>
        </w:rPr>
        <w:t>职能职责</w:t>
      </w:r>
    </w:p>
    <w:p>
      <w:pPr>
        <w:widowControl/>
        <w:spacing w:line="600" w:lineRule="exact"/>
        <w:ind w:firstLine="640" w:firstLineChars="200"/>
        <w:rPr>
          <w:rFonts w:ascii="宋体" w:hAnsi="宋体" w:eastAsia="宋体" w:cs="宋体"/>
          <w:sz w:val="32"/>
          <w:szCs w:val="32"/>
        </w:rPr>
      </w:pPr>
      <w:r>
        <w:rPr>
          <w:rFonts w:hint="eastAsia" w:cs="宋体" w:asciiTheme="minorEastAsia" w:hAnsiTheme="minorEastAsia" w:eastAsiaTheme="minorEastAsia"/>
          <w:bCs/>
          <w:kern w:val="0"/>
          <w:sz w:val="32"/>
          <w:szCs w:val="32"/>
          <w:lang w:val="en-US" w:eastAsia="zh-CN" w:bidi="ar-SA"/>
        </w:rPr>
        <w:t>加强党对文艺工作的领导，加强全县文艺队伍思想政治建设。制定出台道县文艺工作者采风创作制度，组织文艺工作者开展主题文艺实践活动。</w:t>
      </w:r>
    </w:p>
    <w:p>
      <w:pPr>
        <w:widowControl/>
        <w:spacing w:line="600" w:lineRule="atLeast"/>
        <w:rPr>
          <w:rFonts w:ascii="Cambria Math" w:hAnsi="Cambria Math" w:cs="Cambria Math"/>
          <w:bCs/>
          <w:sz w:val="30"/>
          <w:szCs w:val="30"/>
        </w:rPr>
      </w:pPr>
      <w:r>
        <w:rPr>
          <w:rFonts w:hint="eastAsia" w:ascii="Cambria Math" w:hAnsi="Cambria Math" w:cs="Cambria Math"/>
          <w:bCs/>
          <w:kern w:val="0"/>
          <w:sz w:val="30"/>
          <w:szCs w:val="30"/>
        </w:rPr>
        <w:t>　　3.</w:t>
      </w:r>
      <w:r>
        <w:rPr>
          <w:rFonts w:hint="eastAsia" w:ascii="Cambria Math" w:hAnsi="Cambria Math" w:cs="Cambria Math"/>
          <w:bCs/>
          <w:sz w:val="30"/>
          <w:szCs w:val="30"/>
        </w:rPr>
        <w:t>人员编制：我单位为正科级全额拨款行政单位，现实有在编人数行政</w:t>
      </w:r>
      <w:r>
        <w:rPr>
          <w:rFonts w:hint="eastAsia" w:ascii="Cambria Math" w:hAnsi="Cambria Math" w:cs="Cambria Math"/>
          <w:bCs/>
          <w:sz w:val="30"/>
          <w:szCs w:val="30"/>
          <w:lang w:val="en-US" w:eastAsia="zh-CN"/>
        </w:rPr>
        <w:t>6</w:t>
      </w:r>
      <w:r>
        <w:rPr>
          <w:rFonts w:hint="eastAsia" w:ascii="Cambria Math" w:hAnsi="Cambria Math" w:cs="Cambria Math"/>
          <w:bCs/>
          <w:sz w:val="30"/>
          <w:szCs w:val="30"/>
        </w:rPr>
        <w:t>人。</w:t>
      </w:r>
    </w:p>
    <w:p>
      <w:pPr>
        <w:widowControl/>
        <w:spacing w:line="600" w:lineRule="atLeast"/>
        <w:ind w:firstLine="600" w:firstLineChars="200"/>
        <w:rPr>
          <w:rFonts w:hint="eastAsia" w:ascii="Cambria Math" w:hAnsi="Cambria Math" w:cs="Cambria Math"/>
          <w:bCs/>
          <w:sz w:val="30"/>
          <w:szCs w:val="30"/>
        </w:rPr>
      </w:pPr>
      <w:r>
        <w:rPr>
          <w:rFonts w:hint="eastAsia" w:ascii="Cambria Math" w:hAnsi="Cambria Math" w:cs="Cambria Math"/>
          <w:bCs/>
          <w:sz w:val="30"/>
          <w:szCs w:val="30"/>
        </w:rPr>
        <w:t>4.收支管理办法。严格执行上级制定的财务收支管理办法，加强整体部门支出和固定资产管理，提高资金和资产的使用效率和财务的精细化管理水平。</w:t>
      </w:r>
    </w:p>
    <w:p>
      <w:pPr>
        <w:widowControl/>
        <w:spacing w:line="600" w:lineRule="atLeast"/>
        <w:ind w:firstLine="600" w:firstLineChars="200"/>
        <w:rPr>
          <w:rFonts w:hint="eastAsia" w:ascii="Cambria Math" w:hAnsi="Cambria Math" w:cs="Cambria Math"/>
          <w:bCs/>
          <w:sz w:val="30"/>
          <w:szCs w:val="30"/>
        </w:rPr>
      </w:pPr>
    </w:p>
    <w:p>
      <w:pPr>
        <w:adjustRightInd w:val="0"/>
        <w:snapToGrid w:val="0"/>
        <w:spacing w:line="600" w:lineRule="exact"/>
        <w:ind w:firstLine="600" w:firstLineChars="200"/>
        <w:rPr>
          <w:rFonts w:ascii="Cambria Math" w:hAnsi="Cambria Math" w:cs="Cambria Math"/>
          <w:bCs/>
          <w:sz w:val="30"/>
          <w:szCs w:val="30"/>
        </w:rPr>
      </w:pPr>
      <w:r>
        <w:rPr>
          <w:rFonts w:hint="eastAsia" w:ascii="Cambria Math" w:hAnsi="Cambria Math" w:cs="Cambria Math"/>
          <w:bCs/>
          <w:sz w:val="30"/>
          <w:szCs w:val="30"/>
        </w:rPr>
        <w:t>二、部门整体收支情况</w:t>
      </w:r>
    </w:p>
    <w:p>
      <w:pPr>
        <w:ind w:firstLine="600" w:firstLineChars="200"/>
        <w:rPr>
          <w:rFonts w:ascii="Cambria Math" w:hAnsi="Cambria Math" w:cs="Cambria Math"/>
          <w:bCs/>
          <w:sz w:val="30"/>
          <w:szCs w:val="30"/>
        </w:rPr>
      </w:pPr>
      <w:r>
        <w:rPr>
          <w:rFonts w:hint="eastAsia" w:ascii="Cambria Math" w:hAnsi="Cambria Math" w:cs="Cambria Math"/>
          <w:bCs/>
          <w:sz w:val="30"/>
          <w:szCs w:val="30"/>
        </w:rPr>
        <w:t>1.收入决算:20</w:t>
      </w:r>
      <w:r>
        <w:rPr>
          <w:rFonts w:hint="eastAsia" w:ascii="Cambria Math" w:hAnsi="Cambria Math" w:cs="Cambria Math"/>
          <w:bCs/>
          <w:sz w:val="30"/>
          <w:szCs w:val="30"/>
          <w:lang w:val="en-US" w:eastAsia="zh-CN"/>
        </w:rPr>
        <w:t>21</w:t>
      </w:r>
      <w:r>
        <w:rPr>
          <w:rFonts w:hint="eastAsia" w:ascii="Cambria Math" w:hAnsi="Cambria Math" w:cs="Cambria Math"/>
          <w:bCs/>
          <w:sz w:val="30"/>
          <w:szCs w:val="30"/>
        </w:rPr>
        <w:t>年本单位决算收入</w:t>
      </w:r>
      <w:r>
        <w:rPr>
          <w:rFonts w:hint="eastAsia" w:ascii="Cambria Math" w:hAnsi="Cambria Math" w:cs="Cambria Math"/>
          <w:bCs/>
          <w:sz w:val="30"/>
          <w:szCs w:val="30"/>
          <w:lang w:val="en-US" w:eastAsia="zh-CN"/>
        </w:rPr>
        <w:t>53.70</w:t>
      </w:r>
      <w:r>
        <w:rPr>
          <w:rFonts w:hint="eastAsia" w:ascii="Cambria Math" w:hAnsi="Cambria Math" w:cs="Cambria Math"/>
          <w:bCs/>
          <w:sz w:val="30"/>
          <w:szCs w:val="30"/>
        </w:rPr>
        <w:t>万元，其中：财政拨款收入</w:t>
      </w:r>
      <w:r>
        <w:rPr>
          <w:rFonts w:hint="eastAsia" w:ascii="Cambria Math" w:hAnsi="Cambria Math" w:cs="Cambria Math"/>
          <w:bCs/>
          <w:sz w:val="30"/>
          <w:szCs w:val="30"/>
          <w:lang w:val="en-US" w:eastAsia="zh-CN"/>
        </w:rPr>
        <w:t>53.70</w:t>
      </w:r>
      <w:r>
        <w:rPr>
          <w:rFonts w:hint="eastAsia" w:ascii="Cambria Math" w:hAnsi="Cambria Math" w:cs="Cambria Math"/>
          <w:bCs/>
          <w:sz w:val="30"/>
          <w:szCs w:val="30"/>
        </w:rPr>
        <w:t>万元。</w:t>
      </w:r>
    </w:p>
    <w:p>
      <w:pPr>
        <w:ind w:firstLine="600" w:firstLineChars="200"/>
        <w:rPr>
          <w:rFonts w:hint="eastAsia" w:ascii="Cambria Math" w:hAnsi="Cambria Math" w:cs="Cambria Math"/>
          <w:bCs/>
          <w:color w:val="auto"/>
          <w:sz w:val="30"/>
          <w:szCs w:val="30"/>
        </w:rPr>
      </w:pPr>
      <w:r>
        <w:rPr>
          <w:rFonts w:hint="eastAsia" w:ascii="Cambria Math" w:hAnsi="Cambria Math" w:cs="Cambria Math"/>
          <w:bCs/>
          <w:sz w:val="30"/>
          <w:szCs w:val="30"/>
        </w:rPr>
        <w:t>2.支出决算：20</w:t>
      </w:r>
      <w:r>
        <w:rPr>
          <w:rFonts w:hint="eastAsia" w:ascii="Cambria Math" w:hAnsi="Cambria Math" w:cs="Cambria Math"/>
          <w:bCs/>
          <w:sz w:val="30"/>
          <w:szCs w:val="30"/>
          <w:lang w:val="en-US" w:eastAsia="zh-CN"/>
        </w:rPr>
        <w:t>21</w:t>
      </w:r>
      <w:r>
        <w:rPr>
          <w:rFonts w:hint="eastAsia" w:ascii="Cambria Math" w:hAnsi="Cambria Math" w:cs="Cambria Math"/>
          <w:bCs/>
          <w:sz w:val="30"/>
          <w:szCs w:val="30"/>
        </w:rPr>
        <w:t>年支出决算数</w:t>
      </w:r>
      <w:r>
        <w:rPr>
          <w:rFonts w:hint="eastAsia" w:ascii="Cambria Math" w:hAnsi="Cambria Math" w:cs="Cambria Math"/>
          <w:bCs/>
          <w:sz w:val="30"/>
          <w:szCs w:val="30"/>
          <w:lang w:val="en-US" w:eastAsia="zh-CN"/>
        </w:rPr>
        <w:t>53.70</w:t>
      </w:r>
      <w:r>
        <w:rPr>
          <w:rFonts w:hint="eastAsia" w:ascii="Cambria Math" w:hAnsi="Cambria Math" w:cs="Cambria Math"/>
          <w:bCs/>
          <w:sz w:val="30"/>
          <w:szCs w:val="30"/>
        </w:rPr>
        <w:t>万元；其中：</w:t>
      </w:r>
      <w:r>
        <w:rPr>
          <w:rFonts w:hint="eastAsia" w:ascii="Cambria Math" w:hAnsi="Cambria Math" w:cs="Cambria Math"/>
          <w:bCs/>
          <w:color w:val="auto"/>
          <w:sz w:val="30"/>
          <w:szCs w:val="30"/>
        </w:rPr>
        <w:t>基本支出</w:t>
      </w:r>
      <w:r>
        <w:rPr>
          <w:rFonts w:hint="eastAsia" w:ascii="Cambria Math" w:hAnsi="Cambria Math" w:cs="Cambria Math"/>
          <w:bCs/>
          <w:color w:val="auto"/>
          <w:sz w:val="30"/>
          <w:szCs w:val="30"/>
          <w:lang w:val="en-US" w:eastAsia="zh-CN"/>
        </w:rPr>
        <w:t>46.70</w:t>
      </w:r>
      <w:r>
        <w:rPr>
          <w:rFonts w:hint="eastAsia" w:ascii="Cambria Math" w:hAnsi="Cambria Math" w:cs="Cambria Math"/>
          <w:bCs/>
          <w:color w:val="auto"/>
          <w:sz w:val="30"/>
          <w:szCs w:val="30"/>
        </w:rPr>
        <w:t>万元，项目支出</w:t>
      </w:r>
      <w:r>
        <w:rPr>
          <w:rFonts w:hint="eastAsia" w:ascii="Cambria Math" w:hAnsi="Cambria Math" w:cs="Cambria Math"/>
          <w:bCs/>
          <w:color w:val="auto"/>
          <w:sz w:val="30"/>
          <w:szCs w:val="30"/>
          <w:lang w:val="en-US" w:eastAsia="zh-CN"/>
        </w:rPr>
        <w:t>7</w:t>
      </w:r>
      <w:r>
        <w:rPr>
          <w:rFonts w:hint="eastAsia" w:ascii="Cambria Math" w:hAnsi="Cambria Math" w:cs="Cambria Math"/>
          <w:bCs/>
          <w:color w:val="auto"/>
          <w:sz w:val="30"/>
          <w:szCs w:val="30"/>
        </w:rPr>
        <w:t>万元。</w:t>
      </w:r>
    </w:p>
    <w:p>
      <w:pPr>
        <w:ind w:firstLine="600" w:firstLineChars="200"/>
        <w:rPr>
          <w:rFonts w:hint="eastAsia" w:ascii="Cambria Math" w:hAnsi="Cambria Math" w:cs="Cambria Math"/>
          <w:bCs/>
          <w:color w:val="auto"/>
          <w:sz w:val="30"/>
          <w:szCs w:val="30"/>
        </w:rPr>
      </w:pPr>
    </w:p>
    <w:p>
      <w:pPr>
        <w:ind w:firstLine="600" w:firstLineChars="200"/>
        <w:rPr>
          <w:rFonts w:ascii="Cambria Math" w:hAnsi="Cambria Math" w:cs="Cambria Math"/>
          <w:bCs/>
          <w:color w:val="auto"/>
          <w:sz w:val="30"/>
          <w:szCs w:val="30"/>
        </w:rPr>
      </w:pPr>
      <w:r>
        <w:rPr>
          <w:rFonts w:hint="eastAsia" w:ascii="Cambria Math" w:hAnsi="Cambria Math" w:cs="Cambria Math"/>
          <w:bCs/>
          <w:color w:val="auto"/>
          <w:sz w:val="30"/>
          <w:szCs w:val="30"/>
        </w:rPr>
        <w:t>三、一般公共预算拨款支出决算</w:t>
      </w:r>
    </w:p>
    <w:p>
      <w:pPr>
        <w:ind w:firstLine="600" w:firstLineChars="200"/>
        <w:rPr>
          <w:rFonts w:ascii="Cambria Math" w:hAnsi="Cambria Math" w:cs="Cambria Math"/>
          <w:bCs/>
          <w:color w:val="auto"/>
          <w:sz w:val="30"/>
          <w:szCs w:val="30"/>
        </w:rPr>
      </w:pPr>
      <w:r>
        <w:rPr>
          <w:rFonts w:hint="eastAsia" w:ascii="Cambria Math" w:hAnsi="Cambria Math" w:cs="Cambria Math"/>
          <w:bCs/>
          <w:color w:val="auto"/>
          <w:sz w:val="30"/>
          <w:szCs w:val="30"/>
        </w:rPr>
        <w:t>20</w:t>
      </w:r>
      <w:r>
        <w:rPr>
          <w:rFonts w:hint="eastAsia" w:ascii="Cambria Math" w:hAnsi="Cambria Math" w:cs="Cambria Math"/>
          <w:bCs/>
          <w:color w:val="auto"/>
          <w:sz w:val="30"/>
          <w:szCs w:val="30"/>
          <w:lang w:val="en-US" w:eastAsia="zh-CN"/>
        </w:rPr>
        <w:t>21</w:t>
      </w:r>
      <w:r>
        <w:rPr>
          <w:rFonts w:hint="eastAsia" w:ascii="Cambria Math" w:hAnsi="Cambria Math" w:cs="Cambria Math"/>
          <w:bCs/>
          <w:color w:val="auto"/>
          <w:sz w:val="30"/>
          <w:szCs w:val="30"/>
        </w:rPr>
        <w:t>年一般公共预算拨款支出</w:t>
      </w:r>
      <w:r>
        <w:rPr>
          <w:rFonts w:hint="eastAsia" w:ascii="Cambria Math" w:hAnsi="Cambria Math" w:cs="Cambria Math"/>
          <w:bCs/>
          <w:color w:val="auto"/>
          <w:sz w:val="30"/>
          <w:szCs w:val="30"/>
          <w:lang w:val="en-US" w:eastAsia="zh-CN"/>
        </w:rPr>
        <w:t>53.70</w:t>
      </w:r>
      <w:r>
        <w:rPr>
          <w:rFonts w:hint="eastAsia" w:ascii="Cambria Math" w:hAnsi="Cambria Math" w:cs="Cambria Math"/>
          <w:bCs/>
          <w:color w:val="auto"/>
          <w:sz w:val="30"/>
          <w:szCs w:val="30"/>
        </w:rPr>
        <w:t>万元，具体安排情况如下：</w:t>
      </w:r>
    </w:p>
    <w:p>
      <w:pPr>
        <w:numPr>
          <w:ilvl w:val="0"/>
          <w:numId w:val="3"/>
        </w:numPr>
        <w:ind w:firstLine="600" w:firstLineChars="200"/>
        <w:rPr>
          <w:rFonts w:ascii="Cambria Math" w:hAnsi="Cambria Math" w:cs="Cambria Math"/>
          <w:bCs/>
          <w:color w:val="auto"/>
          <w:sz w:val="30"/>
          <w:szCs w:val="30"/>
        </w:rPr>
      </w:pPr>
      <w:r>
        <w:rPr>
          <w:rFonts w:hint="eastAsia" w:ascii="Cambria Math" w:hAnsi="Cambria Math" w:cs="Cambria Math"/>
          <w:bCs/>
          <w:color w:val="auto"/>
          <w:sz w:val="30"/>
          <w:szCs w:val="30"/>
        </w:rPr>
        <w:t>基本支出：</w:t>
      </w:r>
      <w:r>
        <w:rPr>
          <w:rFonts w:hint="eastAsia" w:ascii="Cambria Math" w:hAnsi="Cambria Math" w:cs="Cambria Math"/>
          <w:bCs/>
          <w:color w:val="auto"/>
          <w:sz w:val="30"/>
          <w:szCs w:val="30"/>
          <w:lang w:val="en-US" w:eastAsia="zh-CN"/>
        </w:rPr>
        <w:t>46.70</w:t>
      </w:r>
      <w:r>
        <w:rPr>
          <w:rFonts w:hint="eastAsia" w:ascii="Cambria Math" w:hAnsi="Cambria Math" w:cs="Cambria Math"/>
          <w:bCs/>
          <w:color w:val="auto"/>
          <w:sz w:val="30"/>
          <w:szCs w:val="30"/>
        </w:rPr>
        <w:t>万元。其中</w:t>
      </w:r>
    </w:p>
    <w:p>
      <w:pPr>
        <w:pStyle w:val="9"/>
        <w:numPr>
          <w:ilvl w:val="0"/>
          <w:numId w:val="4"/>
        </w:numPr>
        <w:ind w:firstLine="600" w:firstLineChars="200"/>
        <w:rPr>
          <w:rFonts w:hint="eastAsia" w:asciiTheme="minorEastAsia" w:hAnsiTheme="minorEastAsia" w:eastAsiaTheme="minorEastAsia"/>
          <w:sz w:val="32"/>
          <w:szCs w:val="32"/>
        </w:rPr>
      </w:pPr>
      <w:r>
        <w:rPr>
          <w:rFonts w:hint="eastAsia" w:ascii="Cambria Math" w:hAnsi="Cambria Math" w:cs="Cambria Math"/>
          <w:bCs/>
          <w:sz w:val="30"/>
          <w:szCs w:val="30"/>
        </w:rPr>
        <w:t>工资福利支出</w:t>
      </w:r>
      <w:r>
        <w:rPr>
          <w:rFonts w:hint="eastAsia" w:ascii="Cambria Math" w:hAnsi="Cambria Math" w:cs="Cambria Math"/>
          <w:bCs/>
          <w:sz w:val="30"/>
          <w:szCs w:val="30"/>
          <w:lang w:val="en-US" w:eastAsia="zh-CN"/>
        </w:rPr>
        <w:t>40.22</w:t>
      </w:r>
      <w:r>
        <w:rPr>
          <w:rFonts w:hint="eastAsia" w:ascii="Cambria Math" w:hAnsi="Cambria Math" w:cs="Cambria Math"/>
          <w:bCs/>
          <w:sz w:val="30"/>
          <w:szCs w:val="30"/>
        </w:rPr>
        <w:t>万元。</w:t>
      </w:r>
      <w:r>
        <w:rPr>
          <w:rFonts w:hint="eastAsia" w:asciiTheme="minorEastAsia" w:hAnsiTheme="minorEastAsia" w:eastAsiaTheme="minorEastAsia"/>
          <w:sz w:val="32"/>
          <w:szCs w:val="32"/>
        </w:rPr>
        <w:t>占基本支出的</w:t>
      </w:r>
      <w:r>
        <w:rPr>
          <w:rFonts w:hint="eastAsia" w:asciiTheme="minorEastAsia" w:hAnsiTheme="minorEastAsia" w:eastAsiaTheme="minorEastAsia"/>
          <w:sz w:val="32"/>
          <w:szCs w:val="32"/>
          <w:lang w:val="en-US" w:eastAsia="zh-CN"/>
        </w:rPr>
        <w:t>86.12</w:t>
      </w:r>
      <w:r>
        <w:rPr>
          <w:rFonts w:hint="eastAsia" w:asciiTheme="minorEastAsia" w:hAnsiTheme="minorEastAsia" w:eastAsiaTheme="minorEastAsia"/>
          <w:sz w:val="32"/>
          <w:szCs w:val="32"/>
        </w:rPr>
        <w:t>%,主要包括基本工资</w:t>
      </w:r>
      <w:r>
        <w:rPr>
          <w:rFonts w:hint="eastAsia" w:asciiTheme="minorEastAsia" w:hAnsiTheme="minorEastAsia" w:eastAsiaTheme="minorEastAsia"/>
          <w:sz w:val="32"/>
          <w:szCs w:val="32"/>
          <w:lang w:val="en-US" w:eastAsia="zh-CN"/>
        </w:rPr>
        <w:t>16.20万元</w:t>
      </w:r>
      <w:r>
        <w:rPr>
          <w:rFonts w:hint="eastAsia" w:asciiTheme="minorEastAsia" w:hAnsiTheme="minorEastAsia" w:eastAsiaTheme="minorEastAsia"/>
          <w:sz w:val="32"/>
          <w:szCs w:val="32"/>
        </w:rPr>
        <w:t>、津贴补贴</w:t>
      </w:r>
      <w:r>
        <w:rPr>
          <w:rFonts w:hint="eastAsia" w:asciiTheme="minorEastAsia" w:hAnsiTheme="minorEastAsia" w:eastAsiaTheme="minorEastAsia"/>
          <w:sz w:val="32"/>
          <w:szCs w:val="32"/>
          <w:lang w:val="en-US" w:eastAsia="zh-CN"/>
        </w:rPr>
        <w:t>9.37万元</w:t>
      </w:r>
      <w:r>
        <w:rPr>
          <w:rFonts w:hint="eastAsia" w:asciiTheme="minorEastAsia" w:hAnsiTheme="minorEastAsia" w:eastAsiaTheme="minorEastAsia"/>
          <w:sz w:val="32"/>
          <w:szCs w:val="32"/>
        </w:rPr>
        <w:t>、奖金</w:t>
      </w:r>
      <w:r>
        <w:rPr>
          <w:rFonts w:hint="eastAsia" w:asciiTheme="minorEastAsia" w:hAnsiTheme="minorEastAsia" w:eastAsiaTheme="minorEastAsia"/>
          <w:sz w:val="32"/>
          <w:szCs w:val="32"/>
          <w:lang w:val="en-US" w:eastAsia="zh-CN"/>
        </w:rPr>
        <w:t>1万元</w:t>
      </w:r>
      <w:r>
        <w:rPr>
          <w:rFonts w:hint="eastAsia" w:asciiTheme="minorEastAsia" w:hAnsiTheme="minorEastAsia" w:eastAsiaTheme="minorEastAsia"/>
          <w:sz w:val="32"/>
          <w:szCs w:val="32"/>
        </w:rPr>
        <w:t>、</w:t>
      </w:r>
      <w:r>
        <w:rPr>
          <w:rFonts w:hint="eastAsia" w:asciiTheme="minorEastAsia" w:hAnsiTheme="minorEastAsia" w:eastAsiaTheme="minorEastAsia"/>
          <w:sz w:val="32"/>
          <w:szCs w:val="32"/>
          <w:lang w:val="en-US" w:eastAsia="zh-CN"/>
        </w:rPr>
        <w:t>绩效工资3.44万元，养老保险4万元、职业年金1.1万元、医疗保险2万元、住房公积金3.1万元</w:t>
      </w:r>
      <w:r>
        <w:rPr>
          <w:rFonts w:hint="eastAsia" w:asciiTheme="minorEastAsia" w:hAnsiTheme="minorEastAsia" w:eastAsiaTheme="minorEastAsia"/>
          <w:sz w:val="32"/>
          <w:szCs w:val="32"/>
        </w:rPr>
        <w:t>；</w:t>
      </w:r>
    </w:p>
    <w:p>
      <w:pPr>
        <w:pStyle w:val="9"/>
        <w:numPr>
          <w:ilvl w:val="0"/>
          <w:numId w:val="0"/>
        </w:numPr>
        <w:ind w:firstLine="600" w:firstLineChars="200"/>
        <w:rPr>
          <w:rFonts w:ascii="Cambria Math" w:hAnsi="Cambria Math" w:cs="Cambria Math"/>
          <w:bCs/>
          <w:sz w:val="30"/>
          <w:szCs w:val="30"/>
        </w:rPr>
      </w:pPr>
      <w:r>
        <w:rPr>
          <w:rFonts w:hint="eastAsia" w:ascii="Cambria Math" w:hAnsi="Cambria Math" w:cs="Cambria Math"/>
          <w:bCs/>
          <w:sz w:val="30"/>
          <w:szCs w:val="30"/>
        </w:rPr>
        <w:t>（2）机关运行经费</w:t>
      </w:r>
      <w:r>
        <w:rPr>
          <w:rFonts w:hint="eastAsia" w:ascii="Cambria Math" w:hAnsi="Cambria Math" w:cs="Cambria Math"/>
          <w:bCs/>
          <w:sz w:val="30"/>
          <w:szCs w:val="30"/>
          <w:lang w:val="en-US" w:eastAsia="zh-CN"/>
        </w:rPr>
        <w:t>6.48</w:t>
      </w:r>
      <w:r>
        <w:rPr>
          <w:rFonts w:hint="eastAsia" w:ascii="Cambria Math" w:hAnsi="Cambria Math" w:cs="Cambria Math"/>
          <w:bCs/>
          <w:sz w:val="30"/>
          <w:szCs w:val="30"/>
        </w:rPr>
        <w:t>万元。</w:t>
      </w:r>
      <w:r>
        <w:rPr>
          <w:rFonts w:hint="eastAsia" w:asciiTheme="minorEastAsia" w:hAnsiTheme="minorEastAsia" w:eastAsiaTheme="minorEastAsia"/>
          <w:sz w:val="32"/>
          <w:szCs w:val="32"/>
        </w:rPr>
        <w:t>占基本支出的</w:t>
      </w:r>
      <w:r>
        <w:rPr>
          <w:rFonts w:hint="eastAsia" w:asciiTheme="minorEastAsia" w:hAnsiTheme="minorEastAsia" w:eastAsiaTheme="minorEastAsia"/>
          <w:sz w:val="32"/>
          <w:szCs w:val="32"/>
          <w:lang w:val="en-US" w:eastAsia="zh-CN"/>
        </w:rPr>
        <w:t>13.88</w:t>
      </w:r>
      <w:r>
        <w:rPr>
          <w:rFonts w:hint="eastAsia" w:asciiTheme="minorEastAsia" w:hAnsiTheme="minorEastAsia" w:eastAsiaTheme="minorEastAsia"/>
          <w:sz w:val="32"/>
          <w:szCs w:val="32"/>
        </w:rPr>
        <w:t>%，主要包括办公费</w:t>
      </w:r>
      <w:r>
        <w:rPr>
          <w:rFonts w:hint="eastAsia" w:asciiTheme="minorEastAsia" w:hAnsiTheme="minorEastAsia" w:eastAsiaTheme="minorEastAsia"/>
          <w:sz w:val="32"/>
          <w:szCs w:val="32"/>
          <w:lang w:val="en-US" w:eastAsia="zh-CN"/>
        </w:rPr>
        <w:t>0.5万元</w:t>
      </w:r>
      <w:r>
        <w:rPr>
          <w:rFonts w:hint="eastAsia" w:asciiTheme="minorEastAsia" w:hAnsiTheme="minorEastAsia" w:eastAsiaTheme="minorEastAsia"/>
          <w:sz w:val="32"/>
          <w:szCs w:val="32"/>
        </w:rPr>
        <w:t>、印刷费</w:t>
      </w:r>
      <w:r>
        <w:rPr>
          <w:rFonts w:hint="eastAsia" w:asciiTheme="minorEastAsia" w:hAnsiTheme="minorEastAsia" w:eastAsiaTheme="minorEastAsia"/>
          <w:sz w:val="32"/>
          <w:szCs w:val="32"/>
          <w:lang w:val="en-US" w:eastAsia="zh-CN"/>
        </w:rPr>
        <w:t>0.6万元</w:t>
      </w:r>
      <w:r>
        <w:rPr>
          <w:rFonts w:hint="eastAsia" w:asciiTheme="minorEastAsia" w:hAnsiTheme="minorEastAsia" w:eastAsiaTheme="minorEastAsia"/>
          <w:sz w:val="32"/>
          <w:szCs w:val="32"/>
        </w:rPr>
        <w:t>、</w:t>
      </w:r>
      <w:r>
        <w:rPr>
          <w:rFonts w:hint="eastAsia" w:asciiTheme="minorEastAsia" w:hAnsiTheme="minorEastAsia" w:eastAsiaTheme="minorEastAsia"/>
          <w:sz w:val="32"/>
          <w:szCs w:val="32"/>
          <w:lang w:val="en-US" w:eastAsia="zh-CN"/>
        </w:rPr>
        <w:t>水费0.1万元、电费0.25万元、邮电费0.05万元、差旅费0.5万元、会议费0.18万元、培训费0.2万元、公务接待费0.3万元、劳务费0.72万元、工会经费1.3万元、其他交通费1.48万元、其他商品与服务支出0.3万元</w:t>
      </w:r>
      <w:r>
        <w:rPr>
          <w:rFonts w:hint="eastAsia" w:asciiTheme="minorEastAsia" w:hAnsiTheme="minorEastAsia" w:eastAsiaTheme="minorEastAsia"/>
          <w:sz w:val="32"/>
          <w:szCs w:val="32"/>
        </w:rPr>
        <w:t>。</w:t>
      </w:r>
    </w:p>
    <w:p>
      <w:pPr>
        <w:pStyle w:val="13"/>
        <w:ind w:firstLine="300" w:firstLineChars="100"/>
        <w:rPr>
          <w:rFonts w:hint="eastAsia" w:cs="黑体" w:asciiTheme="minorEastAsia" w:hAnsiTheme="minorEastAsia" w:eastAsiaTheme="minorEastAsia"/>
          <w:color w:val="000000"/>
          <w:kern w:val="0"/>
          <w:sz w:val="32"/>
          <w:szCs w:val="32"/>
          <w:lang w:val="en-US" w:eastAsia="zh-CN" w:bidi="ar-SA"/>
        </w:rPr>
      </w:pPr>
      <w:r>
        <w:rPr>
          <w:rFonts w:hint="eastAsia" w:ascii="Cambria Math" w:hAnsi="Cambria Math" w:cs="Cambria Math"/>
          <w:bCs/>
          <w:color w:val="auto"/>
          <w:kern w:val="2"/>
          <w:sz w:val="30"/>
          <w:szCs w:val="30"/>
          <w:lang w:val="en-US" w:eastAsia="zh-CN" w:bidi="ar-SA"/>
        </w:rPr>
        <w:t>2、“</w:t>
      </w:r>
      <w:r>
        <w:rPr>
          <w:rFonts w:hint="eastAsia" w:cs="黑体" w:asciiTheme="minorEastAsia" w:hAnsiTheme="minorEastAsia" w:eastAsiaTheme="minorEastAsia"/>
          <w:color w:val="000000"/>
          <w:kern w:val="0"/>
          <w:sz w:val="32"/>
          <w:szCs w:val="32"/>
          <w:lang w:val="en-US" w:eastAsia="zh-CN" w:bidi="ar-SA"/>
        </w:rPr>
        <w:t>三公</w:t>
      </w:r>
      <w:r>
        <w:rPr>
          <w:rFonts w:hint="eastAsia" w:cs="黑体" w:asciiTheme="minorEastAsia" w:hAnsiTheme="minorEastAsia"/>
          <w:color w:val="000000"/>
          <w:kern w:val="0"/>
          <w:sz w:val="32"/>
          <w:szCs w:val="32"/>
          <w:lang w:val="en-US" w:eastAsia="zh-CN" w:bidi="ar-SA"/>
        </w:rPr>
        <w:t>”</w:t>
      </w:r>
      <w:r>
        <w:rPr>
          <w:rFonts w:hint="eastAsia" w:cs="黑体" w:asciiTheme="minorEastAsia" w:hAnsiTheme="minorEastAsia" w:eastAsiaTheme="minorEastAsia"/>
          <w:color w:val="000000"/>
          <w:kern w:val="0"/>
          <w:sz w:val="32"/>
          <w:szCs w:val="32"/>
          <w:lang w:val="en-US" w:eastAsia="zh-CN" w:bidi="ar-SA"/>
        </w:rPr>
        <w:t>经费使用情况：2021年度本单位“三公”经费总额为0.4万元，其中：公务接待费0.4万元，与上年相比减少0.1万元。国内公务接待6批次，接待人数32人。主要是业务交流、开展业务活动发生的接待支出</w:t>
      </w:r>
      <w:r>
        <w:rPr>
          <w:rFonts w:hint="eastAsia" w:cs="黑体" w:asciiTheme="minorEastAsia" w:hAnsiTheme="minorEastAsia"/>
          <w:color w:val="000000"/>
          <w:kern w:val="0"/>
          <w:sz w:val="32"/>
          <w:szCs w:val="32"/>
          <w:lang w:val="en-US" w:eastAsia="zh-CN" w:bidi="ar-SA"/>
        </w:rPr>
        <w:t>。</w:t>
      </w:r>
    </w:p>
    <w:p>
      <w:pPr>
        <w:widowControl/>
        <w:spacing w:line="600" w:lineRule="atLeast"/>
        <w:ind w:firstLine="640" w:firstLineChars="200"/>
        <w:rPr>
          <w:rFonts w:hint="eastAsia" w:cs="黑体" w:asciiTheme="minorEastAsia" w:hAnsiTheme="minorEastAsia" w:eastAsiaTheme="minorEastAsia"/>
          <w:color w:val="000000"/>
          <w:kern w:val="0"/>
          <w:sz w:val="32"/>
          <w:szCs w:val="32"/>
          <w:lang w:val="en-US" w:eastAsia="zh-CN" w:bidi="ar-SA"/>
        </w:rPr>
      </w:pPr>
    </w:p>
    <w:p>
      <w:pPr>
        <w:widowControl/>
        <w:spacing w:line="600" w:lineRule="atLeast"/>
        <w:ind w:firstLine="640" w:firstLineChars="200"/>
        <w:rPr>
          <w:rFonts w:hint="eastAsia" w:cs="黑体" w:asciiTheme="minorEastAsia" w:hAnsiTheme="minorEastAsia" w:eastAsiaTheme="minorEastAsia"/>
          <w:color w:val="000000"/>
          <w:kern w:val="0"/>
          <w:sz w:val="32"/>
          <w:szCs w:val="32"/>
          <w:lang w:val="en-US" w:eastAsia="zh-CN" w:bidi="ar-SA"/>
        </w:rPr>
      </w:pPr>
      <w:r>
        <w:rPr>
          <w:rFonts w:hint="eastAsia" w:cs="黑体" w:asciiTheme="minorEastAsia" w:hAnsiTheme="minorEastAsia" w:eastAsiaTheme="minorEastAsia"/>
          <w:color w:val="000000"/>
          <w:kern w:val="0"/>
          <w:sz w:val="32"/>
          <w:szCs w:val="32"/>
          <w:lang w:val="en-US" w:eastAsia="zh-CN" w:bidi="ar-SA"/>
        </w:rPr>
        <w:t>四、部门整体支出管理情况</w:t>
      </w:r>
    </w:p>
    <w:p>
      <w:pPr>
        <w:widowControl/>
        <w:shd w:val="clear" w:color="auto" w:fill="FFFFFF"/>
        <w:ind w:firstLine="570"/>
        <w:jc w:val="left"/>
        <w:rPr>
          <w:rFonts w:hint="eastAsia" w:cs="黑体" w:asciiTheme="minorEastAsia" w:hAnsiTheme="minorEastAsia" w:eastAsiaTheme="minorEastAsia"/>
          <w:color w:val="000000"/>
          <w:kern w:val="0"/>
          <w:sz w:val="32"/>
          <w:szCs w:val="32"/>
          <w:lang w:val="en-US" w:eastAsia="zh-CN" w:bidi="ar-SA"/>
        </w:rPr>
      </w:pPr>
      <w:r>
        <w:rPr>
          <w:rFonts w:hint="eastAsia" w:cs="黑体" w:asciiTheme="minorEastAsia" w:hAnsiTheme="minorEastAsia" w:eastAsiaTheme="minorEastAsia"/>
          <w:color w:val="000000"/>
          <w:kern w:val="0"/>
          <w:sz w:val="32"/>
          <w:szCs w:val="32"/>
          <w:lang w:val="en-US" w:eastAsia="zh-CN" w:bidi="ar-SA"/>
        </w:rPr>
        <w:t>领导高度重视，遵守中央八项规定，厉行节约，减少了公务接待活动，“三公”经费实现了有效压缩。</w:t>
      </w:r>
    </w:p>
    <w:p>
      <w:pPr>
        <w:widowControl/>
        <w:spacing w:line="600" w:lineRule="atLeast"/>
        <w:ind w:firstLine="480" w:firstLineChars="150"/>
        <w:rPr>
          <w:rFonts w:hint="eastAsia" w:cs="黑体" w:asciiTheme="minorEastAsia" w:hAnsiTheme="minorEastAsia" w:eastAsiaTheme="minorEastAsia"/>
          <w:color w:val="000000"/>
          <w:kern w:val="0"/>
          <w:sz w:val="32"/>
          <w:szCs w:val="32"/>
          <w:lang w:val="en-US" w:eastAsia="zh-CN" w:bidi="ar-SA"/>
        </w:rPr>
      </w:pPr>
    </w:p>
    <w:p>
      <w:pPr>
        <w:widowControl/>
        <w:spacing w:line="600" w:lineRule="atLeast"/>
        <w:ind w:firstLine="480" w:firstLineChars="150"/>
        <w:rPr>
          <w:rFonts w:hint="eastAsia" w:cs="黑体" w:asciiTheme="minorEastAsia" w:hAnsiTheme="minorEastAsia" w:eastAsiaTheme="minorEastAsia"/>
          <w:color w:val="000000"/>
          <w:kern w:val="0"/>
          <w:sz w:val="32"/>
          <w:szCs w:val="32"/>
          <w:lang w:val="en-US" w:eastAsia="zh-CN" w:bidi="ar-SA"/>
        </w:rPr>
      </w:pPr>
      <w:r>
        <w:rPr>
          <w:rFonts w:hint="eastAsia" w:cs="黑体" w:asciiTheme="minorEastAsia" w:hAnsiTheme="minorEastAsia" w:eastAsiaTheme="minorEastAsia"/>
          <w:color w:val="000000"/>
          <w:kern w:val="0"/>
          <w:sz w:val="32"/>
          <w:szCs w:val="32"/>
          <w:lang w:val="en-US" w:eastAsia="zh-CN" w:bidi="ar-SA"/>
        </w:rPr>
        <w:t>五、部门整体支出绩效情况</w:t>
      </w:r>
    </w:p>
    <w:p>
      <w:pPr>
        <w:adjustRightInd w:val="0"/>
        <w:snapToGrid w:val="0"/>
        <w:spacing w:line="600" w:lineRule="exact"/>
        <w:rPr>
          <w:rFonts w:hint="eastAsia" w:cs="黑体" w:asciiTheme="minorEastAsia" w:hAnsiTheme="minorEastAsia" w:eastAsiaTheme="minorEastAsia"/>
          <w:color w:val="000000"/>
          <w:kern w:val="0"/>
          <w:sz w:val="32"/>
          <w:szCs w:val="32"/>
          <w:lang w:val="en-US" w:eastAsia="zh-CN" w:bidi="ar-SA"/>
        </w:rPr>
      </w:pPr>
      <w:r>
        <w:rPr>
          <w:rFonts w:hint="eastAsia" w:cs="黑体" w:asciiTheme="minorEastAsia" w:hAnsiTheme="minorEastAsia" w:eastAsiaTheme="minorEastAsia"/>
          <w:color w:val="000000"/>
          <w:kern w:val="0"/>
          <w:sz w:val="32"/>
          <w:szCs w:val="32"/>
          <w:lang w:val="en-US" w:eastAsia="zh-CN" w:bidi="ar-SA"/>
        </w:rPr>
        <w:t>1、确保了干部职工工资正常发放和机关的正常运转，有利于社会稳定和单位团结。</w:t>
      </w:r>
    </w:p>
    <w:p>
      <w:pPr>
        <w:adjustRightInd w:val="0"/>
        <w:snapToGrid w:val="0"/>
        <w:spacing w:line="600" w:lineRule="exact"/>
        <w:rPr>
          <w:rFonts w:hint="eastAsia" w:cs="黑体" w:asciiTheme="minorEastAsia" w:hAnsiTheme="minorEastAsia" w:eastAsiaTheme="minorEastAsia"/>
          <w:color w:val="000000"/>
          <w:kern w:val="0"/>
          <w:sz w:val="32"/>
          <w:szCs w:val="32"/>
          <w:lang w:val="en-US" w:eastAsia="zh-CN" w:bidi="ar-SA"/>
        </w:rPr>
      </w:pPr>
      <w:r>
        <w:rPr>
          <w:rFonts w:hint="eastAsia" w:cs="黑体" w:asciiTheme="minorEastAsia" w:hAnsiTheme="minorEastAsia" w:eastAsiaTheme="minorEastAsia"/>
          <w:color w:val="000000"/>
          <w:kern w:val="0"/>
          <w:sz w:val="32"/>
          <w:szCs w:val="32"/>
          <w:lang w:val="en-US" w:eastAsia="zh-CN" w:bidi="ar-SA"/>
        </w:rPr>
        <w:t>2、保障社会保障就业支出，职工的医疗保险和养老保险支出得到保障。</w:t>
      </w:r>
    </w:p>
    <w:p>
      <w:pPr>
        <w:adjustRightInd w:val="0"/>
        <w:snapToGrid w:val="0"/>
        <w:spacing w:line="600" w:lineRule="exact"/>
        <w:rPr>
          <w:rFonts w:hint="eastAsia" w:cs="黑体" w:asciiTheme="minorEastAsia" w:hAnsiTheme="minorEastAsia" w:eastAsiaTheme="minorEastAsia"/>
          <w:color w:val="000000"/>
          <w:kern w:val="0"/>
          <w:sz w:val="32"/>
          <w:szCs w:val="32"/>
          <w:lang w:val="en-US" w:eastAsia="zh-CN" w:bidi="ar-SA"/>
        </w:rPr>
      </w:pPr>
      <w:r>
        <w:rPr>
          <w:rFonts w:hint="eastAsia" w:cs="黑体" w:asciiTheme="minorEastAsia" w:hAnsiTheme="minorEastAsia" w:eastAsiaTheme="minorEastAsia"/>
          <w:color w:val="000000"/>
          <w:kern w:val="0"/>
          <w:sz w:val="32"/>
          <w:szCs w:val="32"/>
          <w:lang w:val="en-US" w:eastAsia="zh-CN" w:bidi="ar-SA"/>
        </w:rPr>
        <w:t>3、项目经费7万元全部用于2021年度《濂溪》杂志和“欢乐潇湘”活动，保障工作的顺利完成。</w:t>
      </w:r>
    </w:p>
    <w:p>
      <w:pPr>
        <w:widowControl/>
        <w:spacing w:line="600" w:lineRule="atLeast"/>
        <w:rPr>
          <w:rFonts w:hint="eastAsia" w:ascii="Cambria Math" w:hAnsi="Cambria Math" w:cs="Cambria Math"/>
          <w:bCs/>
          <w:sz w:val="30"/>
          <w:szCs w:val="30"/>
        </w:rPr>
      </w:pPr>
    </w:p>
    <w:p>
      <w:pPr>
        <w:widowControl/>
        <w:spacing w:line="600" w:lineRule="atLeast"/>
        <w:rPr>
          <w:rFonts w:hint="eastAsia" w:ascii="Cambria Math" w:hAnsi="Cambria Math" w:cs="Cambria Math"/>
          <w:bCs/>
          <w:sz w:val="30"/>
          <w:szCs w:val="30"/>
        </w:rPr>
      </w:pPr>
    </w:p>
    <w:p>
      <w:pPr>
        <w:widowControl/>
        <w:spacing w:line="600" w:lineRule="atLeast"/>
        <w:rPr>
          <w:rFonts w:ascii="Cambria Math" w:hAnsi="Cambria Math" w:cs="Cambria Math"/>
          <w:bCs/>
          <w:sz w:val="30"/>
          <w:szCs w:val="30"/>
        </w:rPr>
      </w:pPr>
      <w:r>
        <w:rPr>
          <w:rFonts w:hint="eastAsia" w:ascii="Cambria Math" w:hAnsi="Cambria Math" w:cs="Cambria Math"/>
          <w:bCs/>
          <w:sz w:val="30"/>
          <w:szCs w:val="30"/>
        </w:rPr>
        <w:t>六、结合《部门整体支出绩效评价指标表》评价得分8</w:t>
      </w:r>
      <w:r>
        <w:rPr>
          <w:rFonts w:ascii="Cambria Math" w:hAnsi="Cambria Math" w:cs="Cambria Math"/>
          <w:bCs/>
          <w:sz w:val="30"/>
          <w:szCs w:val="30"/>
        </w:rPr>
        <w:t>6.4</w:t>
      </w:r>
      <w:r>
        <w:rPr>
          <w:rFonts w:hint="eastAsia" w:ascii="Cambria Math" w:hAnsi="Cambria Math" w:cs="Cambria Math"/>
          <w:bCs/>
          <w:sz w:val="30"/>
          <w:szCs w:val="30"/>
        </w:rPr>
        <w:t>分（见附件）。</w:t>
      </w:r>
    </w:p>
    <w:p>
      <w:pPr>
        <w:spacing w:line="360" w:lineRule="auto"/>
        <w:ind w:right="480" w:firstLine="640" w:firstLineChars="200"/>
        <w:jc w:val="center"/>
        <w:rPr>
          <w:rFonts w:hint="eastAsia" w:ascii="宋体" w:hAnsi="宋体" w:eastAsia="宋体" w:cs="Times New Roman"/>
          <w:b/>
          <w:bCs/>
          <w:sz w:val="32"/>
          <w:szCs w:val="32"/>
        </w:rPr>
      </w:pPr>
      <w:r>
        <w:rPr>
          <w:rFonts w:hint="eastAsia" w:ascii="宋体" w:hAnsi="宋体" w:eastAsia="宋体" w:cs="Times New Roman"/>
          <w:b/>
          <w:bCs/>
          <w:sz w:val="32"/>
          <w:szCs w:val="32"/>
        </w:rPr>
        <w:t>20</w:t>
      </w:r>
      <w:r>
        <w:rPr>
          <w:rFonts w:hint="eastAsia" w:ascii="宋体" w:hAnsi="宋体" w:eastAsia="宋体" w:cs="Times New Roman"/>
          <w:b/>
          <w:bCs/>
          <w:sz w:val="32"/>
          <w:szCs w:val="32"/>
          <w:lang w:val="en-US" w:eastAsia="zh-CN"/>
        </w:rPr>
        <w:t>21</w:t>
      </w:r>
      <w:r>
        <w:rPr>
          <w:rFonts w:hint="eastAsia" w:ascii="宋体" w:hAnsi="宋体" w:eastAsia="宋体" w:cs="Times New Roman"/>
          <w:b/>
          <w:bCs/>
          <w:sz w:val="32"/>
          <w:szCs w:val="32"/>
        </w:rPr>
        <w:t>年</w:t>
      </w:r>
      <w:r>
        <w:rPr>
          <w:rFonts w:hint="eastAsia" w:ascii="宋体" w:hAnsi="宋体" w:eastAsia="宋体" w:cs="Times New Roman"/>
          <w:b/>
          <w:bCs/>
          <w:sz w:val="32"/>
          <w:szCs w:val="32"/>
          <w:lang w:val="en-US" w:eastAsia="zh-CN"/>
        </w:rPr>
        <w:t>文联</w:t>
      </w:r>
      <w:r>
        <w:rPr>
          <w:rFonts w:hint="eastAsia" w:ascii="宋体" w:hAnsi="宋体" w:eastAsia="宋体" w:cs="Times New Roman"/>
          <w:b/>
          <w:bCs/>
          <w:sz w:val="32"/>
          <w:szCs w:val="32"/>
        </w:rPr>
        <w:t>部门整体支出绩效评价指标表</w:t>
      </w:r>
    </w:p>
    <w:p>
      <w:pPr>
        <w:spacing w:line="360" w:lineRule="auto"/>
        <w:ind w:right="480" w:firstLine="480" w:firstLineChars="200"/>
        <w:jc w:val="center"/>
        <w:rPr>
          <w:rFonts w:ascii="黑体" w:hAnsi="黑体" w:eastAsia="黑体" w:cs="Arial"/>
          <w:sz w:val="24"/>
        </w:rPr>
      </w:pPr>
    </w:p>
    <w:tbl>
      <w:tblPr>
        <w:tblStyle w:val="5"/>
        <w:tblW w:w="9321" w:type="dxa"/>
        <w:tblInd w:w="0" w:type="dxa"/>
        <w:tblLayout w:type="fixed"/>
        <w:tblCellMar>
          <w:top w:w="0" w:type="dxa"/>
          <w:left w:w="108" w:type="dxa"/>
          <w:bottom w:w="0" w:type="dxa"/>
          <w:right w:w="108" w:type="dxa"/>
        </w:tblCellMar>
      </w:tblPr>
      <w:tblGrid>
        <w:gridCol w:w="660"/>
        <w:gridCol w:w="725"/>
        <w:gridCol w:w="712"/>
        <w:gridCol w:w="3682"/>
        <w:gridCol w:w="2888"/>
        <w:gridCol w:w="654"/>
      </w:tblGrid>
      <w:tr>
        <w:tblPrEx>
          <w:tblLayout w:type="fixed"/>
          <w:tblCellMar>
            <w:top w:w="0" w:type="dxa"/>
            <w:left w:w="108" w:type="dxa"/>
            <w:bottom w:w="0" w:type="dxa"/>
            <w:right w:w="108" w:type="dxa"/>
          </w:tblCellMar>
        </w:tblPrEx>
        <w:trPr>
          <w:trHeight w:val="270" w:hRule="atLeast"/>
        </w:trPr>
        <w:tc>
          <w:tcPr>
            <w:tcW w:w="660" w:type="dxa"/>
            <w:tcBorders>
              <w:top w:val="single" w:color="auto" w:sz="4" w:space="0"/>
              <w:left w:val="single" w:color="auto" w:sz="4" w:space="0"/>
              <w:bottom w:val="single" w:color="auto" w:sz="4" w:space="0"/>
              <w:right w:val="single" w:color="auto" w:sz="4" w:space="0"/>
            </w:tcBorders>
            <w:noWrap w:val="0"/>
            <w:vAlign w:val="center"/>
          </w:tcPr>
          <w:p>
            <w:pPr>
              <w:widowControl/>
              <w:spacing w:line="400" w:lineRule="exact"/>
              <w:jc w:val="left"/>
              <w:rPr>
                <w:rFonts w:ascii="黑体" w:hAnsi="黑体" w:eastAsia="黑体" w:cs="宋体"/>
                <w:kern w:val="0"/>
                <w:szCs w:val="21"/>
              </w:rPr>
            </w:pPr>
            <w:r>
              <w:rPr>
                <w:rFonts w:hint="eastAsia" w:ascii="黑体" w:hAnsi="黑体" w:eastAsia="黑体" w:cs="宋体"/>
                <w:kern w:val="0"/>
                <w:szCs w:val="21"/>
              </w:rPr>
              <w:t>一级指标</w:t>
            </w:r>
          </w:p>
        </w:tc>
        <w:tc>
          <w:tcPr>
            <w:tcW w:w="725" w:type="dxa"/>
            <w:tcBorders>
              <w:top w:val="single" w:color="auto" w:sz="4" w:space="0"/>
              <w:left w:val="nil"/>
              <w:bottom w:val="single" w:color="auto" w:sz="4" w:space="0"/>
              <w:right w:val="single" w:color="auto" w:sz="4" w:space="0"/>
            </w:tcBorders>
            <w:noWrap w:val="0"/>
            <w:vAlign w:val="center"/>
          </w:tcPr>
          <w:p>
            <w:pPr>
              <w:widowControl/>
              <w:spacing w:line="400" w:lineRule="exact"/>
              <w:jc w:val="center"/>
              <w:rPr>
                <w:rFonts w:ascii="黑体" w:hAnsi="黑体" w:eastAsia="黑体" w:cs="宋体"/>
                <w:kern w:val="0"/>
                <w:szCs w:val="21"/>
              </w:rPr>
            </w:pPr>
            <w:r>
              <w:rPr>
                <w:rFonts w:hint="eastAsia" w:ascii="黑体" w:hAnsi="黑体" w:eastAsia="黑体" w:cs="宋体"/>
                <w:kern w:val="0"/>
                <w:szCs w:val="21"/>
              </w:rPr>
              <w:t>二级指标</w:t>
            </w:r>
          </w:p>
        </w:tc>
        <w:tc>
          <w:tcPr>
            <w:tcW w:w="712" w:type="dxa"/>
            <w:tcBorders>
              <w:top w:val="single" w:color="auto" w:sz="4" w:space="0"/>
              <w:left w:val="nil"/>
              <w:bottom w:val="single" w:color="auto" w:sz="4" w:space="0"/>
              <w:right w:val="single" w:color="auto" w:sz="4" w:space="0"/>
            </w:tcBorders>
            <w:noWrap w:val="0"/>
            <w:vAlign w:val="center"/>
          </w:tcPr>
          <w:p>
            <w:pPr>
              <w:widowControl/>
              <w:spacing w:line="400" w:lineRule="exact"/>
              <w:jc w:val="center"/>
              <w:rPr>
                <w:rFonts w:ascii="黑体" w:hAnsi="黑体" w:eastAsia="黑体" w:cs="宋体"/>
                <w:kern w:val="0"/>
                <w:szCs w:val="21"/>
              </w:rPr>
            </w:pPr>
            <w:r>
              <w:rPr>
                <w:rFonts w:hint="eastAsia" w:ascii="黑体" w:hAnsi="黑体" w:eastAsia="黑体" w:cs="宋体"/>
                <w:kern w:val="0"/>
                <w:szCs w:val="21"/>
              </w:rPr>
              <w:t>三级指标</w:t>
            </w:r>
          </w:p>
        </w:tc>
        <w:tc>
          <w:tcPr>
            <w:tcW w:w="3682" w:type="dxa"/>
            <w:tcBorders>
              <w:top w:val="single" w:color="auto" w:sz="4" w:space="0"/>
              <w:left w:val="nil"/>
              <w:bottom w:val="single" w:color="auto" w:sz="4" w:space="0"/>
              <w:right w:val="single" w:color="auto" w:sz="4" w:space="0"/>
            </w:tcBorders>
            <w:noWrap w:val="0"/>
            <w:vAlign w:val="center"/>
          </w:tcPr>
          <w:p>
            <w:pPr>
              <w:widowControl/>
              <w:spacing w:line="400" w:lineRule="exact"/>
              <w:jc w:val="center"/>
              <w:rPr>
                <w:rFonts w:ascii="黑体" w:hAnsi="黑体" w:eastAsia="黑体" w:cs="宋体"/>
                <w:kern w:val="0"/>
                <w:szCs w:val="21"/>
              </w:rPr>
            </w:pPr>
            <w:r>
              <w:rPr>
                <w:rFonts w:hint="eastAsia" w:ascii="黑体" w:hAnsi="黑体" w:eastAsia="黑体" w:cs="宋体"/>
                <w:kern w:val="0"/>
                <w:szCs w:val="21"/>
              </w:rPr>
              <w:t>评价标准</w:t>
            </w:r>
          </w:p>
        </w:tc>
        <w:tc>
          <w:tcPr>
            <w:tcW w:w="2888" w:type="dxa"/>
            <w:tcBorders>
              <w:top w:val="single" w:color="auto" w:sz="4" w:space="0"/>
              <w:left w:val="nil"/>
              <w:bottom w:val="single" w:color="auto" w:sz="4" w:space="0"/>
              <w:right w:val="single" w:color="auto" w:sz="4" w:space="0"/>
            </w:tcBorders>
            <w:noWrap w:val="0"/>
            <w:vAlign w:val="center"/>
          </w:tcPr>
          <w:p>
            <w:pPr>
              <w:widowControl/>
              <w:spacing w:line="400" w:lineRule="exact"/>
              <w:jc w:val="center"/>
              <w:rPr>
                <w:rFonts w:ascii="黑体" w:hAnsi="黑体" w:eastAsia="黑体" w:cs="宋体"/>
                <w:kern w:val="0"/>
                <w:szCs w:val="21"/>
              </w:rPr>
            </w:pPr>
            <w:r>
              <w:rPr>
                <w:rFonts w:hint="eastAsia" w:ascii="黑体" w:hAnsi="黑体" w:eastAsia="黑体" w:cs="宋体"/>
                <w:kern w:val="0"/>
                <w:szCs w:val="21"/>
              </w:rPr>
              <w:t>备注</w:t>
            </w:r>
          </w:p>
        </w:tc>
        <w:tc>
          <w:tcPr>
            <w:tcW w:w="654" w:type="dxa"/>
            <w:tcBorders>
              <w:top w:val="single" w:color="auto" w:sz="4" w:space="0"/>
              <w:left w:val="nil"/>
              <w:bottom w:val="single" w:color="auto" w:sz="4" w:space="0"/>
              <w:right w:val="single" w:color="auto" w:sz="4" w:space="0"/>
            </w:tcBorders>
            <w:noWrap w:val="0"/>
            <w:vAlign w:val="center"/>
          </w:tcPr>
          <w:p>
            <w:pPr>
              <w:widowControl/>
              <w:spacing w:line="400" w:lineRule="exact"/>
              <w:jc w:val="center"/>
              <w:rPr>
                <w:rFonts w:ascii="黑体" w:hAnsi="黑体" w:eastAsia="黑体" w:cs="宋体"/>
                <w:kern w:val="0"/>
                <w:szCs w:val="21"/>
              </w:rPr>
            </w:pPr>
            <w:r>
              <w:rPr>
                <w:rFonts w:hint="eastAsia" w:ascii="黑体" w:hAnsi="黑体" w:eastAsia="黑体" w:cs="宋体"/>
                <w:kern w:val="0"/>
                <w:szCs w:val="21"/>
              </w:rPr>
              <w:t>得分</w:t>
            </w:r>
          </w:p>
        </w:tc>
      </w:tr>
      <w:tr>
        <w:tblPrEx>
          <w:tblLayout w:type="fixed"/>
          <w:tblCellMar>
            <w:top w:w="0" w:type="dxa"/>
            <w:left w:w="108" w:type="dxa"/>
            <w:bottom w:w="0" w:type="dxa"/>
            <w:right w:w="108" w:type="dxa"/>
          </w:tblCellMar>
        </w:tblPrEx>
        <w:trPr>
          <w:trHeight w:val="1520" w:hRule="atLeast"/>
        </w:trPr>
        <w:tc>
          <w:tcPr>
            <w:tcW w:w="660" w:type="dxa"/>
            <w:vMerge w:val="restart"/>
            <w:tcBorders>
              <w:top w:val="nil"/>
              <w:left w:val="single" w:color="auto" w:sz="4" w:space="0"/>
              <w:right w:val="single" w:color="auto" w:sz="4" w:space="0"/>
            </w:tcBorders>
            <w:noWrap w:val="0"/>
            <w:textDirection w:val="tbRlV"/>
            <w:vAlign w:val="center"/>
          </w:tcPr>
          <w:p>
            <w:pPr>
              <w:spacing w:line="400" w:lineRule="exact"/>
              <w:jc w:val="center"/>
              <w:rPr>
                <w:rFonts w:ascii="黑体" w:hAnsi="黑体" w:eastAsia="黑体" w:cs="宋体"/>
                <w:kern w:val="0"/>
                <w:szCs w:val="21"/>
              </w:rPr>
            </w:pPr>
            <w:r>
              <w:rPr>
                <w:rFonts w:hint="eastAsia" w:ascii="黑体" w:hAnsi="黑体" w:eastAsia="黑体" w:cs="宋体"/>
                <w:kern w:val="0"/>
                <w:szCs w:val="21"/>
              </w:rPr>
              <w:t>投    入</w:t>
            </w:r>
          </w:p>
        </w:tc>
        <w:tc>
          <w:tcPr>
            <w:tcW w:w="725" w:type="dxa"/>
            <w:tcBorders>
              <w:top w:val="nil"/>
              <w:left w:val="single" w:color="auto" w:sz="4" w:space="0"/>
              <w:bottom w:val="single" w:color="auto" w:sz="4" w:space="0"/>
              <w:right w:val="single" w:color="auto" w:sz="4" w:space="0"/>
            </w:tcBorders>
            <w:noWrap w:val="0"/>
            <w:vAlign w:val="center"/>
          </w:tcPr>
          <w:p>
            <w:pPr>
              <w:widowControl/>
              <w:spacing w:line="400" w:lineRule="exact"/>
              <w:rPr>
                <w:rFonts w:ascii="黑体" w:hAnsi="黑体" w:eastAsia="黑体" w:cs="宋体"/>
                <w:kern w:val="0"/>
                <w:szCs w:val="21"/>
              </w:rPr>
            </w:pPr>
            <w:r>
              <w:rPr>
                <w:rFonts w:hint="eastAsia" w:ascii="黑体" w:hAnsi="黑体" w:eastAsia="黑体" w:cs="宋体"/>
                <w:kern w:val="0"/>
                <w:szCs w:val="21"/>
              </w:rPr>
              <w:t>目标设定（8分）</w:t>
            </w:r>
          </w:p>
        </w:tc>
        <w:tc>
          <w:tcPr>
            <w:tcW w:w="712" w:type="dxa"/>
            <w:tcBorders>
              <w:top w:val="nil"/>
              <w:left w:val="nil"/>
              <w:bottom w:val="single" w:color="auto" w:sz="4" w:space="0"/>
              <w:right w:val="single" w:color="auto" w:sz="4" w:space="0"/>
            </w:tcBorders>
            <w:noWrap w:val="0"/>
            <w:vAlign w:val="center"/>
          </w:tcPr>
          <w:p>
            <w:pPr>
              <w:widowControl/>
              <w:spacing w:line="400" w:lineRule="exact"/>
              <w:jc w:val="left"/>
              <w:rPr>
                <w:rFonts w:ascii="黑体" w:hAnsi="黑体" w:eastAsia="黑体" w:cs="宋体"/>
                <w:kern w:val="0"/>
                <w:szCs w:val="21"/>
              </w:rPr>
            </w:pPr>
            <w:r>
              <w:rPr>
                <w:rFonts w:hint="eastAsia" w:ascii="黑体" w:hAnsi="黑体" w:eastAsia="黑体" w:cs="宋体"/>
                <w:kern w:val="0"/>
                <w:szCs w:val="21"/>
              </w:rPr>
              <w:t>绩效目标设定（8分）</w:t>
            </w:r>
          </w:p>
        </w:tc>
        <w:tc>
          <w:tcPr>
            <w:tcW w:w="3682" w:type="dxa"/>
            <w:tcBorders>
              <w:top w:val="nil"/>
              <w:left w:val="nil"/>
              <w:bottom w:val="single" w:color="auto" w:sz="4" w:space="0"/>
              <w:right w:val="single" w:color="auto" w:sz="4" w:space="0"/>
            </w:tcBorders>
            <w:noWrap w:val="0"/>
            <w:vAlign w:val="center"/>
          </w:tcPr>
          <w:p>
            <w:pPr>
              <w:widowControl/>
              <w:spacing w:line="400" w:lineRule="exact"/>
              <w:ind w:left="-531" w:leftChars="-253" w:firstLine="558" w:firstLineChars="266"/>
              <w:jc w:val="center"/>
              <w:rPr>
                <w:rFonts w:ascii="黑体" w:hAnsi="黑体" w:eastAsia="黑体" w:cs="宋体"/>
                <w:kern w:val="0"/>
                <w:szCs w:val="21"/>
              </w:rPr>
            </w:pPr>
            <w:r>
              <w:rPr>
                <w:rFonts w:hint="eastAsia" w:ascii="黑体" w:hAnsi="黑体" w:eastAsia="黑体" w:cs="宋体"/>
                <w:kern w:val="0"/>
                <w:szCs w:val="21"/>
              </w:rPr>
              <w:t>整体支出绩效目标设立是否符合国家法律法规和社会发展总的规划计4分；与部门“三定方案”和中远期发展相符计4分。</w:t>
            </w:r>
          </w:p>
        </w:tc>
        <w:tc>
          <w:tcPr>
            <w:tcW w:w="2888" w:type="dxa"/>
            <w:tcBorders>
              <w:top w:val="nil"/>
              <w:left w:val="nil"/>
              <w:bottom w:val="single" w:color="auto" w:sz="4" w:space="0"/>
              <w:right w:val="single" w:color="auto" w:sz="4" w:space="0"/>
            </w:tcBorders>
            <w:noWrap w:val="0"/>
            <w:vAlign w:val="center"/>
          </w:tcPr>
          <w:p>
            <w:pPr>
              <w:widowControl/>
              <w:numPr>
                <w:ilvl w:val="0"/>
                <w:numId w:val="5"/>
              </w:numPr>
              <w:spacing w:line="400" w:lineRule="exact"/>
              <w:ind w:right="-107" w:rightChars="-51"/>
              <w:jc w:val="left"/>
              <w:rPr>
                <w:rFonts w:ascii="黑体" w:hAnsi="黑体" w:eastAsia="黑体" w:cs="宋体"/>
                <w:kern w:val="0"/>
                <w:szCs w:val="21"/>
              </w:rPr>
            </w:pPr>
            <w:r>
              <w:rPr>
                <w:rFonts w:hint="eastAsia" w:ascii="黑体" w:hAnsi="黑体" w:eastAsia="黑体" w:cs="宋体"/>
                <w:kern w:val="0"/>
                <w:szCs w:val="21"/>
              </w:rPr>
              <w:t>按要求进行了绩效目标编制；</w:t>
            </w:r>
          </w:p>
          <w:p>
            <w:pPr>
              <w:widowControl/>
              <w:numPr>
                <w:ilvl w:val="0"/>
                <w:numId w:val="5"/>
              </w:numPr>
              <w:spacing w:line="400" w:lineRule="exact"/>
              <w:ind w:right="-107" w:rightChars="-51"/>
              <w:jc w:val="left"/>
              <w:rPr>
                <w:rFonts w:ascii="黑体" w:hAnsi="黑体" w:eastAsia="黑体" w:cs="宋体"/>
                <w:kern w:val="0"/>
                <w:szCs w:val="21"/>
              </w:rPr>
            </w:pPr>
            <w:r>
              <w:rPr>
                <w:rFonts w:hint="eastAsia" w:ascii="黑体" w:hAnsi="黑体" w:eastAsia="黑体" w:cs="宋体"/>
                <w:kern w:val="0"/>
                <w:szCs w:val="21"/>
              </w:rPr>
              <w:t>按“三定”方案确定职责；</w:t>
            </w:r>
          </w:p>
          <w:p>
            <w:pPr>
              <w:widowControl/>
              <w:numPr>
                <w:ilvl w:val="0"/>
                <w:numId w:val="5"/>
              </w:numPr>
              <w:spacing w:line="400" w:lineRule="exact"/>
              <w:ind w:right="-107" w:rightChars="-51"/>
              <w:jc w:val="left"/>
              <w:rPr>
                <w:rFonts w:ascii="黑体" w:hAnsi="黑体" w:eastAsia="黑体" w:cs="宋体"/>
                <w:kern w:val="0"/>
                <w:szCs w:val="21"/>
              </w:rPr>
            </w:pPr>
            <w:r>
              <w:rPr>
                <w:rFonts w:hint="eastAsia" w:ascii="黑体" w:hAnsi="黑体" w:eastAsia="黑体" w:cs="宋体"/>
                <w:kern w:val="0"/>
                <w:szCs w:val="21"/>
              </w:rPr>
              <w:t>制定了部门中远期发展规划。</w:t>
            </w:r>
          </w:p>
        </w:tc>
        <w:tc>
          <w:tcPr>
            <w:tcW w:w="654" w:type="dxa"/>
            <w:tcBorders>
              <w:top w:val="nil"/>
              <w:left w:val="nil"/>
              <w:bottom w:val="single" w:color="auto" w:sz="4" w:space="0"/>
              <w:right w:val="single" w:color="auto" w:sz="4" w:space="0"/>
            </w:tcBorders>
            <w:noWrap w:val="0"/>
            <w:vAlign w:val="center"/>
          </w:tcPr>
          <w:p>
            <w:pPr>
              <w:widowControl/>
              <w:spacing w:line="400" w:lineRule="exact"/>
              <w:jc w:val="center"/>
              <w:rPr>
                <w:rFonts w:ascii="黑体" w:hAnsi="黑体" w:eastAsia="黑体" w:cs="宋体"/>
                <w:kern w:val="0"/>
                <w:szCs w:val="21"/>
              </w:rPr>
            </w:pPr>
            <w:r>
              <w:rPr>
                <w:rFonts w:hint="eastAsia" w:ascii="黑体" w:hAnsi="黑体" w:eastAsia="黑体" w:cs="宋体"/>
                <w:kern w:val="0"/>
                <w:szCs w:val="21"/>
              </w:rPr>
              <w:t>7</w:t>
            </w:r>
          </w:p>
        </w:tc>
      </w:tr>
      <w:tr>
        <w:tblPrEx>
          <w:tblLayout w:type="fixed"/>
          <w:tblCellMar>
            <w:top w:w="0" w:type="dxa"/>
            <w:left w:w="108" w:type="dxa"/>
            <w:bottom w:w="0" w:type="dxa"/>
            <w:right w:w="108" w:type="dxa"/>
          </w:tblCellMar>
        </w:tblPrEx>
        <w:trPr>
          <w:trHeight w:val="1520" w:hRule="atLeast"/>
        </w:trPr>
        <w:tc>
          <w:tcPr>
            <w:tcW w:w="660" w:type="dxa"/>
            <w:vMerge w:val="continue"/>
            <w:tcBorders>
              <w:left w:val="single" w:color="auto" w:sz="4" w:space="0"/>
              <w:right w:val="single" w:color="auto" w:sz="4" w:space="0"/>
            </w:tcBorders>
            <w:noWrap w:val="0"/>
            <w:textDirection w:val="tbRlV"/>
            <w:vAlign w:val="center"/>
          </w:tcPr>
          <w:p>
            <w:pPr>
              <w:widowControl/>
              <w:spacing w:line="400" w:lineRule="exact"/>
              <w:jc w:val="center"/>
              <w:rPr>
                <w:rFonts w:ascii="黑体" w:hAnsi="黑体" w:eastAsia="黑体" w:cs="宋体"/>
                <w:kern w:val="0"/>
                <w:szCs w:val="21"/>
              </w:rPr>
            </w:pPr>
          </w:p>
        </w:tc>
        <w:tc>
          <w:tcPr>
            <w:tcW w:w="725" w:type="dxa"/>
            <w:vMerge w:val="restart"/>
            <w:tcBorders>
              <w:top w:val="nil"/>
              <w:left w:val="single" w:color="auto" w:sz="4" w:space="0"/>
              <w:bottom w:val="single" w:color="auto" w:sz="4" w:space="0"/>
              <w:right w:val="single" w:color="auto" w:sz="4" w:space="0"/>
            </w:tcBorders>
            <w:noWrap w:val="0"/>
            <w:vAlign w:val="center"/>
          </w:tcPr>
          <w:p>
            <w:pPr>
              <w:widowControl/>
              <w:spacing w:line="400" w:lineRule="exact"/>
              <w:jc w:val="center"/>
              <w:rPr>
                <w:rFonts w:ascii="黑体" w:hAnsi="黑体" w:eastAsia="黑体" w:cs="宋体"/>
                <w:kern w:val="0"/>
                <w:szCs w:val="21"/>
              </w:rPr>
            </w:pPr>
            <w:r>
              <w:rPr>
                <w:rFonts w:hint="eastAsia" w:ascii="黑体" w:hAnsi="黑体" w:eastAsia="黑体" w:cs="宋体"/>
                <w:kern w:val="0"/>
                <w:szCs w:val="21"/>
              </w:rPr>
              <w:t>预算配置(12分)</w:t>
            </w:r>
          </w:p>
        </w:tc>
        <w:tc>
          <w:tcPr>
            <w:tcW w:w="712" w:type="dxa"/>
            <w:tcBorders>
              <w:top w:val="nil"/>
              <w:left w:val="nil"/>
              <w:bottom w:val="single" w:color="auto" w:sz="4" w:space="0"/>
              <w:right w:val="single" w:color="auto" w:sz="4" w:space="0"/>
            </w:tcBorders>
            <w:noWrap w:val="0"/>
            <w:vAlign w:val="center"/>
          </w:tcPr>
          <w:p>
            <w:pPr>
              <w:widowControl/>
              <w:spacing w:line="400" w:lineRule="exact"/>
              <w:jc w:val="left"/>
              <w:rPr>
                <w:rFonts w:ascii="黑体" w:hAnsi="黑体" w:eastAsia="黑体" w:cs="宋体"/>
                <w:kern w:val="0"/>
                <w:szCs w:val="21"/>
              </w:rPr>
            </w:pPr>
            <w:r>
              <w:rPr>
                <w:rFonts w:hint="eastAsia" w:ascii="黑体" w:hAnsi="黑体" w:eastAsia="黑体" w:cs="宋体"/>
                <w:kern w:val="0"/>
                <w:szCs w:val="21"/>
              </w:rPr>
              <w:t>财政供养人员控制率（3分）</w:t>
            </w:r>
          </w:p>
        </w:tc>
        <w:tc>
          <w:tcPr>
            <w:tcW w:w="3682" w:type="dxa"/>
            <w:tcBorders>
              <w:top w:val="nil"/>
              <w:left w:val="nil"/>
              <w:bottom w:val="single" w:color="auto" w:sz="4" w:space="0"/>
              <w:right w:val="single" w:color="auto" w:sz="4" w:space="0"/>
            </w:tcBorders>
            <w:noWrap w:val="0"/>
            <w:vAlign w:val="center"/>
          </w:tcPr>
          <w:p>
            <w:pPr>
              <w:widowControl/>
              <w:spacing w:line="400" w:lineRule="exact"/>
              <w:ind w:left="-531" w:leftChars="-253" w:firstLine="558" w:firstLineChars="266"/>
              <w:rPr>
                <w:rFonts w:ascii="黑体" w:hAnsi="黑体" w:eastAsia="黑体" w:cs="宋体"/>
                <w:kern w:val="0"/>
                <w:szCs w:val="21"/>
              </w:rPr>
            </w:pPr>
            <w:r>
              <w:rPr>
                <w:rFonts w:hint="eastAsia" w:ascii="黑体" w:hAnsi="黑体" w:eastAsia="黑体" w:cs="宋体"/>
                <w:kern w:val="0"/>
                <w:szCs w:val="21"/>
              </w:rPr>
              <w:t>以100%为标准。</w:t>
            </w:r>
          </w:p>
          <w:p>
            <w:pPr>
              <w:widowControl/>
              <w:spacing w:line="400" w:lineRule="exact"/>
              <w:ind w:left="-531" w:leftChars="-253" w:firstLine="558" w:firstLineChars="266"/>
              <w:rPr>
                <w:rFonts w:ascii="黑体" w:hAnsi="黑体" w:eastAsia="黑体" w:cs="宋体"/>
                <w:kern w:val="0"/>
                <w:szCs w:val="21"/>
              </w:rPr>
            </w:pPr>
            <w:r>
              <w:rPr>
                <w:rFonts w:hint="eastAsia" w:ascii="黑体" w:hAnsi="黑体" w:eastAsia="黑体" w:cs="宋体"/>
                <w:kern w:val="0"/>
                <w:szCs w:val="21"/>
              </w:rPr>
              <w:t>在职人员控制率≦  100%，计3分；</w:t>
            </w:r>
          </w:p>
          <w:p>
            <w:pPr>
              <w:widowControl/>
              <w:spacing w:line="400" w:lineRule="exact"/>
              <w:ind w:left="-531" w:leftChars="-253" w:firstLine="558" w:firstLineChars="266"/>
              <w:jc w:val="center"/>
              <w:rPr>
                <w:rFonts w:ascii="黑体" w:hAnsi="黑体" w:eastAsia="黑体" w:cs="宋体"/>
                <w:kern w:val="0"/>
                <w:szCs w:val="21"/>
              </w:rPr>
            </w:pPr>
            <w:r>
              <w:rPr>
                <w:rFonts w:hint="eastAsia" w:ascii="黑体" w:hAnsi="黑体" w:eastAsia="黑体" w:cs="宋体"/>
                <w:kern w:val="0"/>
                <w:szCs w:val="21"/>
              </w:rPr>
              <w:t>每超过一个百分点扣0.5分，扣完为止。</w:t>
            </w:r>
          </w:p>
        </w:tc>
        <w:tc>
          <w:tcPr>
            <w:tcW w:w="2888" w:type="dxa"/>
            <w:tcBorders>
              <w:top w:val="nil"/>
              <w:left w:val="nil"/>
              <w:bottom w:val="single" w:color="auto" w:sz="4" w:space="0"/>
              <w:right w:val="single" w:color="auto" w:sz="4" w:space="0"/>
            </w:tcBorders>
            <w:noWrap w:val="0"/>
            <w:vAlign w:val="center"/>
          </w:tcPr>
          <w:p>
            <w:pPr>
              <w:widowControl/>
              <w:spacing w:line="400" w:lineRule="exact"/>
              <w:ind w:left="210" w:right="-107" w:rightChars="-51" w:hanging="210" w:hangingChars="100"/>
              <w:jc w:val="left"/>
              <w:rPr>
                <w:rFonts w:ascii="黑体" w:hAnsi="黑体" w:eastAsia="黑体" w:cs="宋体"/>
                <w:kern w:val="0"/>
                <w:szCs w:val="21"/>
              </w:rPr>
            </w:pPr>
            <w:r>
              <w:rPr>
                <w:rFonts w:hint="eastAsia" w:ascii="黑体" w:hAnsi="黑体" w:eastAsia="黑体" w:cs="宋体"/>
                <w:kern w:val="0"/>
                <w:szCs w:val="21"/>
              </w:rPr>
              <w:t>财政预算</w:t>
            </w:r>
            <w:r>
              <w:rPr>
                <w:rFonts w:hint="eastAsia" w:ascii="黑体" w:hAnsi="黑体" w:eastAsia="黑体" w:cs="宋体"/>
                <w:kern w:val="0"/>
                <w:szCs w:val="21"/>
                <w:lang w:val="en-US" w:eastAsia="zh-CN"/>
              </w:rPr>
              <w:t>6</w:t>
            </w:r>
            <w:r>
              <w:rPr>
                <w:rFonts w:hint="eastAsia" w:ascii="黑体" w:hAnsi="黑体" w:eastAsia="黑体" w:cs="宋体"/>
                <w:kern w:val="0"/>
                <w:szCs w:val="21"/>
              </w:rPr>
              <w:t>人，实际在职人</w:t>
            </w:r>
            <w:r>
              <w:rPr>
                <w:rFonts w:hint="eastAsia" w:ascii="黑体" w:hAnsi="黑体" w:eastAsia="黑体" w:cs="宋体"/>
                <w:kern w:val="0"/>
                <w:szCs w:val="21"/>
                <w:lang w:val="en-US" w:eastAsia="zh-CN"/>
              </w:rPr>
              <w:t>6</w:t>
            </w:r>
            <w:r>
              <w:rPr>
                <w:rFonts w:hint="eastAsia" w:ascii="黑体" w:hAnsi="黑体" w:eastAsia="黑体" w:cs="宋体"/>
                <w:kern w:val="0"/>
                <w:szCs w:val="21"/>
              </w:rPr>
              <w:t xml:space="preserve">，在职控制率= </w:t>
            </w:r>
            <w:r>
              <w:rPr>
                <w:rFonts w:hint="eastAsia" w:ascii="黑体" w:hAnsi="黑体" w:eastAsia="黑体" w:cs="宋体"/>
                <w:kern w:val="0"/>
                <w:szCs w:val="21"/>
                <w:lang w:val="en-US" w:eastAsia="zh-CN"/>
              </w:rPr>
              <w:t>6</w:t>
            </w:r>
            <w:r>
              <w:rPr>
                <w:rFonts w:hint="eastAsia" w:ascii="黑体" w:hAnsi="黑体" w:eastAsia="黑体" w:cs="宋体"/>
                <w:kern w:val="0"/>
                <w:szCs w:val="21"/>
              </w:rPr>
              <w:t xml:space="preserve"> /</w:t>
            </w:r>
            <w:r>
              <w:rPr>
                <w:rFonts w:hint="eastAsia" w:ascii="黑体" w:hAnsi="黑体" w:eastAsia="黑体" w:cs="宋体"/>
                <w:kern w:val="0"/>
                <w:szCs w:val="21"/>
                <w:lang w:val="en-US" w:eastAsia="zh-CN"/>
              </w:rPr>
              <w:t>6</w:t>
            </w:r>
            <w:r>
              <w:rPr>
                <w:rFonts w:hint="eastAsia" w:ascii="黑体" w:hAnsi="黑体" w:eastAsia="黑体" w:cs="宋体"/>
                <w:kern w:val="0"/>
                <w:szCs w:val="21"/>
              </w:rPr>
              <w:t xml:space="preserve">   *100%=100 %</w:t>
            </w:r>
          </w:p>
        </w:tc>
        <w:tc>
          <w:tcPr>
            <w:tcW w:w="654" w:type="dxa"/>
            <w:tcBorders>
              <w:top w:val="nil"/>
              <w:left w:val="nil"/>
              <w:bottom w:val="single" w:color="auto" w:sz="4" w:space="0"/>
              <w:right w:val="single" w:color="auto" w:sz="4" w:space="0"/>
            </w:tcBorders>
            <w:noWrap w:val="0"/>
            <w:vAlign w:val="center"/>
          </w:tcPr>
          <w:p>
            <w:pPr>
              <w:widowControl/>
              <w:spacing w:line="400" w:lineRule="exact"/>
              <w:jc w:val="center"/>
              <w:rPr>
                <w:rFonts w:ascii="黑体" w:hAnsi="黑体" w:eastAsia="黑体" w:cs="宋体"/>
                <w:kern w:val="0"/>
                <w:szCs w:val="21"/>
              </w:rPr>
            </w:pPr>
            <w:r>
              <w:rPr>
                <w:rFonts w:hint="eastAsia" w:ascii="黑体" w:hAnsi="黑体" w:eastAsia="黑体" w:cs="宋体"/>
                <w:kern w:val="0"/>
                <w:szCs w:val="21"/>
              </w:rPr>
              <w:t>3</w:t>
            </w:r>
          </w:p>
        </w:tc>
      </w:tr>
      <w:tr>
        <w:tblPrEx>
          <w:tblLayout w:type="fixed"/>
          <w:tblCellMar>
            <w:top w:w="0" w:type="dxa"/>
            <w:left w:w="108" w:type="dxa"/>
            <w:bottom w:w="0" w:type="dxa"/>
            <w:right w:w="108" w:type="dxa"/>
          </w:tblCellMar>
        </w:tblPrEx>
        <w:trPr>
          <w:trHeight w:val="960" w:hRule="atLeast"/>
        </w:trPr>
        <w:tc>
          <w:tcPr>
            <w:tcW w:w="660" w:type="dxa"/>
            <w:vMerge w:val="continue"/>
            <w:tcBorders>
              <w:left w:val="single" w:color="auto" w:sz="4" w:space="0"/>
              <w:right w:val="single" w:color="auto" w:sz="4" w:space="0"/>
            </w:tcBorders>
            <w:noWrap w:val="0"/>
            <w:vAlign w:val="center"/>
          </w:tcPr>
          <w:p>
            <w:pPr>
              <w:widowControl/>
              <w:spacing w:line="400" w:lineRule="exact"/>
              <w:jc w:val="left"/>
              <w:rPr>
                <w:rFonts w:ascii="黑体" w:hAnsi="黑体" w:eastAsia="黑体" w:cs="宋体"/>
                <w:kern w:val="0"/>
                <w:szCs w:val="21"/>
              </w:rPr>
            </w:pPr>
          </w:p>
        </w:tc>
        <w:tc>
          <w:tcPr>
            <w:tcW w:w="725" w:type="dxa"/>
            <w:vMerge w:val="continue"/>
            <w:tcBorders>
              <w:top w:val="nil"/>
              <w:left w:val="single" w:color="auto" w:sz="4" w:space="0"/>
              <w:bottom w:val="single" w:color="auto" w:sz="4" w:space="0"/>
              <w:right w:val="single" w:color="auto" w:sz="4" w:space="0"/>
            </w:tcBorders>
            <w:noWrap w:val="0"/>
            <w:vAlign w:val="center"/>
          </w:tcPr>
          <w:p>
            <w:pPr>
              <w:widowControl/>
              <w:spacing w:line="400" w:lineRule="exact"/>
              <w:jc w:val="left"/>
              <w:rPr>
                <w:rFonts w:ascii="黑体" w:hAnsi="黑体" w:eastAsia="黑体" w:cs="宋体"/>
                <w:kern w:val="0"/>
                <w:szCs w:val="21"/>
              </w:rPr>
            </w:pPr>
          </w:p>
        </w:tc>
        <w:tc>
          <w:tcPr>
            <w:tcW w:w="712" w:type="dxa"/>
            <w:tcBorders>
              <w:top w:val="nil"/>
              <w:left w:val="nil"/>
              <w:bottom w:val="single" w:color="auto" w:sz="4" w:space="0"/>
              <w:right w:val="single" w:color="auto" w:sz="4" w:space="0"/>
            </w:tcBorders>
            <w:noWrap w:val="0"/>
            <w:vAlign w:val="center"/>
          </w:tcPr>
          <w:p>
            <w:pPr>
              <w:widowControl/>
              <w:spacing w:line="400" w:lineRule="exact"/>
              <w:jc w:val="left"/>
              <w:rPr>
                <w:rFonts w:ascii="黑体" w:hAnsi="黑体" w:eastAsia="黑体" w:cs="宋体"/>
                <w:kern w:val="0"/>
                <w:szCs w:val="21"/>
              </w:rPr>
            </w:pPr>
            <w:r>
              <w:rPr>
                <w:rFonts w:hint="eastAsia" w:ascii="黑体" w:hAnsi="黑体" w:eastAsia="黑体" w:cs="宋体"/>
                <w:kern w:val="0"/>
                <w:szCs w:val="21"/>
              </w:rPr>
              <w:t>“</w:t>
            </w:r>
            <w:bookmarkStart w:id="3" w:name="_GoBack"/>
            <w:r>
              <w:rPr>
                <w:rFonts w:hint="eastAsia" w:ascii="黑体" w:hAnsi="黑体" w:eastAsia="黑体" w:cs="宋体"/>
                <w:kern w:val="0"/>
                <w:szCs w:val="21"/>
              </w:rPr>
              <w:t>三公</w:t>
            </w:r>
            <w:bookmarkEnd w:id="3"/>
            <w:r>
              <w:rPr>
                <w:rFonts w:hint="eastAsia" w:ascii="黑体" w:hAnsi="黑体" w:eastAsia="黑体" w:cs="宋体"/>
                <w:kern w:val="0"/>
                <w:szCs w:val="21"/>
              </w:rPr>
              <w:t>”经费变动率（4分）</w:t>
            </w:r>
          </w:p>
        </w:tc>
        <w:tc>
          <w:tcPr>
            <w:tcW w:w="3682" w:type="dxa"/>
            <w:tcBorders>
              <w:top w:val="nil"/>
              <w:left w:val="nil"/>
              <w:bottom w:val="single" w:color="auto" w:sz="4" w:space="0"/>
              <w:right w:val="single" w:color="auto" w:sz="4" w:space="0"/>
            </w:tcBorders>
            <w:noWrap w:val="0"/>
            <w:vAlign w:val="center"/>
          </w:tcPr>
          <w:p>
            <w:pPr>
              <w:widowControl/>
              <w:spacing w:line="400" w:lineRule="exact"/>
              <w:jc w:val="left"/>
              <w:rPr>
                <w:rFonts w:ascii="黑体" w:hAnsi="黑体" w:eastAsia="黑体" w:cs="宋体"/>
                <w:kern w:val="0"/>
                <w:szCs w:val="21"/>
              </w:rPr>
            </w:pPr>
            <w:r>
              <w:rPr>
                <w:rFonts w:hint="eastAsia" w:ascii="黑体" w:hAnsi="黑体" w:eastAsia="黑体" w:cs="宋体"/>
                <w:kern w:val="0"/>
                <w:szCs w:val="21"/>
              </w:rPr>
              <w:t>“三公</w:t>
            </w:r>
            <w:r>
              <w:rPr>
                <w:rFonts w:hint="eastAsia" w:ascii="黑体" w:hAnsi="黑体" w:eastAsia="黑体" w:cs="宋体"/>
                <w:kern w:val="0"/>
                <w:szCs w:val="21"/>
                <w:lang w:eastAsia="zh-CN"/>
              </w:rPr>
              <w:t>”</w:t>
            </w:r>
            <w:r>
              <w:rPr>
                <w:rFonts w:hint="eastAsia" w:ascii="黑体" w:hAnsi="黑体" w:eastAsia="黑体" w:cs="宋体"/>
                <w:kern w:val="0"/>
                <w:szCs w:val="21"/>
              </w:rPr>
              <w:t>经费变动率≦0，计6分；“三公经费”＞0，每超过一个百分点扣0.6分，扣完为止。</w:t>
            </w:r>
          </w:p>
        </w:tc>
        <w:tc>
          <w:tcPr>
            <w:tcW w:w="2888" w:type="dxa"/>
            <w:tcBorders>
              <w:top w:val="nil"/>
              <w:left w:val="nil"/>
              <w:bottom w:val="single" w:color="auto" w:sz="4" w:space="0"/>
              <w:right w:val="single" w:color="auto" w:sz="4" w:space="0"/>
            </w:tcBorders>
            <w:noWrap w:val="0"/>
            <w:vAlign w:val="center"/>
          </w:tcPr>
          <w:p>
            <w:pPr>
              <w:widowControl/>
              <w:spacing w:line="400" w:lineRule="exact"/>
              <w:jc w:val="left"/>
              <w:rPr>
                <w:rFonts w:ascii="黑体" w:hAnsi="黑体" w:eastAsia="黑体" w:cs="宋体"/>
                <w:kern w:val="0"/>
                <w:szCs w:val="21"/>
              </w:rPr>
            </w:pPr>
            <w:r>
              <w:rPr>
                <w:rFonts w:hint="eastAsia" w:ascii="黑体" w:hAnsi="黑体" w:eastAsia="黑体" w:cs="宋体"/>
                <w:kern w:val="0"/>
                <w:szCs w:val="21"/>
              </w:rPr>
              <w:t>上年度</w:t>
            </w:r>
            <w:r>
              <w:rPr>
                <w:rFonts w:hint="eastAsia" w:ascii="黑体" w:hAnsi="黑体" w:eastAsia="黑体" w:cs="宋体"/>
                <w:kern w:val="0"/>
                <w:szCs w:val="21"/>
                <w:lang w:eastAsia="zh-CN"/>
              </w:rPr>
              <w:t>“</w:t>
            </w:r>
            <w:r>
              <w:rPr>
                <w:rFonts w:hint="eastAsia" w:ascii="黑体" w:hAnsi="黑体" w:eastAsia="黑体" w:cs="宋体"/>
                <w:kern w:val="0"/>
                <w:szCs w:val="21"/>
              </w:rPr>
              <w:t>三公</w:t>
            </w:r>
            <w:r>
              <w:rPr>
                <w:rFonts w:hint="eastAsia" w:ascii="黑体" w:hAnsi="黑体" w:eastAsia="黑体" w:cs="宋体"/>
                <w:kern w:val="0"/>
                <w:szCs w:val="21"/>
                <w:lang w:eastAsia="zh-CN"/>
              </w:rPr>
              <w:t>”</w:t>
            </w:r>
            <w:r>
              <w:rPr>
                <w:rFonts w:hint="eastAsia" w:ascii="黑体" w:hAnsi="黑体" w:eastAsia="黑体" w:cs="宋体"/>
                <w:kern w:val="0"/>
                <w:szCs w:val="21"/>
              </w:rPr>
              <w:t xml:space="preserve">经费支出公务用车运行维护费 0元，接待费   </w:t>
            </w:r>
            <w:r>
              <w:rPr>
                <w:rFonts w:hint="eastAsia" w:ascii="黑体" w:hAnsi="黑体" w:eastAsia="黑体" w:cs="宋体"/>
                <w:kern w:val="0"/>
                <w:szCs w:val="21"/>
                <w:lang w:val="en-US" w:eastAsia="zh-CN"/>
              </w:rPr>
              <w:t>0</w:t>
            </w:r>
            <w:r>
              <w:rPr>
                <w:rFonts w:hint="eastAsia" w:ascii="黑体" w:hAnsi="黑体" w:eastAsia="黑体" w:cs="宋体"/>
                <w:kern w:val="0"/>
                <w:szCs w:val="21"/>
              </w:rPr>
              <w:t>.</w:t>
            </w:r>
            <w:r>
              <w:rPr>
                <w:rFonts w:hint="eastAsia" w:ascii="黑体" w:hAnsi="黑体" w:eastAsia="黑体" w:cs="宋体"/>
                <w:kern w:val="0"/>
                <w:szCs w:val="21"/>
                <w:lang w:val="en-US" w:eastAsia="zh-CN"/>
              </w:rPr>
              <w:t>5</w:t>
            </w:r>
            <w:r>
              <w:rPr>
                <w:rFonts w:hint="eastAsia" w:ascii="黑体" w:hAnsi="黑体" w:eastAsia="黑体" w:cs="宋体"/>
                <w:kern w:val="0"/>
                <w:szCs w:val="21"/>
              </w:rPr>
              <w:t>元，出国出境费，共计</w:t>
            </w:r>
            <w:r>
              <w:rPr>
                <w:rFonts w:hint="eastAsia" w:ascii="黑体" w:hAnsi="黑体" w:eastAsia="黑体" w:cs="宋体"/>
                <w:kern w:val="0"/>
                <w:szCs w:val="21"/>
                <w:lang w:val="en-US" w:eastAsia="zh-CN"/>
              </w:rPr>
              <w:t>0.5</w:t>
            </w:r>
            <w:r>
              <w:rPr>
                <w:rFonts w:hint="eastAsia" w:ascii="黑体" w:hAnsi="黑体" w:eastAsia="黑体" w:cs="宋体"/>
                <w:kern w:val="0"/>
                <w:szCs w:val="21"/>
              </w:rPr>
              <w:t xml:space="preserve">万元。本年公车运行维护费  </w:t>
            </w:r>
            <w:r>
              <w:rPr>
                <w:rFonts w:hint="eastAsia" w:ascii="黑体" w:hAnsi="黑体" w:eastAsia="黑体" w:cs="宋体"/>
                <w:kern w:val="0"/>
                <w:szCs w:val="21"/>
                <w:lang w:val="en-US" w:eastAsia="zh-CN"/>
              </w:rPr>
              <w:t>0</w:t>
            </w:r>
            <w:r>
              <w:rPr>
                <w:rFonts w:hint="eastAsia" w:ascii="黑体" w:hAnsi="黑体" w:eastAsia="黑体" w:cs="宋体"/>
                <w:kern w:val="0"/>
                <w:szCs w:val="21"/>
              </w:rPr>
              <w:t xml:space="preserve">万元，招待费 </w:t>
            </w:r>
            <w:r>
              <w:rPr>
                <w:rFonts w:hint="eastAsia" w:ascii="黑体" w:hAnsi="黑体" w:eastAsia="黑体" w:cs="宋体"/>
                <w:kern w:val="0"/>
                <w:szCs w:val="21"/>
                <w:lang w:val="en-US" w:eastAsia="zh-CN"/>
              </w:rPr>
              <w:t>0.4</w:t>
            </w:r>
            <w:r>
              <w:rPr>
                <w:rFonts w:hint="eastAsia" w:ascii="黑体" w:hAnsi="黑体" w:eastAsia="黑体" w:cs="宋体"/>
                <w:kern w:val="0"/>
                <w:szCs w:val="21"/>
              </w:rPr>
              <w:t>万元，共计</w:t>
            </w:r>
            <w:r>
              <w:rPr>
                <w:rFonts w:hint="eastAsia" w:ascii="黑体" w:hAnsi="黑体" w:eastAsia="黑体" w:cs="宋体"/>
                <w:kern w:val="0"/>
                <w:szCs w:val="21"/>
                <w:lang w:val="en-US" w:eastAsia="zh-CN"/>
              </w:rPr>
              <w:t>0.4</w:t>
            </w:r>
            <w:r>
              <w:rPr>
                <w:rFonts w:hint="eastAsia" w:ascii="黑体" w:hAnsi="黑体" w:eastAsia="黑体" w:cs="宋体"/>
                <w:kern w:val="0"/>
                <w:szCs w:val="21"/>
              </w:rPr>
              <w:t>万元。三公经费变动率=（本年</w:t>
            </w:r>
            <w:r>
              <w:rPr>
                <w:rFonts w:hint="eastAsia" w:ascii="黑体" w:hAnsi="黑体" w:eastAsia="黑体" w:cs="宋体"/>
                <w:kern w:val="0"/>
                <w:szCs w:val="21"/>
                <w:lang w:val="en-US" w:eastAsia="zh-CN"/>
              </w:rPr>
              <w:t>0</w:t>
            </w:r>
            <w:r>
              <w:rPr>
                <w:rFonts w:hint="eastAsia" w:ascii="黑体" w:hAnsi="黑体" w:eastAsia="黑体" w:cs="宋体"/>
                <w:kern w:val="0"/>
                <w:szCs w:val="21"/>
              </w:rPr>
              <w:t>.4-</w:t>
            </w:r>
            <w:r>
              <w:rPr>
                <w:rFonts w:hint="eastAsia" w:ascii="黑体" w:hAnsi="黑体" w:eastAsia="黑体" w:cs="宋体"/>
                <w:kern w:val="0"/>
                <w:szCs w:val="21"/>
                <w:lang w:val="en-US" w:eastAsia="zh-CN"/>
              </w:rPr>
              <w:t>0</w:t>
            </w:r>
            <w:r>
              <w:rPr>
                <w:rFonts w:hint="eastAsia" w:ascii="黑体" w:hAnsi="黑体" w:eastAsia="黑体" w:cs="宋体"/>
                <w:kern w:val="0"/>
                <w:szCs w:val="21"/>
              </w:rPr>
              <w:t>.5上年度）/上年度= －2</w:t>
            </w:r>
            <w:r>
              <w:rPr>
                <w:rFonts w:hint="eastAsia" w:ascii="黑体" w:hAnsi="黑体" w:eastAsia="黑体" w:cs="宋体"/>
                <w:kern w:val="0"/>
                <w:szCs w:val="21"/>
                <w:lang w:val="en-US" w:eastAsia="zh-CN"/>
              </w:rPr>
              <w:t>0</w:t>
            </w:r>
            <w:r>
              <w:rPr>
                <w:rFonts w:hint="eastAsia" w:ascii="黑体" w:hAnsi="黑体" w:eastAsia="黑体" w:cs="宋体"/>
                <w:kern w:val="0"/>
                <w:szCs w:val="21"/>
              </w:rPr>
              <w:t xml:space="preserve"> %</w:t>
            </w:r>
          </w:p>
        </w:tc>
        <w:tc>
          <w:tcPr>
            <w:tcW w:w="654" w:type="dxa"/>
            <w:tcBorders>
              <w:top w:val="nil"/>
              <w:left w:val="nil"/>
              <w:bottom w:val="single" w:color="auto" w:sz="4" w:space="0"/>
              <w:right w:val="single" w:color="auto" w:sz="4" w:space="0"/>
            </w:tcBorders>
            <w:noWrap w:val="0"/>
            <w:vAlign w:val="center"/>
          </w:tcPr>
          <w:p>
            <w:pPr>
              <w:widowControl/>
              <w:spacing w:line="400" w:lineRule="exact"/>
              <w:jc w:val="center"/>
              <w:rPr>
                <w:rFonts w:ascii="黑体" w:hAnsi="黑体" w:eastAsia="黑体" w:cs="宋体"/>
                <w:kern w:val="0"/>
                <w:szCs w:val="21"/>
              </w:rPr>
            </w:pPr>
            <w:r>
              <w:rPr>
                <w:rFonts w:hint="eastAsia" w:ascii="黑体" w:hAnsi="黑体" w:eastAsia="黑体" w:cs="宋体"/>
                <w:kern w:val="0"/>
                <w:szCs w:val="21"/>
              </w:rPr>
              <w:t>4</w:t>
            </w:r>
          </w:p>
        </w:tc>
      </w:tr>
      <w:tr>
        <w:tblPrEx>
          <w:tblLayout w:type="fixed"/>
          <w:tblCellMar>
            <w:top w:w="0" w:type="dxa"/>
            <w:left w:w="108" w:type="dxa"/>
            <w:bottom w:w="0" w:type="dxa"/>
            <w:right w:w="108" w:type="dxa"/>
          </w:tblCellMar>
        </w:tblPrEx>
        <w:trPr>
          <w:trHeight w:val="2160" w:hRule="atLeast"/>
        </w:trPr>
        <w:tc>
          <w:tcPr>
            <w:tcW w:w="660" w:type="dxa"/>
            <w:vMerge w:val="continue"/>
            <w:tcBorders>
              <w:left w:val="single" w:color="auto" w:sz="4" w:space="0"/>
              <w:bottom w:val="single" w:color="auto" w:sz="4" w:space="0"/>
              <w:right w:val="single" w:color="auto" w:sz="4" w:space="0"/>
            </w:tcBorders>
            <w:noWrap w:val="0"/>
            <w:vAlign w:val="center"/>
          </w:tcPr>
          <w:p>
            <w:pPr>
              <w:widowControl/>
              <w:spacing w:line="400" w:lineRule="exact"/>
              <w:jc w:val="left"/>
              <w:rPr>
                <w:rFonts w:ascii="黑体" w:hAnsi="黑体" w:eastAsia="黑体" w:cs="宋体"/>
                <w:kern w:val="0"/>
                <w:szCs w:val="21"/>
              </w:rPr>
            </w:pPr>
          </w:p>
        </w:tc>
        <w:tc>
          <w:tcPr>
            <w:tcW w:w="725" w:type="dxa"/>
            <w:vMerge w:val="continue"/>
            <w:tcBorders>
              <w:top w:val="nil"/>
              <w:left w:val="single" w:color="auto" w:sz="4" w:space="0"/>
              <w:bottom w:val="single" w:color="auto" w:sz="4" w:space="0"/>
              <w:right w:val="single" w:color="auto" w:sz="4" w:space="0"/>
            </w:tcBorders>
            <w:noWrap w:val="0"/>
            <w:vAlign w:val="center"/>
          </w:tcPr>
          <w:p>
            <w:pPr>
              <w:widowControl/>
              <w:spacing w:line="400" w:lineRule="exact"/>
              <w:jc w:val="left"/>
              <w:rPr>
                <w:rFonts w:ascii="黑体" w:hAnsi="黑体" w:eastAsia="黑体" w:cs="宋体"/>
                <w:kern w:val="0"/>
                <w:szCs w:val="21"/>
              </w:rPr>
            </w:pPr>
          </w:p>
        </w:tc>
        <w:tc>
          <w:tcPr>
            <w:tcW w:w="712" w:type="dxa"/>
            <w:tcBorders>
              <w:top w:val="nil"/>
              <w:left w:val="nil"/>
              <w:bottom w:val="single" w:color="auto" w:sz="4" w:space="0"/>
              <w:right w:val="single" w:color="auto" w:sz="4" w:space="0"/>
            </w:tcBorders>
            <w:noWrap w:val="0"/>
            <w:vAlign w:val="center"/>
          </w:tcPr>
          <w:p>
            <w:pPr>
              <w:widowControl/>
              <w:spacing w:line="400" w:lineRule="exact"/>
              <w:jc w:val="left"/>
              <w:rPr>
                <w:rFonts w:ascii="黑体" w:hAnsi="黑体" w:eastAsia="黑体" w:cs="宋体"/>
                <w:kern w:val="0"/>
                <w:szCs w:val="21"/>
              </w:rPr>
            </w:pPr>
            <w:r>
              <w:rPr>
                <w:rFonts w:hint="eastAsia" w:ascii="黑体" w:hAnsi="黑体" w:eastAsia="黑体" w:cs="宋体"/>
                <w:kern w:val="0"/>
                <w:szCs w:val="21"/>
              </w:rPr>
              <w:t>重点支出安排率（5分）</w:t>
            </w:r>
          </w:p>
        </w:tc>
        <w:tc>
          <w:tcPr>
            <w:tcW w:w="3682" w:type="dxa"/>
            <w:tcBorders>
              <w:top w:val="nil"/>
              <w:left w:val="nil"/>
              <w:bottom w:val="single" w:color="auto" w:sz="4" w:space="0"/>
              <w:right w:val="single" w:color="auto" w:sz="4" w:space="0"/>
            </w:tcBorders>
            <w:noWrap w:val="0"/>
            <w:vAlign w:val="center"/>
          </w:tcPr>
          <w:p>
            <w:pPr>
              <w:widowControl/>
              <w:spacing w:line="400" w:lineRule="exact"/>
              <w:jc w:val="left"/>
              <w:rPr>
                <w:rFonts w:ascii="黑体" w:hAnsi="黑体" w:eastAsia="黑体" w:cs="宋体"/>
                <w:kern w:val="0"/>
                <w:szCs w:val="21"/>
              </w:rPr>
            </w:pPr>
            <w:r>
              <w:rPr>
                <w:rFonts w:hint="eastAsia" w:ascii="黑体" w:hAnsi="黑体" w:eastAsia="黑体" w:cs="宋体"/>
                <w:kern w:val="0"/>
                <w:szCs w:val="21"/>
              </w:rPr>
              <w:t>重点支出安排率≥90%，计5分；</w:t>
            </w:r>
          </w:p>
          <w:p>
            <w:pPr>
              <w:widowControl/>
              <w:spacing w:line="400" w:lineRule="exact"/>
              <w:jc w:val="left"/>
              <w:rPr>
                <w:rFonts w:ascii="黑体" w:hAnsi="黑体" w:eastAsia="黑体" w:cs="宋体"/>
                <w:kern w:val="0"/>
                <w:szCs w:val="21"/>
              </w:rPr>
            </w:pPr>
            <w:r>
              <w:rPr>
                <w:rFonts w:hint="eastAsia" w:ascii="黑体" w:hAnsi="黑体" w:eastAsia="黑体" w:cs="宋体"/>
                <w:kern w:val="0"/>
                <w:szCs w:val="21"/>
              </w:rPr>
              <w:t>80%（含）-90%，计4分；                           70%（含）-80%，计3分；                           60%（含）-70%，计2分；                            低于60%不得分。</w:t>
            </w:r>
          </w:p>
        </w:tc>
        <w:tc>
          <w:tcPr>
            <w:tcW w:w="2888" w:type="dxa"/>
            <w:tcBorders>
              <w:top w:val="nil"/>
              <w:left w:val="nil"/>
              <w:bottom w:val="single" w:color="auto" w:sz="4" w:space="0"/>
              <w:right w:val="single" w:color="auto" w:sz="4" w:space="0"/>
            </w:tcBorders>
            <w:noWrap w:val="0"/>
            <w:vAlign w:val="center"/>
          </w:tcPr>
          <w:p>
            <w:pPr>
              <w:widowControl/>
              <w:spacing w:line="400" w:lineRule="exact"/>
              <w:jc w:val="left"/>
              <w:rPr>
                <w:rFonts w:ascii="黑体" w:hAnsi="黑体" w:eastAsia="黑体" w:cs="宋体"/>
                <w:kern w:val="0"/>
                <w:szCs w:val="21"/>
              </w:rPr>
            </w:pPr>
          </w:p>
        </w:tc>
        <w:tc>
          <w:tcPr>
            <w:tcW w:w="654" w:type="dxa"/>
            <w:tcBorders>
              <w:top w:val="nil"/>
              <w:left w:val="nil"/>
              <w:bottom w:val="single" w:color="auto" w:sz="4" w:space="0"/>
              <w:right w:val="single" w:color="auto" w:sz="4" w:space="0"/>
            </w:tcBorders>
            <w:noWrap w:val="0"/>
            <w:vAlign w:val="center"/>
          </w:tcPr>
          <w:p>
            <w:pPr>
              <w:widowControl/>
              <w:spacing w:line="400" w:lineRule="exact"/>
              <w:jc w:val="center"/>
              <w:rPr>
                <w:rFonts w:ascii="黑体" w:hAnsi="黑体" w:eastAsia="黑体" w:cs="宋体"/>
                <w:kern w:val="0"/>
                <w:szCs w:val="21"/>
              </w:rPr>
            </w:pPr>
            <w:r>
              <w:rPr>
                <w:rFonts w:hint="eastAsia" w:ascii="黑体" w:hAnsi="黑体" w:eastAsia="黑体" w:cs="宋体"/>
                <w:kern w:val="0"/>
                <w:szCs w:val="21"/>
              </w:rPr>
              <w:t>4</w:t>
            </w:r>
          </w:p>
        </w:tc>
      </w:tr>
      <w:tr>
        <w:tblPrEx>
          <w:tblLayout w:type="fixed"/>
          <w:tblCellMar>
            <w:top w:w="0" w:type="dxa"/>
            <w:left w:w="108" w:type="dxa"/>
            <w:bottom w:w="0" w:type="dxa"/>
            <w:right w:w="108" w:type="dxa"/>
          </w:tblCellMar>
        </w:tblPrEx>
        <w:trPr>
          <w:trHeight w:val="841" w:hRule="atLeast"/>
        </w:trPr>
        <w:tc>
          <w:tcPr>
            <w:tcW w:w="660" w:type="dxa"/>
            <w:vMerge w:val="restart"/>
            <w:tcBorders>
              <w:top w:val="nil"/>
              <w:left w:val="single" w:color="auto" w:sz="4" w:space="0"/>
              <w:bottom w:val="single" w:color="auto" w:sz="4" w:space="0"/>
              <w:right w:val="single" w:color="auto" w:sz="4" w:space="0"/>
            </w:tcBorders>
            <w:noWrap w:val="0"/>
            <w:textDirection w:val="tbRlV"/>
            <w:vAlign w:val="center"/>
          </w:tcPr>
          <w:p>
            <w:pPr>
              <w:widowControl/>
              <w:spacing w:line="400" w:lineRule="exact"/>
              <w:jc w:val="center"/>
              <w:rPr>
                <w:rFonts w:ascii="黑体" w:hAnsi="黑体" w:eastAsia="黑体" w:cs="宋体"/>
                <w:kern w:val="0"/>
                <w:szCs w:val="21"/>
              </w:rPr>
            </w:pPr>
            <w:r>
              <w:rPr>
                <w:rFonts w:hint="eastAsia" w:ascii="黑体" w:hAnsi="黑体" w:eastAsia="黑体" w:cs="宋体"/>
                <w:kern w:val="0"/>
                <w:szCs w:val="21"/>
              </w:rPr>
              <w:t>过    程</w:t>
            </w:r>
          </w:p>
        </w:tc>
        <w:tc>
          <w:tcPr>
            <w:tcW w:w="725" w:type="dxa"/>
            <w:vMerge w:val="restart"/>
            <w:tcBorders>
              <w:top w:val="nil"/>
              <w:left w:val="single" w:color="auto" w:sz="4" w:space="0"/>
              <w:bottom w:val="single" w:color="auto" w:sz="4" w:space="0"/>
              <w:right w:val="single" w:color="auto" w:sz="4" w:space="0"/>
            </w:tcBorders>
            <w:noWrap w:val="0"/>
            <w:vAlign w:val="center"/>
          </w:tcPr>
          <w:p>
            <w:pPr>
              <w:widowControl/>
              <w:spacing w:line="400" w:lineRule="exact"/>
              <w:jc w:val="center"/>
              <w:rPr>
                <w:rFonts w:ascii="黑体" w:hAnsi="黑体" w:eastAsia="黑体" w:cs="宋体"/>
                <w:kern w:val="0"/>
                <w:szCs w:val="21"/>
              </w:rPr>
            </w:pPr>
            <w:r>
              <w:rPr>
                <w:rFonts w:hint="eastAsia" w:ascii="黑体" w:hAnsi="黑体" w:eastAsia="黑体" w:cs="宋体"/>
                <w:kern w:val="0"/>
                <w:szCs w:val="21"/>
              </w:rPr>
              <w:t>预算执行（20分）</w:t>
            </w:r>
          </w:p>
        </w:tc>
        <w:tc>
          <w:tcPr>
            <w:tcW w:w="712" w:type="dxa"/>
            <w:tcBorders>
              <w:top w:val="nil"/>
              <w:left w:val="nil"/>
              <w:bottom w:val="single" w:color="auto" w:sz="4" w:space="0"/>
              <w:right w:val="single" w:color="auto" w:sz="4" w:space="0"/>
            </w:tcBorders>
            <w:noWrap w:val="0"/>
            <w:vAlign w:val="center"/>
          </w:tcPr>
          <w:p>
            <w:pPr>
              <w:widowControl/>
              <w:spacing w:line="400" w:lineRule="exact"/>
              <w:jc w:val="left"/>
              <w:rPr>
                <w:rFonts w:ascii="黑体" w:hAnsi="黑体" w:eastAsia="黑体" w:cs="宋体"/>
                <w:kern w:val="0"/>
                <w:szCs w:val="21"/>
              </w:rPr>
            </w:pPr>
            <w:r>
              <w:rPr>
                <w:rFonts w:hint="eastAsia" w:ascii="黑体" w:hAnsi="黑体" w:eastAsia="黑体" w:cs="宋体"/>
                <w:kern w:val="0"/>
                <w:szCs w:val="21"/>
              </w:rPr>
              <w:t>预算调整率（5分）</w:t>
            </w:r>
          </w:p>
        </w:tc>
        <w:tc>
          <w:tcPr>
            <w:tcW w:w="3682" w:type="dxa"/>
            <w:tcBorders>
              <w:top w:val="nil"/>
              <w:left w:val="nil"/>
              <w:bottom w:val="single" w:color="auto" w:sz="4" w:space="0"/>
              <w:right w:val="single" w:color="auto" w:sz="4" w:space="0"/>
            </w:tcBorders>
            <w:noWrap w:val="0"/>
            <w:vAlign w:val="center"/>
          </w:tcPr>
          <w:p>
            <w:pPr>
              <w:widowControl/>
              <w:spacing w:line="400" w:lineRule="exact"/>
              <w:jc w:val="left"/>
              <w:rPr>
                <w:rFonts w:ascii="黑体" w:hAnsi="黑体" w:eastAsia="黑体" w:cs="宋体"/>
                <w:kern w:val="0"/>
                <w:szCs w:val="21"/>
              </w:rPr>
            </w:pPr>
            <w:r>
              <w:rPr>
                <w:rFonts w:hint="eastAsia" w:ascii="黑体" w:hAnsi="黑体" w:eastAsia="黑体" w:cs="宋体"/>
                <w:kern w:val="0"/>
                <w:szCs w:val="21"/>
              </w:rPr>
              <w:t>预算调整率=0，计5分；                       0-10%（含），计4分；                          10-20%（含），计3分；                                     20-30%（含），计2分；                             大于30%不得分。</w:t>
            </w:r>
          </w:p>
        </w:tc>
        <w:tc>
          <w:tcPr>
            <w:tcW w:w="2888" w:type="dxa"/>
            <w:tcBorders>
              <w:top w:val="nil"/>
              <w:left w:val="nil"/>
              <w:bottom w:val="single" w:color="auto" w:sz="4" w:space="0"/>
              <w:right w:val="single" w:color="auto" w:sz="4" w:space="0"/>
            </w:tcBorders>
            <w:noWrap w:val="0"/>
            <w:vAlign w:val="center"/>
          </w:tcPr>
          <w:p>
            <w:pPr>
              <w:widowControl/>
              <w:spacing w:line="400" w:lineRule="exact"/>
              <w:jc w:val="left"/>
              <w:rPr>
                <w:rFonts w:ascii="黑体" w:hAnsi="黑体" w:eastAsia="黑体" w:cs="宋体"/>
                <w:kern w:val="0"/>
                <w:szCs w:val="21"/>
              </w:rPr>
            </w:pPr>
            <w:r>
              <w:rPr>
                <w:rFonts w:hint="eastAsia" w:ascii="黑体" w:hAnsi="黑体" w:eastAsia="黑体" w:cs="宋体"/>
                <w:kern w:val="0"/>
                <w:szCs w:val="21"/>
              </w:rPr>
              <w:t>预算调整率为=调整数/2015年预算执行数*100%=    %</w:t>
            </w:r>
          </w:p>
        </w:tc>
        <w:tc>
          <w:tcPr>
            <w:tcW w:w="654" w:type="dxa"/>
            <w:tcBorders>
              <w:top w:val="nil"/>
              <w:left w:val="nil"/>
              <w:bottom w:val="single" w:color="auto" w:sz="4" w:space="0"/>
              <w:right w:val="single" w:color="auto" w:sz="4" w:space="0"/>
            </w:tcBorders>
            <w:noWrap w:val="0"/>
            <w:vAlign w:val="center"/>
          </w:tcPr>
          <w:p>
            <w:pPr>
              <w:widowControl/>
              <w:spacing w:line="400" w:lineRule="exact"/>
              <w:jc w:val="center"/>
              <w:rPr>
                <w:rFonts w:ascii="黑体" w:hAnsi="黑体" w:eastAsia="黑体" w:cs="宋体"/>
                <w:kern w:val="0"/>
                <w:szCs w:val="21"/>
              </w:rPr>
            </w:pPr>
            <w:r>
              <w:rPr>
                <w:rFonts w:hint="eastAsia" w:ascii="黑体" w:hAnsi="黑体" w:eastAsia="黑体" w:cs="宋体"/>
                <w:kern w:val="0"/>
                <w:szCs w:val="21"/>
              </w:rPr>
              <w:t>4</w:t>
            </w:r>
          </w:p>
        </w:tc>
      </w:tr>
      <w:tr>
        <w:tblPrEx>
          <w:tblLayout w:type="fixed"/>
          <w:tblCellMar>
            <w:top w:w="0" w:type="dxa"/>
            <w:left w:w="108" w:type="dxa"/>
            <w:bottom w:w="0" w:type="dxa"/>
            <w:right w:w="108" w:type="dxa"/>
          </w:tblCellMar>
        </w:tblPrEx>
        <w:trPr>
          <w:trHeight w:val="1680" w:hRule="atLeast"/>
        </w:trPr>
        <w:tc>
          <w:tcPr>
            <w:tcW w:w="660" w:type="dxa"/>
            <w:vMerge w:val="continue"/>
            <w:tcBorders>
              <w:top w:val="nil"/>
              <w:left w:val="single" w:color="auto" w:sz="4" w:space="0"/>
              <w:bottom w:val="single" w:color="auto" w:sz="4" w:space="0"/>
              <w:right w:val="single" w:color="auto" w:sz="4" w:space="0"/>
            </w:tcBorders>
            <w:noWrap w:val="0"/>
            <w:vAlign w:val="center"/>
          </w:tcPr>
          <w:p>
            <w:pPr>
              <w:widowControl/>
              <w:spacing w:line="400" w:lineRule="exact"/>
              <w:jc w:val="left"/>
              <w:rPr>
                <w:rFonts w:ascii="黑体" w:hAnsi="黑体" w:eastAsia="黑体" w:cs="宋体"/>
                <w:kern w:val="0"/>
                <w:szCs w:val="21"/>
              </w:rPr>
            </w:pPr>
          </w:p>
        </w:tc>
        <w:tc>
          <w:tcPr>
            <w:tcW w:w="725" w:type="dxa"/>
            <w:vMerge w:val="continue"/>
            <w:tcBorders>
              <w:top w:val="nil"/>
              <w:left w:val="single" w:color="auto" w:sz="4" w:space="0"/>
              <w:bottom w:val="single" w:color="auto" w:sz="4" w:space="0"/>
              <w:right w:val="single" w:color="auto" w:sz="4" w:space="0"/>
            </w:tcBorders>
            <w:noWrap w:val="0"/>
            <w:vAlign w:val="center"/>
          </w:tcPr>
          <w:p>
            <w:pPr>
              <w:widowControl/>
              <w:spacing w:line="400" w:lineRule="exact"/>
              <w:jc w:val="left"/>
              <w:rPr>
                <w:rFonts w:ascii="黑体" w:hAnsi="黑体" w:eastAsia="黑体" w:cs="宋体"/>
                <w:kern w:val="0"/>
                <w:szCs w:val="21"/>
              </w:rPr>
            </w:pPr>
          </w:p>
        </w:tc>
        <w:tc>
          <w:tcPr>
            <w:tcW w:w="712" w:type="dxa"/>
            <w:tcBorders>
              <w:top w:val="single" w:color="auto" w:sz="4" w:space="0"/>
              <w:left w:val="single" w:color="auto" w:sz="4" w:space="0"/>
              <w:bottom w:val="single" w:color="auto" w:sz="4" w:space="0"/>
              <w:right w:val="single" w:color="auto" w:sz="4" w:space="0"/>
            </w:tcBorders>
            <w:noWrap w:val="0"/>
            <w:vAlign w:val="center"/>
          </w:tcPr>
          <w:p>
            <w:pPr>
              <w:widowControl/>
              <w:spacing w:line="400" w:lineRule="exact"/>
              <w:jc w:val="left"/>
              <w:rPr>
                <w:rFonts w:ascii="黑体" w:hAnsi="黑体" w:eastAsia="黑体" w:cs="宋体"/>
                <w:kern w:val="0"/>
                <w:szCs w:val="21"/>
              </w:rPr>
            </w:pPr>
            <w:r>
              <w:rPr>
                <w:rFonts w:hint="eastAsia" w:ascii="黑体" w:hAnsi="黑体" w:eastAsia="黑体" w:cs="宋体"/>
                <w:kern w:val="0"/>
                <w:szCs w:val="21"/>
              </w:rPr>
              <w:t>支出进度（4分）</w:t>
            </w:r>
          </w:p>
        </w:tc>
        <w:tc>
          <w:tcPr>
            <w:tcW w:w="3682" w:type="dxa"/>
            <w:tcBorders>
              <w:top w:val="single" w:color="auto" w:sz="4" w:space="0"/>
              <w:left w:val="single" w:color="auto" w:sz="4" w:space="0"/>
              <w:bottom w:val="single" w:color="auto" w:sz="4" w:space="0"/>
              <w:right w:val="single" w:color="auto" w:sz="4" w:space="0"/>
            </w:tcBorders>
            <w:noWrap w:val="0"/>
            <w:vAlign w:val="center"/>
          </w:tcPr>
          <w:p>
            <w:pPr>
              <w:widowControl/>
              <w:spacing w:line="400" w:lineRule="exact"/>
              <w:jc w:val="left"/>
              <w:rPr>
                <w:rFonts w:ascii="黑体" w:hAnsi="黑体" w:eastAsia="黑体" w:cs="宋体"/>
                <w:kern w:val="0"/>
                <w:szCs w:val="21"/>
              </w:rPr>
            </w:pPr>
            <w:r>
              <w:rPr>
                <w:rFonts w:hint="eastAsia" w:ascii="黑体" w:hAnsi="黑体" w:eastAsia="黑体" w:cs="宋体"/>
                <w:kern w:val="0"/>
                <w:szCs w:val="21"/>
              </w:rPr>
              <w:t>每年春节前下达全部专项资金的50%；9月底前所有专项资金指标全部下达完。 每出现一个专项未按进度完成资金下达扣0.5分，扣完为止。</w:t>
            </w:r>
          </w:p>
        </w:tc>
        <w:tc>
          <w:tcPr>
            <w:tcW w:w="2888" w:type="dxa"/>
            <w:tcBorders>
              <w:top w:val="single" w:color="auto" w:sz="4" w:space="0"/>
              <w:left w:val="single" w:color="auto" w:sz="4" w:space="0"/>
              <w:bottom w:val="single" w:color="auto" w:sz="4" w:space="0"/>
              <w:right w:val="single" w:color="auto" w:sz="4" w:space="0"/>
            </w:tcBorders>
            <w:noWrap w:val="0"/>
            <w:vAlign w:val="center"/>
          </w:tcPr>
          <w:p>
            <w:pPr>
              <w:widowControl/>
              <w:spacing w:line="400" w:lineRule="exact"/>
              <w:jc w:val="left"/>
              <w:rPr>
                <w:rFonts w:ascii="黑体" w:hAnsi="黑体" w:eastAsia="黑体" w:cs="宋体"/>
                <w:kern w:val="0"/>
                <w:szCs w:val="21"/>
              </w:rPr>
            </w:pPr>
          </w:p>
        </w:tc>
        <w:tc>
          <w:tcPr>
            <w:tcW w:w="654" w:type="dxa"/>
            <w:tcBorders>
              <w:top w:val="single" w:color="auto" w:sz="4" w:space="0"/>
              <w:left w:val="single" w:color="auto" w:sz="4" w:space="0"/>
              <w:bottom w:val="single" w:color="auto" w:sz="4" w:space="0"/>
              <w:right w:val="single" w:color="auto" w:sz="4" w:space="0"/>
            </w:tcBorders>
            <w:noWrap w:val="0"/>
            <w:vAlign w:val="center"/>
          </w:tcPr>
          <w:p>
            <w:pPr>
              <w:widowControl/>
              <w:spacing w:line="400" w:lineRule="exact"/>
              <w:jc w:val="center"/>
              <w:rPr>
                <w:rFonts w:ascii="黑体" w:hAnsi="黑体" w:eastAsia="黑体" w:cs="宋体"/>
                <w:kern w:val="0"/>
                <w:szCs w:val="21"/>
              </w:rPr>
            </w:pPr>
            <w:r>
              <w:rPr>
                <w:rFonts w:hint="eastAsia" w:ascii="黑体" w:hAnsi="黑体" w:eastAsia="黑体" w:cs="宋体"/>
                <w:kern w:val="0"/>
                <w:szCs w:val="21"/>
              </w:rPr>
              <w:t>2</w:t>
            </w:r>
          </w:p>
        </w:tc>
      </w:tr>
      <w:tr>
        <w:tblPrEx>
          <w:tblLayout w:type="fixed"/>
          <w:tblCellMar>
            <w:top w:w="0" w:type="dxa"/>
            <w:left w:w="108" w:type="dxa"/>
            <w:bottom w:w="0" w:type="dxa"/>
            <w:right w:w="108" w:type="dxa"/>
          </w:tblCellMar>
        </w:tblPrEx>
        <w:trPr>
          <w:trHeight w:val="416" w:hRule="atLeast"/>
        </w:trPr>
        <w:tc>
          <w:tcPr>
            <w:tcW w:w="660" w:type="dxa"/>
            <w:vMerge w:val="continue"/>
            <w:tcBorders>
              <w:top w:val="nil"/>
              <w:left w:val="single" w:color="auto" w:sz="4" w:space="0"/>
              <w:bottom w:val="single" w:color="auto" w:sz="4" w:space="0"/>
              <w:right w:val="single" w:color="auto" w:sz="4" w:space="0"/>
            </w:tcBorders>
            <w:noWrap w:val="0"/>
            <w:vAlign w:val="center"/>
          </w:tcPr>
          <w:p>
            <w:pPr>
              <w:widowControl/>
              <w:spacing w:line="400" w:lineRule="exact"/>
              <w:jc w:val="left"/>
              <w:rPr>
                <w:rFonts w:ascii="黑体" w:hAnsi="黑体" w:eastAsia="黑体" w:cs="宋体"/>
                <w:kern w:val="0"/>
                <w:szCs w:val="21"/>
              </w:rPr>
            </w:pPr>
          </w:p>
        </w:tc>
        <w:tc>
          <w:tcPr>
            <w:tcW w:w="725" w:type="dxa"/>
            <w:vMerge w:val="continue"/>
            <w:tcBorders>
              <w:top w:val="nil"/>
              <w:left w:val="single" w:color="auto" w:sz="4" w:space="0"/>
              <w:bottom w:val="single" w:color="auto" w:sz="4" w:space="0"/>
              <w:right w:val="single" w:color="auto" w:sz="4" w:space="0"/>
            </w:tcBorders>
            <w:noWrap w:val="0"/>
            <w:vAlign w:val="center"/>
          </w:tcPr>
          <w:p>
            <w:pPr>
              <w:widowControl/>
              <w:spacing w:line="400" w:lineRule="exact"/>
              <w:jc w:val="left"/>
              <w:rPr>
                <w:rFonts w:ascii="黑体" w:hAnsi="黑体" w:eastAsia="黑体" w:cs="宋体"/>
                <w:kern w:val="0"/>
                <w:szCs w:val="21"/>
              </w:rPr>
            </w:pPr>
          </w:p>
        </w:tc>
        <w:tc>
          <w:tcPr>
            <w:tcW w:w="712" w:type="dxa"/>
            <w:tcBorders>
              <w:top w:val="single" w:color="auto" w:sz="4" w:space="0"/>
              <w:left w:val="nil"/>
              <w:bottom w:val="single" w:color="auto" w:sz="4" w:space="0"/>
              <w:right w:val="single" w:color="auto" w:sz="4" w:space="0"/>
            </w:tcBorders>
            <w:noWrap w:val="0"/>
            <w:vAlign w:val="center"/>
          </w:tcPr>
          <w:p>
            <w:pPr>
              <w:widowControl/>
              <w:spacing w:line="400" w:lineRule="exact"/>
              <w:jc w:val="left"/>
              <w:rPr>
                <w:rFonts w:ascii="黑体" w:hAnsi="黑体" w:eastAsia="黑体" w:cs="宋体"/>
                <w:kern w:val="0"/>
                <w:szCs w:val="21"/>
              </w:rPr>
            </w:pPr>
            <w:r>
              <w:rPr>
                <w:rFonts w:hint="eastAsia" w:ascii="黑体" w:hAnsi="黑体" w:eastAsia="黑体" w:cs="宋体"/>
                <w:kern w:val="0"/>
                <w:szCs w:val="21"/>
              </w:rPr>
              <w:t>资金结余（5分）</w:t>
            </w:r>
          </w:p>
        </w:tc>
        <w:tc>
          <w:tcPr>
            <w:tcW w:w="3682" w:type="dxa"/>
            <w:tcBorders>
              <w:top w:val="single" w:color="auto" w:sz="4" w:space="0"/>
              <w:left w:val="nil"/>
              <w:bottom w:val="single" w:color="auto" w:sz="4" w:space="0"/>
              <w:right w:val="single" w:color="auto" w:sz="4" w:space="0"/>
            </w:tcBorders>
            <w:noWrap w:val="0"/>
            <w:vAlign w:val="center"/>
          </w:tcPr>
          <w:p>
            <w:pPr>
              <w:widowControl/>
              <w:spacing w:line="400" w:lineRule="exact"/>
              <w:jc w:val="left"/>
              <w:rPr>
                <w:rFonts w:ascii="黑体" w:hAnsi="黑体" w:eastAsia="黑体" w:cs="宋体"/>
                <w:kern w:val="0"/>
                <w:szCs w:val="21"/>
              </w:rPr>
            </w:pPr>
            <w:r>
              <w:rPr>
                <w:rFonts w:hint="eastAsia" w:ascii="黑体" w:hAnsi="黑体" w:eastAsia="黑体" w:cs="宋体"/>
                <w:kern w:val="0"/>
                <w:szCs w:val="21"/>
              </w:rPr>
              <w:t xml:space="preserve">无结余，5分；              </w:t>
            </w:r>
          </w:p>
          <w:p>
            <w:pPr>
              <w:widowControl/>
              <w:spacing w:line="400" w:lineRule="exact"/>
              <w:jc w:val="left"/>
              <w:rPr>
                <w:rFonts w:ascii="黑体" w:hAnsi="黑体" w:eastAsia="黑体" w:cs="宋体"/>
                <w:kern w:val="0"/>
                <w:szCs w:val="21"/>
              </w:rPr>
            </w:pPr>
            <w:r>
              <w:rPr>
                <w:rFonts w:hint="eastAsia" w:ascii="黑体" w:hAnsi="黑体" w:eastAsia="黑体" w:cs="宋体"/>
                <w:kern w:val="0"/>
                <w:szCs w:val="21"/>
              </w:rPr>
              <w:t>有结余，但不超过上年结转，4分；                       结余超过上年结转，不得分。</w:t>
            </w:r>
          </w:p>
        </w:tc>
        <w:tc>
          <w:tcPr>
            <w:tcW w:w="2888" w:type="dxa"/>
            <w:tcBorders>
              <w:top w:val="single" w:color="auto" w:sz="4" w:space="0"/>
              <w:left w:val="nil"/>
              <w:bottom w:val="single" w:color="auto" w:sz="4" w:space="0"/>
              <w:right w:val="single" w:color="auto" w:sz="4" w:space="0"/>
            </w:tcBorders>
            <w:noWrap w:val="0"/>
            <w:vAlign w:val="center"/>
          </w:tcPr>
          <w:p>
            <w:pPr>
              <w:widowControl/>
              <w:spacing w:line="400" w:lineRule="exact"/>
              <w:jc w:val="left"/>
              <w:rPr>
                <w:rFonts w:ascii="黑体" w:hAnsi="黑体" w:eastAsia="黑体" w:cs="宋体"/>
                <w:kern w:val="0"/>
                <w:szCs w:val="21"/>
              </w:rPr>
            </w:pPr>
          </w:p>
        </w:tc>
        <w:tc>
          <w:tcPr>
            <w:tcW w:w="654" w:type="dxa"/>
            <w:tcBorders>
              <w:top w:val="single" w:color="auto" w:sz="4" w:space="0"/>
              <w:left w:val="nil"/>
              <w:bottom w:val="single" w:color="auto" w:sz="4" w:space="0"/>
              <w:right w:val="single" w:color="auto" w:sz="4" w:space="0"/>
            </w:tcBorders>
            <w:noWrap w:val="0"/>
            <w:vAlign w:val="center"/>
          </w:tcPr>
          <w:p>
            <w:pPr>
              <w:widowControl/>
              <w:spacing w:line="400" w:lineRule="exact"/>
              <w:jc w:val="center"/>
              <w:rPr>
                <w:rFonts w:ascii="黑体" w:hAnsi="黑体" w:eastAsia="黑体" w:cs="宋体"/>
                <w:kern w:val="0"/>
                <w:szCs w:val="21"/>
              </w:rPr>
            </w:pPr>
            <w:r>
              <w:rPr>
                <w:rFonts w:hint="eastAsia" w:ascii="黑体" w:hAnsi="黑体" w:eastAsia="黑体" w:cs="宋体"/>
                <w:kern w:val="0"/>
                <w:szCs w:val="21"/>
              </w:rPr>
              <w:t>5</w:t>
            </w:r>
          </w:p>
        </w:tc>
      </w:tr>
      <w:tr>
        <w:tblPrEx>
          <w:tblLayout w:type="fixed"/>
          <w:tblCellMar>
            <w:top w:w="0" w:type="dxa"/>
            <w:left w:w="108" w:type="dxa"/>
            <w:bottom w:w="0" w:type="dxa"/>
            <w:right w:w="108" w:type="dxa"/>
          </w:tblCellMar>
        </w:tblPrEx>
        <w:trPr>
          <w:trHeight w:val="960" w:hRule="atLeast"/>
        </w:trPr>
        <w:tc>
          <w:tcPr>
            <w:tcW w:w="660" w:type="dxa"/>
            <w:vMerge w:val="continue"/>
            <w:tcBorders>
              <w:top w:val="nil"/>
              <w:left w:val="single" w:color="auto" w:sz="4" w:space="0"/>
              <w:bottom w:val="single" w:color="auto" w:sz="4" w:space="0"/>
              <w:right w:val="single" w:color="auto" w:sz="4" w:space="0"/>
            </w:tcBorders>
            <w:noWrap w:val="0"/>
            <w:vAlign w:val="center"/>
          </w:tcPr>
          <w:p>
            <w:pPr>
              <w:widowControl/>
              <w:spacing w:line="400" w:lineRule="exact"/>
              <w:jc w:val="left"/>
              <w:rPr>
                <w:rFonts w:ascii="黑体" w:hAnsi="黑体" w:eastAsia="黑体" w:cs="宋体"/>
                <w:kern w:val="0"/>
                <w:szCs w:val="21"/>
              </w:rPr>
            </w:pPr>
          </w:p>
        </w:tc>
        <w:tc>
          <w:tcPr>
            <w:tcW w:w="725" w:type="dxa"/>
            <w:vMerge w:val="continue"/>
            <w:tcBorders>
              <w:top w:val="nil"/>
              <w:left w:val="single" w:color="auto" w:sz="4" w:space="0"/>
              <w:bottom w:val="single" w:color="auto" w:sz="4" w:space="0"/>
              <w:right w:val="single" w:color="auto" w:sz="4" w:space="0"/>
            </w:tcBorders>
            <w:noWrap w:val="0"/>
            <w:vAlign w:val="center"/>
          </w:tcPr>
          <w:p>
            <w:pPr>
              <w:widowControl/>
              <w:spacing w:line="400" w:lineRule="exact"/>
              <w:jc w:val="left"/>
              <w:rPr>
                <w:rFonts w:ascii="黑体" w:hAnsi="黑体" w:eastAsia="黑体" w:cs="宋体"/>
                <w:kern w:val="0"/>
                <w:szCs w:val="21"/>
              </w:rPr>
            </w:pPr>
          </w:p>
        </w:tc>
        <w:tc>
          <w:tcPr>
            <w:tcW w:w="712" w:type="dxa"/>
            <w:tcBorders>
              <w:top w:val="single" w:color="auto" w:sz="4" w:space="0"/>
              <w:left w:val="single" w:color="auto" w:sz="4" w:space="0"/>
              <w:bottom w:val="single" w:color="auto" w:sz="4" w:space="0"/>
              <w:right w:val="single" w:color="auto" w:sz="4" w:space="0"/>
            </w:tcBorders>
            <w:noWrap w:val="0"/>
            <w:vAlign w:val="center"/>
          </w:tcPr>
          <w:p>
            <w:pPr>
              <w:widowControl/>
              <w:spacing w:line="400" w:lineRule="exact"/>
              <w:jc w:val="left"/>
              <w:rPr>
                <w:rFonts w:ascii="黑体" w:hAnsi="黑体" w:eastAsia="黑体" w:cs="宋体"/>
                <w:kern w:val="0"/>
                <w:szCs w:val="21"/>
              </w:rPr>
            </w:pPr>
            <w:r>
              <w:rPr>
                <w:rFonts w:hint="eastAsia" w:ascii="黑体" w:hAnsi="黑体" w:eastAsia="黑体" w:cs="宋体"/>
                <w:kern w:val="0"/>
                <w:szCs w:val="21"/>
              </w:rPr>
              <w:t>“三公”经费控制率（6分）</w:t>
            </w:r>
          </w:p>
        </w:tc>
        <w:tc>
          <w:tcPr>
            <w:tcW w:w="3682" w:type="dxa"/>
            <w:tcBorders>
              <w:top w:val="single" w:color="auto" w:sz="4" w:space="0"/>
              <w:left w:val="single" w:color="auto" w:sz="4" w:space="0"/>
              <w:bottom w:val="single" w:color="auto" w:sz="4" w:space="0"/>
              <w:right w:val="single" w:color="auto" w:sz="4" w:space="0"/>
            </w:tcBorders>
            <w:noWrap w:val="0"/>
            <w:vAlign w:val="center"/>
          </w:tcPr>
          <w:p>
            <w:pPr>
              <w:widowControl/>
              <w:spacing w:line="400" w:lineRule="exact"/>
              <w:jc w:val="left"/>
              <w:rPr>
                <w:rFonts w:ascii="黑体" w:hAnsi="黑体" w:eastAsia="黑体" w:cs="宋体"/>
                <w:kern w:val="0"/>
                <w:szCs w:val="21"/>
              </w:rPr>
            </w:pPr>
            <w:r>
              <w:rPr>
                <w:rFonts w:hint="eastAsia" w:ascii="黑体" w:hAnsi="黑体" w:eastAsia="黑体" w:cs="宋体"/>
                <w:kern w:val="0"/>
                <w:szCs w:val="21"/>
              </w:rPr>
              <w:t>以100%为标准。三公经费控制率≦100%，计6分；每超过一个百分点扣1分，扣完为止。</w:t>
            </w:r>
          </w:p>
        </w:tc>
        <w:tc>
          <w:tcPr>
            <w:tcW w:w="2888" w:type="dxa"/>
            <w:tcBorders>
              <w:top w:val="single" w:color="auto" w:sz="4" w:space="0"/>
              <w:left w:val="single" w:color="auto" w:sz="4" w:space="0"/>
              <w:bottom w:val="single" w:color="auto" w:sz="4" w:space="0"/>
              <w:right w:val="single" w:color="auto" w:sz="4" w:space="0"/>
            </w:tcBorders>
            <w:noWrap w:val="0"/>
            <w:vAlign w:val="center"/>
          </w:tcPr>
          <w:p>
            <w:pPr>
              <w:widowControl/>
              <w:spacing w:line="400" w:lineRule="exact"/>
              <w:jc w:val="left"/>
              <w:rPr>
                <w:rFonts w:ascii="黑体" w:hAnsi="黑体" w:eastAsia="黑体" w:cs="宋体"/>
                <w:kern w:val="0"/>
                <w:szCs w:val="21"/>
              </w:rPr>
            </w:pPr>
          </w:p>
        </w:tc>
        <w:tc>
          <w:tcPr>
            <w:tcW w:w="654" w:type="dxa"/>
            <w:tcBorders>
              <w:top w:val="nil"/>
              <w:left w:val="single" w:color="auto" w:sz="4" w:space="0"/>
              <w:bottom w:val="single" w:color="auto" w:sz="4" w:space="0"/>
              <w:right w:val="single" w:color="auto" w:sz="4" w:space="0"/>
            </w:tcBorders>
            <w:noWrap w:val="0"/>
            <w:vAlign w:val="center"/>
          </w:tcPr>
          <w:p>
            <w:pPr>
              <w:widowControl/>
              <w:spacing w:line="400" w:lineRule="exact"/>
              <w:jc w:val="center"/>
              <w:rPr>
                <w:rFonts w:ascii="黑体" w:hAnsi="黑体" w:eastAsia="黑体" w:cs="宋体"/>
                <w:kern w:val="0"/>
                <w:szCs w:val="21"/>
              </w:rPr>
            </w:pPr>
            <w:r>
              <w:rPr>
                <w:rFonts w:hint="eastAsia" w:ascii="黑体" w:hAnsi="黑体" w:eastAsia="黑体" w:cs="宋体"/>
                <w:kern w:val="0"/>
                <w:szCs w:val="21"/>
              </w:rPr>
              <w:t>5</w:t>
            </w:r>
          </w:p>
        </w:tc>
      </w:tr>
      <w:tr>
        <w:tblPrEx>
          <w:tblLayout w:type="fixed"/>
          <w:tblCellMar>
            <w:top w:w="0" w:type="dxa"/>
            <w:left w:w="108" w:type="dxa"/>
            <w:bottom w:w="0" w:type="dxa"/>
            <w:right w:w="108" w:type="dxa"/>
          </w:tblCellMar>
        </w:tblPrEx>
        <w:trPr>
          <w:trHeight w:val="1920" w:hRule="atLeast"/>
        </w:trPr>
        <w:tc>
          <w:tcPr>
            <w:tcW w:w="660" w:type="dxa"/>
            <w:vMerge w:val="restart"/>
            <w:tcBorders>
              <w:top w:val="nil"/>
              <w:left w:val="single" w:color="auto" w:sz="4" w:space="0"/>
              <w:bottom w:val="single" w:color="auto" w:sz="4" w:space="0"/>
              <w:right w:val="single" w:color="auto" w:sz="4" w:space="0"/>
            </w:tcBorders>
            <w:noWrap w:val="0"/>
            <w:textDirection w:val="tbRlV"/>
            <w:vAlign w:val="center"/>
          </w:tcPr>
          <w:p>
            <w:pPr>
              <w:widowControl/>
              <w:spacing w:line="400" w:lineRule="exact"/>
              <w:jc w:val="center"/>
              <w:rPr>
                <w:rFonts w:ascii="黑体" w:hAnsi="黑体" w:eastAsia="黑体" w:cs="宋体"/>
                <w:kern w:val="0"/>
                <w:szCs w:val="21"/>
              </w:rPr>
            </w:pPr>
            <w:r>
              <w:rPr>
                <w:rFonts w:hint="eastAsia" w:ascii="黑体" w:hAnsi="黑体" w:eastAsia="黑体" w:cs="宋体"/>
                <w:kern w:val="0"/>
                <w:szCs w:val="21"/>
              </w:rPr>
              <w:t>过      程</w:t>
            </w:r>
          </w:p>
        </w:tc>
        <w:tc>
          <w:tcPr>
            <w:tcW w:w="725" w:type="dxa"/>
            <w:vMerge w:val="restart"/>
            <w:tcBorders>
              <w:top w:val="nil"/>
              <w:left w:val="single" w:color="auto" w:sz="4" w:space="0"/>
              <w:bottom w:val="single" w:color="auto" w:sz="4" w:space="0"/>
              <w:right w:val="single" w:color="auto" w:sz="4" w:space="0"/>
            </w:tcBorders>
            <w:noWrap w:val="0"/>
            <w:vAlign w:val="center"/>
          </w:tcPr>
          <w:p>
            <w:pPr>
              <w:widowControl/>
              <w:spacing w:line="400" w:lineRule="exact"/>
              <w:jc w:val="left"/>
              <w:rPr>
                <w:rFonts w:ascii="黑体" w:hAnsi="黑体" w:eastAsia="黑体" w:cs="宋体"/>
                <w:kern w:val="0"/>
                <w:szCs w:val="21"/>
              </w:rPr>
            </w:pPr>
            <w:r>
              <w:rPr>
                <w:rFonts w:hint="eastAsia" w:ascii="黑体" w:hAnsi="黑体" w:eastAsia="黑体" w:cs="宋体"/>
                <w:kern w:val="0"/>
                <w:szCs w:val="21"/>
              </w:rPr>
              <w:t>预算管理（21分）</w:t>
            </w:r>
          </w:p>
        </w:tc>
        <w:tc>
          <w:tcPr>
            <w:tcW w:w="712" w:type="dxa"/>
            <w:tcBorders>
              <w:top w:val="single" w:color="auto" w:sz="4" w:space="0"/>
              <w:left w:val="nil"/>
              <w:bottom w:val="single" w:color="auto" w:sz="4" w:space="0"/>
              <w:right w:val="single" w:color="auto" w:sz="4" w:space="0"/>
            </w:tcBorders>
            <w:noWrap w:val="0"/>
            <w:vAlign w:val="center"/>
          </w:tcPr>
          <w:p>
            <w:pPr>
              <w:widowControl/>
              <w:spacing w:line="400" w:lineRule="exact"/>
              <w:jc w:val="left"/>
              <w:rPr>
                <w:rFonts w:ascii="黑体" w:hAnsi="黑体" w:eastAsia="黑体" w:cs="宋体"/>
                <w:kern w:val="0"/>
                <w:szCs w:val="21"/>
              </w:rPr>
            </w:pPr>
            <w:r>
              <w:rPr>
                <w:rFonts w:hint="eastAsia" w:ascii="黑体" w:hAnsi="黑体" w:eastAsia="黑体" w:cs="宋体"/>
                <w:kern w:val="0"/>
                <w:szCs w:val="21"/>
              </w:rPr>
              <w:t>管理制度健全性（6分）</w:t>
            </w:r>
          </w:p>
        </w:tc>
        <w:tc>
          <w:tcPr>
            <w:tcW w:w="3682" w:type="dxa"/>
            <w:tcBorders>
              <w:top w:val="single" w:color="auto" w:sz="4" w:space="0"/>
              <w:left w:val="nil"/>
              <w:bottom w:val="single" w:color="auto" w:sz="4" w:space="0"/>
              <w:right w:val="single" w:color="auto" w:sz="4" w:space="0"/>
            </w:tcBorders>
            <w:noWrap w:val="0"/>
            <w:vAlign w:val="center"/>
          </w:tcPr>
          <w:p>
            <w:pPr>
              <w:widowControl/>
              <w:spacing w:line="400" w:lineRule="exact"/>
              <w:jc w:val="left"/>
              <w:rPr>
                <w:rFonts w:ascii="黑体" w:hAnsi="黑体" w:eastAsia="黑体" w:cs="宋体"/>
                <w:kern w:val="0"/>
                <w:szCs w:val="21"/>
              </w:rPr>
            </w:pPr>
            <w:r>
              <w:rPr>
                <w:rFonts w:hint="eastAsia" w:ascii="黑体" w:hAnsi="黑体" w:eastAsia="黑体" w:cs="宋体"/>
                <w:kern w:val="0"/>
                <w:szCs w:val="21"/>
              </w:rPr>
              <w:t>1、制定或具有预算资金管理办法，内部财务管理制度、会计核算制度等管理制度，2分； 2、相关管理制度合法、合规、完整，2分； 3、相关管理制度得到有效执行，2分。</w:t>
            </w:r>
          </w:p>
        </w:tc>
        <w:tc>
          <w:tcPr>
            <w:tcW w:w="2888" w:type="dxa"/>
            <w:tcBorders>
              <w:top w:val="single" w:color="auto" w:sz="4" w:space="0"/>
              <w:left w:val="nil"/>
              <w:bottom w:val="single" w:color="auto" w:sz="4" w:space="0"/>
              <w:right w:val="single" w:color="auto" w:sz="4" w:space="0"/>
            </w:tcBorders>
            <w:noWrap w:val="0"/>
            <w:vAlign w:val="center"/>
          </w:tcPr>
          <w:p>
            <w:pPr>
              <w:widowControl/>
              <w:spacing w:line="400" w:lineRule="exact"/>
              <w:jc w:val="left"/>
              <w:rPr>
                <w:rFonts w:ascii="黑体" w:hAnsi="黑体" w:eastAsia="黑体" w:cs="宋体"/>
                <w:kern w:val="0"/>
                <w:szCs w:val="21"/>
              </w:rPr>
            </w:pPr>
          </w:p>
        </w:tc>
        <w:tc>
          <w:tcPr>
            <w:tcW w:w="654" w:type="dxa"/>
            <w:tcBorders>
              <w:top w:val="nil"/>
              <w:left w:val="nil"/>
              <w:bottom w:val="single" w:color="auto" w:sz="4" w:space="0"/>
              <w:right w:val="single" w:color="auto" w:sz="4" w:space="0"/>
            </w:tcBorders>
            <w:noWrap w:val="0"/>
            <w:vAlign w:val="center"/>
          </w:tcPr>
          <w:p>
            <w:pPr>
              <w:widowControl/>
              <w:spacing w:line="400" w:lineRule="exact"/>
              <w:jc w:val="center"/>
              <w:rPr>
                <w:rFonts w:ascii="黑体" w:hAnsi="黑体" w:eastAsia="黑体" w:cs="宋体"/>
                <w:kern w:val="0"/>
                <w:szCs w:val="21"/>
              </w:rPr>
            </w:pPr>
            <w:r>
              <w:rPr>
                <w:rFonts w:hint="eastAsia" w:ascii="黑体" w:hAnsi="黑体" w:eastAsia="黑体" w:cs="宋体"/>
                <w:kern w:val="0"/>
                <w:szCs w:val="21"/>
              </w:rPr>
              <w:t>6</w:t>
            </w:r>
          </w:p>
        </w:tc>
      </w:tr>
      <w:tr>
        <w:tblPrEx>
          <w:tblLayout w:type="fixed"/>
          <w:tblCellMar>
            <w:top w:w="0" w:type="dxa"/>
            <w:left w:w="108" w:type="dxa"/>
            <w:bottom w:w="0" w:type="dxa"/>
            <w:right w:w="108" w:type="dxa"/>
          </w:tblCellMar>
        </w:tblPrEx>
        <w:trPr>
          <w:trHeight w:val="416" w:hRule="atLeast"/>
        </w:trPr>
        <w:tc>
          <w:tcPr>
            <w:tcW w:w="660" w:type="dxa"/>
            <w:vMerge w:val="continue"/>
            <w:tcBorders>
              <w:top w:val="nil"/>
              <w:left w:val="single" w:color="auto" w:sz="4" w:space="0"/>
              <w:bottom w:val="single" w:color="auto" w:sz="4" w:space="0"/>
              <w:right w:val="single" w:color="auto" w:sz="4" w:space="0"/>
            </w:tcBorders>
            <w:noWrap w:val="0"/>
            <w:vAlign w:val="center"/>
          </w:tcPr>
          <w:p>
            <w:pPr>
              <w:widowControl/>
              <w:spacing w:line="400" w:lineRule="exact"/>
              <w:jc w:val="left"/>
              <w:rPr>
                <w:rFonts w:ascii="黑体" w:hAnsi="黑体" w:eastAsia="黑体" w:cs="宋体"/>
                <w:kern w:val="0"/>
                <w:szCs w:val="21"/>
              </w:rPr>
            </w:pPr>
          </w:p>
        </w:tc>
        <w:tc>
          <w:tcPr>
            <w:tcW w:w="725" w:type="dxa"/>
            <w:vMerge w:val="continue"/>
            <w:tcBorders>
              <w:top w:val="nil"/>
              <w:left w:val="single" w:color="auto" w:sz="4" w:space="0"/>
              <w:bottom w:val="single" w:color="auto" w:sz="4" w:space="0"/>
              <w:right w:val="single" w:color="auto" w:sz="4" w:space="0"/>
            </w:tcBorders>
            <w:noWrap w:val="0"/>
            <w:vAlign w:val="center"/>
          </w:tcPr>
          <w:p>
            <w:pPr>
              <w:widowControl/>
              <w:spacing w:line="400" w:lineRule="exact"/>
              <w:jc w:val="left"/>
              <w:rPr>
                <w:rFonts w:ascii="黑体" w:hAnsi="黑体" w:eastAsia="黑体" w:cs="宋体"/>
                <w:kern w:val="0"/>
                <w:szCs w:val="21"/>
              </w:rPr>
            </w:pPr>
          </w:p>
        </w:tc>
        <w:tc>
          <w:tcPr>
            <w:tcW w:w="712" w:type="dxa"/>
            <w:tcBorders>
              <w:top w:val="single" w:color="auto" w:sz="4" w:space="0"/>
              <w:left w:val="single" w:color="auto" w:sz="4" w:space="0"/>
              <w:bottom w:val="single" w:color="auto" w:sz="4" w:space="0"/>
              <w:right w:val="single" w:color="auto" w:sz="4" w:space="0"/>
            </w:tcBorders>
            <w:noWrap w:val="0"/>
            <w:vAlign w:val="center"/>
          </w:tcPr>
          <w:p>
            <w:pPr>
              <w:widowControl/>
              <w:spacing w:line="400" w:lineRule="exact"/>
              <w:jc w:val="left"/>
              <w:rPr>
                <w:rFonts w:ascii="黑体" w:hAnsi="黑体" w:eastAsia="黑体" w:cs="宋体"/>
                <w:kern w:val="0"/>
                <w:szCs w:val="21"/>
              </w:rPr>
            </w:pPr>
            <w:r>
              <w:rPr>
                <w:rFonts w:hint="eastAsia" w:ascii="黑体" w:hAnsi="黑体" w:eastAsia="黑体" w:cs="宋体"/>
                <w:kern w:val="0"/>
                <w:szCs w:val="21"/>
              </w:rPr>
              <w:t>资金使用合规性（10分）</w:t>
            </w:r>
          </w:p>
        </w:tc>
        <w:tc>
          <w:tcPr>
            <w:tcW w:w="3682" w:type="dxa"/>
            <w:tcBorders>
              <w:top w:val="single" w:color="auto" w:sz="4" w:space="0"/>
              <w:left w:val="single" w:color="auto" w:sz="4" w:space="0"/>
              <w:bottom w:val="single" w:color="auto" w:sz="4" w:space="0"/>
              <w:right w:val="single" w:color="auto" w:sz="4" w:space="0"/>
            </w:tcBorders>
            <w:noWrap w:val="0"/>
            <w:vAlign w:val="center"/>
          </w:tcPr>
          <w:p>
            <w:pPr>
              <w:widowControl/>
              <w:spacing w:line="400" w:lineRule="exact"/>
              <w:jc w:val="left"/>
              <w:rPr>
                <w:rFonts w:ascii="黑体" w:hAnsi="黑体" w:eastAsia="黑体" w:cs="宋体"/>
                <w:kern w:val="0"/>
                <w:szCs w:val="21"/>
              </w:rPr>
            </w:pPr>
            <w:r>
              <w:rPr>
                <w:rFonts w:hint="eastAsia" w:ascii="黑体" w:hAnsi="黑体" w:eastAsia="黑体" w:cs="宋体"/>
                <w:kern w:val="0"/>
                <w:szCs w:val="21"/>
              </w:rPr>
              <w:t xml:space="preserve">1、支出符合国家财经法规和财务管理制度规定以及有关专项资金管理办法的规定； </w:t>
            </w:r>
          </w:p>
          <w:p>
            <w:pPr>
              <w:widowControl/>
              <w:spacing w:line="400" w:lineRule="exact"/>
              <w:jc w:val="left"/>
              <w:rPr>
                <w:rFonts w:ascii="黑体" w:hAnsi="黑体" w:eastAsia="黑体" w:cs="宋体"/>
                <w:kern w:val="0"/>
                <w:szCs w:val="21"/>
              </w:rPr>
            </w:pPr>
            <w:r>
              <w:rPr>
                <w:rFonts w:hint="eastAsia" w:ascii="黑体" w:hAnsi="黑体" w:eastAsia="黑体" w:cs="宋体"/>
                <w:kern w:val="0"/>
                <w:szCs w:val="21"/>
              </w:rPr>
              <w:t xml:space="preserve">2、资金拨付有完整的审批程序和手续；               </w:t>
            </w:r>
          </w:p>
          <w:p>
            <w:pPr>
              <w:widowControl/>
              <w:spacing w:line="400" w:lineRule="exact"/>
              <w:jc w:val="left"/>
              <w:rPr>
                <w:rFonts w:ascii="黑体" w:hAnsi="黑体" w:eastAsia="黑体" w:cs="宋体"/>
                <w:kern w:val="0"/>
                <w:szCs w:val="21"/>
              </w:rPr>
            </w:pPr>
            <w:r>
              <w:rPr>
                <w:rFonts w:hint="eastAsia" w:ascii="黑体" w:hAnsi="黑体" w:eastAsia="黑体" w:cs="宋体"/>
                <w:kern w:val="0"/>
                <w:szCs w:val="21"/>
              </w:rPr>
              <w:t xml:space="preserve">3、项目支出按规定经过评估论证；                      4、支出按照部门预算批复的用途使用；                      5、资金使用无截留、挤占、挪用、虚列支出等情况。 </w:t>
            </w:r>
          </w:p>
          <w:p>
            <w:pPr>
              <w:widowControl/>
              <w:spacing w:line="400" w:lineRule="exact"/>
              <w:jc w:val="left"/>
              <w:rPr>
                <w:rFonts w:ascii="黑体" w:hAnsi="黑体" w:eastAsia="黑体" w:cs="宋体"/>
                <w:kern w:val="0"/>
                <w:szCs w:val="21"/>
              </w:rPr>
            </w:pPr>
            <w:r>
              <w:rPr>
                <w:rFonts w:hint="eastAsia" w:ascii="黑体" w:hAnsi="黑体" w:eastAsia="黑体" w:cs="宋体"/>
                <w:kern w:val="0"/>
                <w:szCs w:val="21"/>
              </w:rPr>
              <w:t xml:space="preserve">6、按《采购法》实行政府采购； </w:t>
            </w:r>
          </w:p>
          <w:p>
            <w:pPr>
              <w:widowControl/>
              <w:spacing w:line="400" w:lineRule="exact"/>
              <w:jc w:val="left"/>
              <w:rPr>
                <w:rFonts w:ascii="黑体" w:hAnsi="黑体" w:eastAsia="黑体" w:cs="宋体"/>
                <w:kern w:val="0"/>
                <w:szCs w:val="21"/>
              </w:rPr>
            </w:pPr>
            <w:r>
              <w:rPr>
                <w:rFonts w:hint="eastAsia" w:ascii="黑体" w:hAnsi="黑体" w:eastAsia="黑体" w:cs="宋体"/>
                <w:kern w:val="0"/>
                <w:szCs w:val="21"/>
              </w:rPr>
              <w:t>7、按照《湖南省非税收入管理条例》规范收费的。 以上情况每出现一例不符合要求的扣1分，扣完为止。</w:t>
            </w:r>
          </w:p>
        </w:tc>
        <w:tc>
          <w:tcPr>
            <w:tcW w:w="2888" w:type="dxa"/>
            <w:tcBorders>
              <w:top w:val="single" w:color="auto" w:sz="4" w:space="0"/>
              <w:left w:val="single" w:color="auto" w:sz="4" w:space="0"/>
              <w:bottom w:val="single" w:color="auto" w:sz="4" w:space="0"/>
              <w:right w:val="single" w:color="auto" w:sz="4" w:space="0"/>
            </w:tcBorders>
            <w:noWrap w:val="0"/>
            <w:vAlign w:val="center"/>
          </w:tcPr>
          <w:p>
            <w:pPr>
              <w:widowControl/>
              <w:spacing w:line="400" w:lineRule="exact"/>
              <w:jc w:val="left"/>
              <w:rPr>
                <w:rFonts w:ascii="黑体" w:hAnsi="黑体" w:eastAsia="黑体" w:cs="宋体"/>
                <w:kern w:val="0"/>
                <w:szCs w:val="21"/>
              </w:rPr>
            </w:pPr>
          </w:p>
        </w:tc>
        <w:tc>
          <w:tcPr>
            <w:tcW w:w="654" w:type="dxa"/>
            <w:tcBorders>
              <w:top w:val="single" w:color="auto" w:sz="4" w:space="0"/>
              <w:left w:val="single" w:color="auto" w:sz="4" w:space="0"/>
              <w:bottom w:val="single" w:color="auto" w:sz="4" w:space="0"/>
              <w:right w:val="single" w:color="auto" w:sz="4" w:space="0"/>
            </w:tcBorders>
            <w:noWrap w:val="0"/>
            <w:vAlign w:val="center"/>
          </w:tcPr>
          <w:p>
            <w:pPr>
              <w:widowControl/>
              <w:spacing w:line="400" w:lineRule="exact"/>
              <w:jc w:val="center"/>
              <w:rPr>
                <w:rFonts w:ascii="黑体" w:hAnsi="黑体" w:eastAsia="黑体" w:cs="宋体"/>
                <w:kern w:val="0"/>
                <w:szCs w:val="21"/>
              </w:rPr>
            </w:pPr>
            <w:r>
              <w:rPr>
                <w:rFonts w:ascii="黑体" w:hAnsi="黑体" w:eastAsia="黑体" w:cs="宋体"/>
                <w:kern w:val="0"/>
                <w:szCs w:val="21"/>
              </w:rPr>
              <w:t>9</w:t>
            </w:r>
          </w:p>
        </w:tc>
      </w:tr>
      <w:tr>
        <w:tblPrEx>
          <w:tblLayout w:type="fixed"/>
          <w:tblCellMar>
            <w:top w:w="0" w:type="dxa"/>
            <w:left w:w="108" w:type="dxa"/>
            <w:bottom w:w="0" w:type="dxa"/>
            <w:right w:w="108" w:type="dxa"/>
          </w:tblCellMar>
        </w:tblPrEx>
        <w:trPr>
          <w:trHeight w:val="2400" w:hRule="atLeast"/>
        </w:trPr>
        <w:tc>
          <w:tcPr>
            <w:tcW w:w="660" w:type="dxa"/>
            <w:vMerge w:val="continue"/>
            <w:tcBorders>
              <w:top w:val="nil"/>
              <w:left w:val="single" w:color="auto" w:sz="4" w:space="0"/>
              <w:bottom w:val="single" w:color="auto" w:sz="4" w:space="0"/>
              <w:right w:val="single" w:color="auto" w:sz="4" w:space="0"/>
            </w:tcBorders>
            <w:noWrap w:val="0"/>
            <w:vAlign w:val="center"/>
          </w:tcPr>
          <w:p>
            <w:pPr>
              <w:widowControl/>
              <w:spacing w:line="400" w:lineRule="exact"/>
              <w:jc w:val="left"/>
              <w:rPr>
                <w:rFonts w:ascii="黑体" w:hAnsi="黑体" w:eastAsia="黑体" w:cs="宋体"/>
                <w:kern w:val="0"/>
                <w:szCs w:val="21"/>
              </w:rPr>
            </w:pPr>
          </w:p>
        </w:tc>
        <w:tc>
          <w:tcPr>
            <w:tcW w:w="725" w:type="dxa"/>
            <w:vMerge w:val="continue"/>
            <w:tcBorders>
              <w:top w:val="nil"/>
              <w:left w:val="single" w:color="auto" w:sz="4" w:space="0"/>
              <w:bottom w:val="single" w:color="auto" w:sz="4" w:space="0"/>
              <w:right w:val="single" w:color="auto" w:sz="4" w:space="0"/>
            </w:tcBorders>
            <w:noWrap w:val="0"/>
            <w:vAlign w:val="center"/>
          </w:tcPr>
          <w:p>
            <w:pPr>
              <w:widowControl/>
              <w:spacing w:line="400" w:lineRule="exact"/>
              <w:jc w:val="left"/>
              <w:rPr>
                <w:rFonts w:ascii="黑体" w:hAnsi="黑体" w:eastAsia="黑体" w:cs="宋体"/>
                <w:kern w:val="0"/>
                <w:szCs w:val="21"/>
              </w:rPr>
            </w:pPr>
          </w:p>
        </w:tc>
        <w:tc>
          <w:tcPr>
            <w:tcW w:w="712" w:type="dxa"/>
            <w:tcBorders>
              <w:top w:val="single" w:color="auto" w:sz="4" w:space="0"/>
              <w:left w:val="nil"/>
              <w:bottom w:val="single" w:color="auto" w:sz="4" w:space="0"/>
              <w:right w:val="single" w:color="auto" w:sz="4" w:space="0"/>
            </w:tcBorders>
            <w:noWrap w:val="0"/>
            <w:vAlign w:val="center"/>
          </w:tcPr>
          <w:p>
            <w:pPr>
              <w:widowControl/>
              <w:spacing w:line="400" w:lineRule="exact"/>
              <w:jc w:val="left"/>
              <w:rPr>
                <w:rFonts w:ascii="黑体" w:hAnsi="黑体" w:eastAsia="黑体" w:cs="宋体"/>
                <w:kern w:val="0"/>
                <w:szCs w:val="21"/>
              </w:rPr>
            </w:pPr>
            <w:r>
              <w:rPr>
                <w:rFonts w:hint="eastAsia" w:ascii="黑体" w:hAnsi="黑体" w:eastAsia="黑体" w:cs="宋体"/>
                <w:kern w:val="0"/>
                <w:szCs w:val="21"/>
              </w:rPr>
              <w:t>预决算信息公开性和完善性（5分）</w:t>
            </w:r>
          </w:p>
        </w:tc>
        <w:tc>
          <w:tcPr>
            <w:tcW w:w="3682" w:type="dxa"/>
            <w:tcBorders>
              <w:top w:val="single" w:color="auto" w:sz="4" w:space="0"/>
              <w:left w:val="nil"/>
              <w:bottom w:val="single" w:color="auto" w:sz="4" w:space="0"/>
              <w:right w:val="single" w:color="auto" w:sz="4" w:space="0"/>
            </w:tcBorders>
            <w:noWrap w:val="0"/>
            <w:vAlign w:val="center"/>
          </w:tcPr>
          <w:p>
            <w:pPr>
              <w:widowControl/>
              <w:spacing w:line="400" w:lineRule="exact"/>
              <w:jc w:val="left"/>
              <w:rPr>
                <w:rFonts w:ascii="黑体" w:hAnsi="黑体" w:eastAsia="黑体" w:cs="宋体"/>
                <w:kern w:val="0"/>
                <w:szCs w:val="21"/>
              </w:rPr>
            </w:pPr>
            <w:r>
              <w:rPr>
                <w:rFonts w:hint="eastAsia" w:ascii="黑体" w:hAnsi="黑体" w:eastAsia="黑体" w:cs="宋体"/>
                <w:kern w:val="0"/>
                <w:szCs w:val="21"/>
              </w:rPr>
              <w:t xml:space="preserve">1、按规定内容公开预决算信息，1分； 2、按规定时限公开预决算信息，1分；3、基础数据信息和会计信息资料真实，1分；                        </w:t>
            </w:r>
          </w:p>
          <w:p>
            <w:pPr>
              <w:widowControl/>
              <w:spacing w:line="400" w:lineRule="exact"/>
              <w:jc w:val="left"/>
              <w:rPr>
                <w:rFonts w:ascii="黑体" w:hAnsi="黑体" w:eastAsia="黑体" w:cs="宋体"/>
                <w:kern w:val="0"/>
                <w:szCs w:val="21"/>
              </w:rPr>
            </w:pPr>
            <w:r>
              <w:rPr>
                <w:rFonts w:hint="eastAsia" w:ascii="黑体" w:hAnsi="黑体" w:eastAsia="黑体" w:cs="宋体"/>
                <w:kern w:val="0"/>
                <w:szCs w:val="21"/>
              </w:rPr>
              <w:t xml:space="preserve">4、基础数据信息和会计信息资料完整，1分；                            5、基础数据信息和汇集信息资料准确，1分。      </w:t>
            </w:r>
          </w:p>
          <w:p>
            <w:pPr>
              <w:widowControl/>
              <w:spacing w:line="400" w:lineRule="exact"/>
              <w:jc w:val="left"/>
              <w:rPr>
                <w:rFonts w:ascii="黑体" w:hAnsi="黑体" w:eastAsia="黑体" w:cs="宋体"/>
                <w:kern w:val="0"/>
                <w:szCs w:val="21"/>
              </w:rPr>
            </w:pPr>
          </w:p>
        </w:tc>
        <w:tc>
          <w:tcPr>
            <w:tcW w:w="2888" w:type="dxa"/>
            <w:tcBorders>
              <w:top w:val="single" w:color="auto" w:sz="4" w:space="0"/>
              <w:left w:val="nil"/>
              <w:bottom w:val="single" w:color="auto" w:sz="4" w:space="0"/>
              <w:right w:val="single" w:color="auto" w:sz="4" w:space="0"/>
            </w:tcBorders>
            <w:noWrap w:val="0"/>
            <w:vAlign w:val="center"/>
          </w:tcPr>
          <w:p>
            <w:pPr>
              <w:widowControl/>
              <w:spacing w:line="400" w:lineRule="exact"/>
              <w:jc w:val="left"/>
              <w:rPr>
                <w:rFonts w:ascii="黑体" w:hAnsi="黑体" w:eastAsia="黑体" w:cs="宋体"/>
                <w:kern w:val="0"/>
                <w:szCs w:val="21"/>
              </w:rPr>
            </w:pPr>
          </w:p>
        </w:tc>
        <w:tc>
          <w:tcPr>
            <w:tcW w:w="654" w:type="dxa"/>
            <w:tcBorders>
              <w:top w:val="single" w:color="auto" w:sz="4" w:space="0"/>
              <w:left w:val="nil"/>
              <w:bottom w:val="single" w:color="auto" w:sz="4" w:space="0"/>
              <w:right w:val="single" w:color="auto" w:sz="4" w:space="0"/>
            </w:tcBorders>
            <w:noWrap w:val="0"/>
            <w:vAlign w:val="center"/>
          </w:tcPr>
          <w:p>
            <w:pPr>
              <w:widowControl/>
              <w:spacing w:line="400" w:lineRule="exact"/>
              <w:jc w:val="center"/>
              <w:rPr>
                <w:rFonts w:ascii="黑体" w:hAnsi="黑体" w:eastAsia="黑体" w:cs="宋体"/>
                <w:kern w:val="0"/>
                <w:szCs w:val="21"/>
              </w:rPr>
            </w:pPr>
            <w:r>
              <w:rPr>
                <w:rFonts w:ascii="黑体" w:hAnsi="黑体" w:eastAsia="黑体" w:cs="宋体"/>
                <w:kern w:val="0"/>
                <w:szCs w:val="21"/>
              </w:rPr>
              <w:t>4</w:t>
            </w:r>
          </w:p>
        </w:tc>
      </w:tr>
      <w:tr>
        <w:tblPrEx>
          <w:tblLayout w:type="fixed"/>
          <w:tblCellMar>
            <w:top w:w="0" w:type="dxa"/>
            <w:left w:w="108" w:type="dxa"/>
            <w:bottom w:w="0" w:type="dxa"/>
            <w:right w:w="108" w:type="dxa"/>
          </w:tblCellMar>
        </w:tblPrEx>
        <w:trPr>
          <w:trHeight w:val="1905" w:hRule="atLeast"/>
        </w:trPr>
        <w:tc>
          <w:tcPr>
            <w:tcW w:w="660" w:type="dxa"/>
            <w:vMerge w:val="continue"/>
            <w:tcBorders>
              <w:top w:val="nil"/>
              <w:left w:val="single" w:color="auto" w:sz="4" w:space="0"/>
              <w:bottom w:val="single" w:color="auto" w:sz="4" w:space="0"/>
              <w:right w:val="single" w:color="auto" w:sz="4" w:space="0"/>
            </w:tcBorders>
            <w:noWrap w:val="0"/>
            <w:vAlign w:val="center"/>
          </w:tcPr>
          <w:p>
            <w:pPr>
              <w:widowControl/>
              <w:spacing w:line="400" w:lineRule="exact"/>
              <w:jc w:val="left"/>
              <w:rPr>
                <w:rFonts w:ascii="黑体" w:hAnsi="黑体" w:eastAsia="黑体" w:cs="宋体"/>
                <w:kern w:val="0"/>
                <w:szCs w:val="21"/>
              </w:rPr>
            </w:pPr>
          </w:p>
        </w:tc>
        <w:tc>
          <w:tcPr>
            <w:tcW w:w="725" w:type="dxa"/>
            <w:vMerge w:val="restart"/>
            <w:tcBorders>
              <w:top w:val="nil"/>
              <w:left w:val="single" w:color="auto" w:sz="4" w:space="0"/>
              <w:bottom w:val="single" w:color="auto" w:sz="4" w:space="0"/>
              <w:right w:val="single" w:color="auto" w:sz="4" w:space="0"/>
            </w:tcBorders>
            <w:noWrap w:val="0"/>
            <w:vAlign w:val="center"/>
          </w:tcPr>
          <w:p>
            <w:pPr>
              <w:widowControl/>
              <w:spacing w:line="400" w:lineRule="exact"/>
              <w:jc w:val="center"/>
              <w:rPr>
                <w:rFonts w:ascii="黑体" w:hAnsi="黑体" w:eastAsia="黑体" w:cs="宋体"/>
                <w:kern w:val="0"/>
                <w:szCs w:val="21"/>
              </w:rPr>
            </w:pPr>
            <w:r>
              <w:rPr>
                <w:rFonts w:hint="eastAsia" w:ascii="黑体" w:hAnsi="黑体" w:eastAsia="黑体" w:cs="宋体"/>
                <w:kern w:val="0"/>
                <w:szCs w:val="21"/>
              </w:rPr>
              <w:t>资产管理（10分）</w:t>
            </w:r>
          </w:p>
        </w:tc>
        <w:tc>
          <w:tcPr>
            <w:tcW w:w="712" w:type="dxa"/>
            <w:tcBorders>
              <w:top w:val="nil"/>
              <w:left w:val="nil"/>
              <w:bottom w:val="single" w:color="auto" w:sz="4" w:space="0"/>
              <w:right w:val="single" w:color="auto" w:sz="4" w:space="0"/>
            </w:tcBorders>
            <w:noWrap w:val="0"/>
            <w:vAlign w:val="center"/>
          </w:tcPr>
          <w:p>
            <w:pPr>
              <w:widowControl/>
              <w:spacing w:line="400" w:lineRule="exact"/>
              <w:jc w:val="left"/>
              <w:rPr>
                <w:rFonts w:ascii="黑体" w:hAnsi="黑体" w:eastAsia="黑体" w:cs="宋体"/>
                <w:kern w:val="0"/>
                <w:szCs w:val="21"/>
              </w:rPr>
            </w:pPr>
            <w:r>
              <w:rPr>
                <w:rFonts w:hint="eastAsia" w:ascii="黑体" w:hAnsi="黑体" w:eastAsia="黑体" w:cs="宋体"/>
                <w:kern w:val="0"/>
                <w:szCs w:val="21"/>
              </w:rPr>
              <w:t>管理制度健全性（3分）</w:t>
            </w:r>
          </w:p>
        </w:tc>
        <w:tc>
          <w:tcPr>
            <w:tcW w:w="3682" w:type="dxa"/>
            <w:tcBorders>
              <w:top w:val="nil"/>
              <w:left w:val="nil"/>
              <w:bottom w:val="single" w:color="auto" w:sz="4" w:space="0"/>
              <w:right w:val="single" w:color="auto" w:sz="4" w:space="0"/>
            </w:tcBorders>
            <w:noWrap w:val="0"/>
            <w:vAlign w:val="center"/>
          </w:tcPr>
          <w:p>
            <w:pPr>
              <w:widowControl/>
              <w:spacing w:line="400" w:lineRule="exact"/>
              <w:jc w:val="left"/>
              <w:rPr>
                <w:rFonts w:ascii="黑体" w:hAnsi="黑体" w:eastAsia="黑体" w:cs="宋体"/>
                <w:kern w:val="0"/>
                <w:szCs w:val="21"/>
              </w:rPr>
            </w:pPr>
            <w:r>
              <w:rPr>
                <w:rFonts w:hint="eastAsia" w:ascii="黑体" w:hAnsi="黑体" w:eastAsia="黑体" w:cs="宋体"/>
                <w:kern w:val="0"/>
                <w:szCs w:val="21"/>
              </w:rPr>
              <w:t>1、已制定资产管理制度1分；</w:t>
            </w:r>
          </w:p>
          <w:p>
            <w:pPr>
              <w:widowControl/>
              <w:spacing w:line="400" w:lineRule="exact"/>
              <w:jc w:val="left"/>
              <w:rPr>
                <w:rFonts w:ascii="黑体" w:hAnsi="黑体" w:eastAsia="黑体" w:cs="宋体"/>
                <w:kern w:val="0"/>
                <w:szCs w:val="21"/>
              </w:rPr>
            </w:pPr>
            <w:r>
              <w:rPr>
                <w:rFonts w:hint="eastAsia" w:ascii="黑体" w:hAnsi="黑体" w:eastAsia="黑体" w:cs="宋体"/>
                <w:kern w:val="0"/>
                <w:szCs w:val="21"/>
              </w:rPr>
              <w:t xml:space="preserve"> 2、相关资产管理制度合法、合规、完整，2分；                        3、相关资产管理制度得到有效执行，1分。</w:t>
            </w:r>
          </w:p>
        </w:tc>
        <w:tc>
          <w:tcPr>
            <w:tcW w:w="2888" w:type="dxa"/>
            <w:tcBorders>
              <w:top w:val="nil"/>
              <w:left w:val="nil"/>
              <w:bottom w:val="single" w:color="auto" w:sz="4" w:space="0"/>
              <w:right w:val="single" w:color="auto" w:sz="4" w:space="0"/>
            </w:tcBorders>
            <w:noWrap w:val="0"/>
            <w:vAlign w:val="center"/>
          </w:tcPr>
          <w:p>
            <w:pPr>
              <w:widowControl/>
              <w:spacing w:line="400" w:lineRule="exact"/>
              <w:jc w:val="left"/>
              <w:rPr>
                <w:rFonts w:ascii="黑体" w:hAnsi="黑体" w:eastAsia="黑体" w:cs="宋体"/>
                <w:kern w:val="0"/>
                <w:szCs w:val="21"/>
              </w:rPr>
            </w:pPr>
          </w:p>
        </w:tc>
        <w:tc>
          <w:tcPr>
            <w:tcW w:w="654" w:type="dxa"/>
            <w:tcBorders>
              <w:top w:val="nil"/>
              <w:left w:val="nil"/>
              <w:bottom w:val="single" w:color="auto" w:sz="4" w:space="0"/>
              <w:right w:val="single" w:color="auto" w:sz="4" w:space="0"/>
            </w:tcBorders>
            <w:noWrap w:val="0"/>
            <w:vAlign w:val="center"/>
          </w:tcPr>
          <w:p>
            <w:pPr>
              <w:widowControl/>
              <w:spacing w:line="400" w:lineRule="exact"/>
              <w:jc w:val="center"/>
              <w:rPr>
                <w:rFonts w:ascii="黑体" w:hAnsi="黑体" w:eastAsia="黑体" w:cs="宋体"/>
                <w:kern w:val="0"/>
                <w:szCs w:val="21"/>
              </w:rPr>
            </w:pPr>
            <w:r>
              <w:rPr>
                <w:rFonts w:hint="eastAsia" w:ascii="黑体" w:hAnsi="黑体" w:eastAsia="黑体" w:cs="宋体"/>
                <w:kern w:val="0"/>
                <w:szCs w:val="21"/>
              </w:rPr>
              <w:t>2.5</w:t>
            </w:r>
          </w:p>
        </w:tc>
      </w:tr>
      <w:tr>
        <w:tblPrEx>
          <w:tblLayout w:type="fixed"/>
          <w:tblCellMar>
            <w:top w:w="0" w:type="dxa"/>
            <w:left w:w="108" w:type="dxa"/>
            <w:bottom w:w="0" w:type="dxa"/>
            <w:right w:w="108" w:type="dxa"/>
          </w:tblCellMar>
        </w:tblPrEx>
        <w:trPr>
          <w:trHeight w:val="1833" w:hRule="atLeast"/>
        </w:trPr>
        <w:tc>
          <w:tcPr>
            <w:tcW w:w="660" w:type="dxa"/>
            <w:vMerge w:val="continue"/>
            <w:tcBorders>
              <w:top w:val="nil"/>
              <w:left w:val="single" w:color="auto" w:sz="4" w:space="0"/>
              <w:bottom w:val="single" w:color="auto" w:sz="4" w:space="0"/>
              <w:right w:val="single" w:color="auto" w:sz="4" w:space="0"/>
            </w:tcBorders>
            <w:noWrap w:val="0"/>
            <w:vAlign w:val="center"/>
          </w:tcPr>
          <w:p>
            <w:pPr>
              <w:widowControl/>
              <w:spacing w:line="400" w:lineRule="exact"/>
              <w:jc w:val="left"/>
              <w:rPr>
                <w:rFonts w:ascii="黑体" w:hAnsi="黑体" w:eastAsia="黑体" w:cs="宋体"/>
                <w:kern w:val="0"/>
                <w:szCs w:val="21"/>
              </w:rPr>
            </w:pPr>
          </w:p>
        </w:tc>
        <w:tc>
          <w:tcPr>
            <w:tcW w:w="725" w:type="dxa"/>
            <w:vMerge w:val="continue"/>
            <w:tcBorders>
              <w:top w:val="nil"/>
              <w:left w:val="single" w:color="auto" w:sz="4" w:space="0"/>
              <w:bottom w:val="single" w:color="auto" w:sz="4" w:space="0"/>
              <w:right w:val="single" w:color="auto" w:sz="4" w:space="0"/>
            </w:tcBorders>
            <w:noWrap w:val="0"/>
            <w:vAlign w:val="center"/>
          </w:tcPr>
          <w:p>
            <w:pPr>
              <w:widowControl/>
              <w:spacing w:line="400" w:lineRule="exact"/>
              <w:jc w:val="left"/>
              <w:rPr>
                <w:rFonts w:ascii="黑体" w:hAnsi="黑体" w:eastAsia="黑体" w:cs="宋体"/>
                <w:kern w:val="0"/>
                <w:szCs w:val="21"/>
              </w:rPr>
            </w:pPr>
          </w:p>
        </w:tc>
        <w:tc>
          <w:tcPr>
            <w:tcW w:w="712" w:type="dxa"/>
            <w:tcBorders>
              <w:top w:val="single" w:color="auto" w:sz="4" w:space="0"/>
              <w:left w:val="single" w:color="auto" w:sz="4" w:space="0"/>
              <w:bottom w:val="single" w:color="auto" w:sz="4" w:space="0"/>
              <w:right w:val="single" w:color="auto" w:sz="4" w:space="0"/>
            </w:tcBorders>
            <w:noWrap w:val="0"/>
            <w:vAlign w:val="center"/>
          </w:tcPr>
          <w:p>
            <w:pPr>
              <w:widowControl/>
              <w:spacing w:line="400" w:lineRule="exact"/>
              <w:jc w:val="left"/>
              <w:rPr>
                <w:rFonts w:ascii="黑体" w:hAnsi="黑体" w:eastAsia="黑体" w:cs="宋体"/>
                <w:kern w:val="0"/>
                <w:szCs w:val="21"/>
              </w:rPr>
            </w:pPr>
            <w:r>
              <w:rPr>
                <w:rFonts w:hint="eastAsia" w:ascii="黑体" w:hAnsi="黑体" w:eastAsia="黑体" w:cs="宋体"/>
                <w:kern w:val="0"/>
                <w:szCs w:val="21"/>
              </w:rPr>
              <w:t>资产管理安全性（5分）</w:t>
            </w:r>
          </w:p>
        </w:tc>
        <w:tc>
          <w:tcPr>
            <w:tcW w:w="3682" w:type="dxa"/>
            <w:tcBorders>
              <w:top w:val="single" w:color="auto" w:sz="4" w:space="0"/>
              <w:left w:val="single" w:color="auto" w:sz="4" w:space="0"/>
              <w:bottom w:val="single" w:color="auto" w:sz="4" w:space="0"/>
              <w:right w:val="single" w:color="auto" w:sz="4" w:space="0"/>
            </w:tcBorders>
            <w:noWrap w:val="0"/>
            <w:vAlign w:val="center"/>
          </w:tcPr>
          <w:p>
            <w:pPr>
              <w:widowControl/>
              <w:spacing w:line="400" w:lineRule="exact"/>
              <w:jc w:val="left"/>
              <w:rPr>
                <w:rFonts w:ascii="黑体" w:hAnsi="黑体" w:eastAsia="黑体" w:cs="宋体"/>
                <w:kern w:val="0"/>
                <w:szCs w:val="21"/>
              </w:rPr>
            </w:pPr>
            <w:r>
              <w:rPr>
                <w:rFonts w:hint="eastAsia" w:ascii="黑体" w:hAnsi="黑体" w:eastAsia="黑体" w:cs="宋体"/>
                <w:kern w:val="0"/>
                <w:szCs w:val="21"/>
              </w:rPr>
              <w:t>1、资产保存完整和资产信息系统建立、运用；</w:t>
            </w:r>
          </w:p>
          <w:p>
            <w:pPr>
              <w:widowControl/>
              <w:spacing w:line="400" w:lineRule="exact"/>
              <w:jc w:val="left"/>
              <w:rPr>
                <w:rFonts w:ascii="黑体" w:hAnsi="黑体" w:eastAsia="黑体" w:cs="宋体"/>
                <w:kern w:val="0"/>
                <w:szCs w:val="21"/>
              </w:rPr>
            </w:pPr>
            <w:r>
              <w:rPr>
                <w:rFonts w:hint="eastAsia" w:ascii="黑体" w:hAnsi="黑体" w:eastAsia="黑体" w:cs="宋体"/>
                <w:kern w:val="0"/>
                <w:szCs w:val="21"/>
              </w:rPr>
              <w:t xml:space="preserve">2、资产配置合理；         </w:t>
            </w:r>
          </w:p>
          <w:p>
            <w:pPr>
              <w:widowControl/>
              <w:spacing w:line="400" w:lineRule="exact"/>
              <w:jc w:val="left"/>
              <w:rPr>
                <w:rFonts w:ascii="黑体" w:hAnsi="黑体" w:eastAsia="黑体" w:cs="宋体"/>
                <w:kern w:val="0"/>
                <w:szCs w:val="21"/>
              </w:rPr>
            </w:pPr>
            <w:r>
              <w:rPr>
                <w:rFonts w:hint="eastAsia" w:ascii="黑体" w:hAnsi="黑体" w:eastAsia="黑体" w:cs="宋体"/>
                <w:kern w:val="0"/>
                <w:szCs w:val="21"/>
              </w:rPr>
              <w:t>3、资产处置规范；</w:t>
            </w:r>
          </w:p>
          <w:p>
            <w:pPr>
              <w:widowControl/>
              <w:spacing w:line="400" w:lineRule="exact"/>
              <w:jc w:val="left"/>
              <w:rPr>
                <w:rFonts w:ascii="黑体" w:hAnsi="黑体" w:eastAsia="黑体" w:cs="宋体"/>
                <w:kern w:val="0"/>
                <w:szCs w:val="21"/>
              </w:rPr>
            </w:pPr>
            <w:r>
              <w:rPr>
                <w:rFonts w:hint="eastAsia" w:ascii="黑体" w:hAnsi="黑体" w:eastAsia="黑体" w:cs="宋体"/>
                <w:kern w:val="0"/>
                <w:szCs w:val="21"/>
              </w:rPr>
              <w:t xml:space="preserve">4、资产账务管理合规，帐实相符；                      5、国有资产有偿使用收入和处置收入及时足额上缴；                   </w:t>
            </w:r>
          </w:p>
          <w:p>
            <w:pPr>
              <w:widowControl/>
              <w:spacing w:line="400" w:lineRule="exact"/>
              <w:jc w:val="left"/>
              <w:rPr>
                <w:rFonts w:ascii="黑体" w:hAnsi="黑体" w:eastAsia="黑体" w:cs="宋体"/>
                <w:kern w:val="0"/>
                <w:szCs w:val="21"/>
              </w:rPr>
            </w:pPr>
            <w:r>
              <w:rPr>
                <w:rFonts w:hint="eastAsia" w:ascii="黑体" w:hAnsi="黑体" w:eastAsia="黑体" w:cs="宋体"/>
                <w:kern w:val="0"/>
                <w:szCs w:val="21"/>
              </w:rPr>
              <w:t>以上情况每出现一例不符合有关要求的扣1分，扣完为止。</w:t>
            </w:r>
          </w:p>
        </w:tc>
        <w:tc>
          <w:tcPr>
            <w:tcW w:w="2888" w:type="dxa"/>
            <w:tcBorders>
              <w:top w:val="single" w:color="auto" w:sz="4" w:space="0"/>
              <w:left w:val="single" w:color="auto" w:sz="4" w:space="0"/>
              <w:bottom w:val="single" w:color="auto" w:sz="4" w:space="0"/>
              <w:right w:val="single" w:color="auto" w:sz="4" w:space="0"/>
            </w:tcBorders>
            <w:noWrap w:val="0"/>
            <w:vAlign w:val="center"/>
          </w:tcPr>
          <w:p>
            <w:pPr>
              <w:widowControl/>
              <w:spacing w:line="400" w:lineRule="exact"/>
              <w:jc w:val="left"/>
              <w:rPr>
                <w:rFonts w:ascii="黑体" w:hAnsi="黑体" w:eastAsia="黑体" w:cs="宋体"/>
                <w:kern w:val="0"/>
                <w:szCs w:val="21"/>
              </w:rPr>
            </w:pPr>
          </w:p>
        </w:tc>
        <w:tc>
          <w:tcPr>
            <w:tcW w:w="654" w:type="dxa"/>
            <w:tcBorders>
              <w:top w:val="single" w:color="auto" w:sz="4" w:space="0"/>
              <w:left w:val="single" w:color="auto" w:sz="4" w:space="0"/>
              <w:bottom w:val="single" w:color="auto" w:sz="4" w:space="0"/>
              <w:right w:val="single" w:color="auto" w:sz="4" w:space="0"/>
            </w:tcBorders>
            <w:noWrap w:val="0"/>
            <w:vAlign w:val="center"/>
          </w:tcPr>
          <w:p>
            <w:pPr>
              <w:widowControl/>
              <w:spacing w:line="400" w:lineRule="exact"/>
              <w:jc w:val="center"/>
              <w:rPr>
                <w:rFonts w:ascii="黑体" w:hAnsi="黑体" w:eastAsia="黑体" w:cs="宋体"/>
                <w:kern w:val="0"/>
                <w:szCs w:val="21"/>
              </w:rPr>
            </w:pPr>
            <w:r>
              <w:rPr>
                <w:rFonts w:hint="eastAsia" w:ascii="黑体" w:hAnsi="黑体" w:eastAsia="黑体" w:cs="宋体"/>
                <w:kern w:val="0"/>
                <w:szCs w:val="21"/>
              </w:rPr>
              <w:t>4</w:t>
            </w:r>
          </w:p>
        </w:tc>
      </w:tr>
      <w:tr>
        <w:tblPrEx>
          <w:tblLayout w:type="fixed"/>
          <w:tblCellMar>
            <w:top w:w="0" w:type="dxa"/>
            <w:left w:w="108" w:type="dxa"/>
            <w:bottom w:w="0" w:type="dxa"/>
            <w:right w:w="108" w:type="dxa"/>
          </w:tblCellMar>
        </w:tblPrEx>
        <w:trPr>
          <w:trHeight w:val="1395" w:hRule="atLeast"/>
        </w:trPr>
        <w:tc>
          <w:tcPr>
            <w:tcW w:w="660" w:type="dxa"/>
            <w:vMerge w:val="continue"/>
            <w:tcBorders>
              <w:top w:val="nil"/>
              <w:left w:val="single" w:color="auto" w:sz="4" w:space="0"/>
              <w:bottom w:val="single" w:color="auto" w:sz="4" w:space="0"/>
              <w:right w:val="single" w:color="auto" w:sz="4" w:space="0"/>
            </w:tcBorders>
            <w:noWrap w:val="0"/>
            <w:vAlign w:val="center"/>
          </w:tcPr>
          <w:p>
            <w:pPr>
              <w:widowControl/>
              <w:spacing w:line="400" w:lineRule="exact"/>
              <w:jc w:val="left"/>
              <w:rPr>
                <w:rFonts w:ascii="黑体" w:hAnsi="黑体" w:eastAsia="黑体" w:cs="宋体"/>
                <w:kern w:val="0"/>
                <w:szCs w:val="21"/>
              </w:rPr>
            </w:pPr>
          </w:p>
        </w:tc>
        <w:tc>
          <w:tcPr>
            <w:tcW w:w="725" w:type="dxa"/>
            <w:vMerge w:val="continue"/>
            <w:tcBorders>
              <w:top w:val="nil"/>
              <w:left w:val="single" w:color="auto" w:sz="4" w:space="0"/>
              <w:bottom w:val="single" w:color="auto" w:sz="4" w:space="0"/>
              <w:right w:val="single" w:color="auto" w:sz="4" w:space="0"/>
            </w:tcBorders>
            <w:noWrap w:val="0"/>
            <w:vAlign w:val="center"/>
          </w:tcPr>
          <w:p>
            <w:pPr>
              <w:widowControl/>
              <w:spacing w:line="400" w:lineRule="exact"/>
              <w:jc w:val="left"/>
              <w:rPr>
                <w:rFonts w:ascii="黑体" w:hAnsi="黑体" w:eastAsia="黑体" w:cs="宋体"/>
                <w:kern w:val="0"/>
                <w:szCs w:val="21"/>
              </w:rPr>
            </w:pPr>
          </w:p>
        </w:tc>
        <w:tc>
          <w:tcPr>
            <w:tcW w:w="712" w:type="dxa"/>
            <w:tcBorders>
              <w:top w:val="single" w:color="auto" w:sz="4" w:space="0"/>
              <w:left w:val="nil"/>
              <w:bottom w:val="single" w:color="auto" w:sz="4" w:space="0"/>
              <w:right w:val="single" w:color="auto" w:sz="4" w:space="0"/>
            </w:tcBorders>
            <w:noWrap w:val="0"/>
            <w:vAlign w:val="center"/>
          </w:tcPr>
          <w:p>
            <w:pPr>
              <w:widowControl/>
              <w:spacing w:line="400" w:lineRule="exact"/>
              <w:jc w:val="left"/>
              <w:rPr>
                <w:rFonts w:ascii="黑体" w:hAnsi="黑体" w:eastAsia="黑体" w:cs="宋体"/>
                <w:kern w:val="0"/>
                <w:szCs w:val="21"/>
              </w:rPr>
            </w:pPr>
            <w:r>
              <w:rPr>
                <w:rFonts w:hint="eastAsia" w:ascii="黑体" w:hAnsi="黑体" w:eastAsia="黑体" w:cs="宋体"/>
                <w:kern w:val="0"/>
                <w:szCs w:val="21"/>
              </w:rPr>
              <w:t>固定资产利用率（2分）</w:t>
            </w:r>
          </w:p>
        </w:tc>
        <w:tc>
          <w:tcPr>
            <w:tcW w:w="3682" w:type="dxa"/>
            <w:tcBorders>
              <w:top w:val="single" w:color="auto" w:sz="4" w:space="0"/>
              <w:left w:val="nil"/>
              <w:bottom w:val="single" w:color="auto" w:sz="4" w:space="0"/>
              <w:right w:val="single" w:color="auto" w:sz="4" w:space="0"/>
            </w:tcBorders>
            <w:noWrap w:val="0"/>
            <w:vAlign w:val="center"/>
          </w:tcPr>
          <w:p>
            <w:pPr>
              <w:widowControl/>
              <w:spacing w:line="400" w:lineRule="exact"/>
              <w:jc w:val="left"/>
              <w:rPr>
                <w:rFonts w:ascii="黑体" w:hAnsi="黑体" w:eastAsia="黑体" w:cs="宋体"/>
                <w:kern w:val="0"/>
                <w:szCs w:val="21"/>
              </w:rPr>
            </w:pPr>
            <w:r>
              <w:rPr>
                <w:rFonts w:hint="eastAsia" w:ascii="黑体" w:hAnsi="黑体" w:eastAsia="黑体" w:cs="宋体"/>
                <w:kern w:val="0"/>
                <w:szCs w:val="21"/>
              </w:rPr>
              <w:t>每低于100%一个百分点扣0.2分，扣完为止。</w:t>
            </w:r>
          </w:p>
        </w:tc>
        <w:tc>
          <w:tcPr>
            <w:tcW w:w="2888" w:type="dxa"/>
            <w:tcBorders>
              <w:top w:val="single" w:color="auto" w:sz="4" w:space="0"/>
              <w:left w:val="nil"/>
              <w:bottom w:val="single" w:color="auto" w:sz="4" w:space="0"/>
              <w:right w:val="single" w:color="auto" w:sz="4" w:space="0"/>
            </w:tcBorders>
            <w:noWrap w:val="0"/>
            <w:vAlign w:val="center"/>
          </w:tcPr>
          <w:p>
            <w:pPr>
              <w:widowControl/>
              <w:spacing w:line="400" w:lineRule="exact"/>
              <w:jc w:val="left"/>
              <w:rPr>
                <w:rFonts w:ascii="黑体" w:hAnsi="黑体" w:eastAsia="黑体" w:cs="宋体"/>
                <w:kern w:val="0"/>
                <w:szCs w:val="21"/>
              </w:rPr>
            </w:pPr>
          </w:p>
        </w:tc>
        <w:tc>
          <w:tcPr>
            <w:tcW w:w="654" w:type="dxa"/>
            <w:tcBorders>
              <w:top w:val="single" w:color="auto" w:sz="4" w:space="0"/>
              <w:left w:val="nil"/>
              <w:bottom w:val="single" w:color="auto" w:sz="4" w:space="0"/>
              <w:right w:val="single" w:color="auto" w:sz="4" w:space="0"/>
            </w:tcBorders>
            <w:noWrap w:val="0"/>
            <w:vAlign w:val="center"/>
          </w:tcPr>
          <w:p>
            <w:pPr>
              <w:widowControl/>
              <w:spacing w:line="400" w:lineRule="exact"/>
              <w:jc w:val="center"/>
              <w:rPr>
                <w:rFonts w:ascii="黑体" w:hAnsi="黑体" w:eastAsia="黑体" w:cs="宋体"/>
                <w:kern w:val="0"/>
                <w:szCs w:val="21"/>
              </w:rPr>
            </w:pPr>
            <w:r>
              <w:rPr>
                <w:rFonts w:ascii="黑体" w:hAnsi="黑体" w:eastAsia="黑体" w:cs="宋体"/>
                <w:kern w:val="0"/>
                <w:szCs w:val="21"/>
              </w:rPr>
              <w:t>1</w:t>
            </w:r>
          </w:p>
        </w:tc>
      </w:tr>
      <w:tr>
        <w:tblPrEx>
          <w:tblLayout w:type="fixed"/>
          <w:tblCellMar>
            <w:top w:w="0" w:type="dxa"/>
            <w:left w:w="108" w:type="dxa"/>
            <w:bottom w:w="0" w:type="dxa"/>
            <w:right w:w="108" w:type="dxa"/>
          </w:tblCellMar>
        </w:tblPrEx>
        <w:trPr>
          <w:trHeight w:val="416" w:hRule="atLeast"/>
        </w:trPr>
        <w:tc>
          <w:tcPr>
            <w:tcW w:w="660" w:type="dxa"/>
            <w:vMerge w:val="restart"/>
            <w:tcBorders>
              <w:top w:val="nil"/>
              <w:left w:val="single" w:color="auto" w:sz="4" w:space="0"/>
              <w:bottom w:val="single" w:color="auto" w:sz="4" w:space="0"/>
              <w:right w:val="single" w:color="auto" w:sz="4" w:space="0"/>
            </w:tcBorders>
            <w:noWrap w:val="0"/>
            <w:textDirection w:val="tbRlV"/>
            <w:vAlign w:val="center"/>
          </w:tcPr>
          <w:p>
            <w:pPr>
              <w:widowControl/>
              <w:spacing w:line="400" w:lineRule="exact"/>
              <w:jc w:val="center"/>
              <w:rPr>
                <w:rFonts w:ascii="黑体" w:hAnsi="黑体" w:eastAsia="黑体" w:cs="宋体"/>
                <w:kern w:val="0"/>
                <w:szCs w:val="21"/>
              </w:rPr>
            </w:pPr>
            <w:r>
              <w:rPr>
                <w:rFonts w:hint="eastAsia" w:ascii="黑体" w:hAnsi="黑体" w:eastAsia="黑体" w:cs="宋体"/>
                <w:kern w:val="0"/>
                <w:szCs w:val="21"/>
              </w:rPr>
              <w:t>产   出</w:t>
            </w:r>
          </w:p>
        </w:tc>
        <w:tc>
          <w:tcPr>
            <w:tcW w:w="725" w:type="dxa"/>
            <w:vMerge w:val="restart"/>
            <w:tcBorders>
              <w:top w:val="nil"/>
              <w:left w:val="single" w:color="auto" w:sz="4" w:space="0"/>
              <w:bottom w:val="single" w:color="auto" w:sz="4" w:space="0"/>
              <w:right w:val="single" w:color="auto" w:sz="4" w:space="0"/>
            </w:tcBorders>
            <w:noWrap w:val="0"/>
            <w:vAlign w:val="center"/>
          </w:tcPr>
          <w:p>
            <w:pPr>
              <w:widowControl/>
              <w:spacing w:line="400" w:lineRule="exact"/>
              <w:jc w:val="center"/>
              <w:rPr>
                <w:rFonts w:ascii="黑体" w:hAnsi="黑体" w:eastAsia="黑体" w:cs="宋体"/>
                <w:kern w:val="0"/>
                <w:szCs w:val="21"/>
              </w:rPr>
            </w:pPr>
            <w:r>
              <w:rPr>
                <w:rFonts w:hint="eastAsia" w:ascii="黑体" w:hAnsi="黑体" w:eastAsia="黑体" w:cs="宋体"/>
                <w:kern w:val="0"/>
                <w:szCs w:val="21"/>
              </w:rPr>
              <w:t>职责履行（12分）</w:t>
            </w:r>
          </w:p>
        </w:tc>
        <w:tc>
          <w:tcPr>
            <w:tcW w:w="712" w:type="dxa"/>
            <w:tcBorders>
              <w:top w:val="nil"/>
              <w:left w:val="nil"/>
              <w:bottom w:val="single" w:color="auto" w:sz="4" w:space="0"/>
              <w:right w:val="single" w:color="auto" w:sz="4" w:space="0"/>
            </w:tcBorders>
            <w:noWrap w:val="0"/>
            <w:vAlign w:val="center"/>
          </w:tcPr>
          <w:p>
            <w:pPr>
              <w:widowControl/>
              <w:spacing w:line="400" w:lineRule="exact"/>
              <w:jc w:val="left"/>
              <w:rPr>
                <w:rFonts w:ascii="黑体" w:hAnsi="黑体" w:eastAsia="黑体" w:cs="宋体"/>
                <w:kern w:val="0"/>
                <w:szCs w:val="21"/>
              </w:rPr>
            </w:pPr>
            <w:r>
              <w:rPr>
                <w:rFonts w:hint="eastAsia" w:ascii="黑体" w:hAnsi="黑体" w:eastAsia="黑体" w:cs="宋体"/>
                <w:kern w:val="0"/>
                <w:szCs w:val="21"/>
              </w:rPr>
              <w:t>工作实际完成率（6分）</w:t>
            </w:r>
          </w:p>
        </w:tc>
        <w:tc>
          <w:tcPr>
            <w:tcW w:w="3682" w:type="dxa"/>
            <w:tcBorders>
              <w:top w:val="nil"/>
              <w:left w:val="nil"/>
              <w:bottom w:val="single" w:color="auto" w:sz="4" w:space="0"/>
              <w:right w:val="single" w:color="auto" w:sz="4" w:space="0"/>
            </w:tcBorders>
            <w:noWrap w:val="0"/>
            <w:vAlign w:val="center"/>
          </w:tcPr>
          <w:p>
            <w:pPr>
              <w:widowControl/>
              <w:spacing w:line="400" w:lineRule="exact"/>
              <w:jc w:val="left"/>
              <w:rPr>
                <w:rFonts w:ascii="黑体" w:hAnsi="黑体" w:eastAsia="黑体" w:cs="宋体"/>
                <w:kern w:val="0"/>
                <w:szCs w:val="21"/>
              </w:rPr>
            </w:pPr>
            <w:r>
              <w:rPr>
                <w:rFonts w:hint="eastAsia" w:ascii="黑体" w:hAnsi="黑体" w:eastAsia="黑体" w:cs="宋体"/>
                <w:kern w:val="0"/>
                <w:szCs w:val="21"/>
              </w:rPr>
              <w:t>根据评价部门制定的计划工作任务及内容考核实际完成情况及质量。该项得分=（实际完成情况/计划工作内容）*6</w:t>
            </w:r>
          </w:p>
        </w:tc>
        <w:tc>
          <w:tcPr>
            <w:tcW w:w="2888" w:type="dxa"/>
            <w:tcBorders>
              <w:top w:val="nil"/>
              <w:left w:val="nil"/>
              <w:bottom w:val="single" w:color="auto" w:sz="4" w:space="0"/>
              <w:right w:val="single" w:color="auto" w:sz="4" w:space="0"/>
            </w:tcBorders>
            <w:noWrap w:val="0"/>
            <w:vAlign w:val="center"/>
          </w:tcPr>
          <w:p>
            <w:pPr>
              <w:widowControl/>
              <w:spacing w:line="400" w:lineRule="exact"/>
              <w:jc w:val="left"/>
              <w:rPr>
                <w:rFonts w:ascii="黑体" w:hAnsi="黑体" w:eastAsia="黑体" w:cs="宋体"/>
                <w:kern w:val="0"/>
                <w:szCs w:val="21"/>
              </w:rPr>
            </w:pPr>
          </w:p>
        </w:tc>
        <w:tc>
          <w:tcPr>
            <w:tcW w:w="654" w:type="dxa"/>
            <w:tcBorders>
              <w:top w:val="nil"/>
              <w:left w:val="nil"/>
              <w:bottom w:val="single" w:color="auto" w:sz="4" w:space="0"/>
              <w:right w:val="single" w:color="auto" w:sz="4" w:space="0"/>
            </w:tcBorders>
            <w:noWrap w:val="0"/>
            <w:vAlign w:val="center"/>
          </w:tcPr>
          <w:p>
            <w:pPr>
              <w:widowControl/>
              <w:spacing w:line="400" w:lineRule="exact"/>
              <w:jc w:val="center"/>
              <w:rPr>
                <w:rFonts w:ascii="黑体" w:hAnsi="黑体" w:eastAsia="黑体" w:cs="宋体"/>
                <w:kern w:val="0"/>
                <w:szCs w:val="21"/>
              </w:rPr>
            </w:pPr>
            <w:r>
              <w:rPr>
                <w:rFonts w:ascii="黑体" w:hAnsi="黑体" w:eastAsia="黑体" w:cs="宋体"/>
                <w:kern w:val="0"/>
                <w:szCs w:val="21"/>
              </w:rPr>
              <w:t>5</w:t>
            </w:r>
          </w:p>
        </w:tc>
      </w:tr>
      <w:tr>
        <w:tblPrEx>
          <w:tblLayout w:type="fixed"/>
          <w:tblCellMar>
            <w:top w:w="0" w:type="dxa"/>
            <w:left w:w="108" w:type="dxa"/>
            <w:bottom w:w="0" w:type="dxa"/>
            <w:right w:w="108" w:type="dxa"/>
          </w:tblCellMar>
        </w:tblPrEx>
        <w:trPr>
          <w:trHeight w:val="1680" w:hRule="atLeast"/>
        </w:trPr>
        <w:tc>
          <w:tcPr>
            <w:tcW w:w="660" w:type="dxa"/>
            <w:vMerge w:val="continue"/>
            <w:tcBorders>
              <w:top w:val="nil"/>
              <w:left w:val="single" w:color="auto" w:sz="4" w:space="0"/>
              <w:bottom w:val="single" w:color="auto" w:sz="4" w:space="0"/>
              <w:right w:val="single" w:color="auto" w:sz="4" w:space="0"/>
            </w:tcBorders>
            <w:noWrap w:val="0"/>
            <w:vAlign w:val="center"/>
          </w:tcPr>
          <w:p>
            <w:pPr>
              <w:widowControl/>
              <w:spacing w:line="400" w:lineRule="exact"/>
              <w:jc w:val="left"/>
              <w:rPr>
                <w:rFonts w:ascii="黑体" w:hAnsi="黑体" w:eastAsia="黑体" w:cs="宋体"/>
                <w:kern w:val="0"/>
                <w:szCs w:val="21"/>
              </w:rPr>
            </w:pPr>
          </w:p>
        </w:tc>
        <w:tc>
          <w:tcPr>
            <w:tcW w:w="725" w:type="dxa"/>
            <w:vMerge w:val="continue"/>
            <w:tcBorders>
              <w:top w:val="nil"/>
              <w:left w:val="single" w:color="auto" w:sz="4" w:space="0"/>
              <w:bottom w:val="single" w:color="auto" w:sz="4" w:space="0"/>
              <w:right w:val="single" w:color="auto" w:sz="4" w:space="0"/>
            </w:tcBorders>
            <w:noWrap w:val="0"/>
            <w:vAlign w:val="center"/>
          </w:tcPr>
          <w:p>
            <w:pPr>
              <w:widowControl/>
              <w:spacing w:line="400" w:lineRule="exact"/>
              <w:jc w:val="left"/>
              <w:rPr>
                <w:rFonts w:ascii="黑体" w:hAnsi="黑体" w:eastAsia="黑体" w:cs="宋体"/>
                <w:kern w:val="0"/>
                <w:szCs w:val="21"/>
              </w:rPr>
            </w:pPr>
          </w:p>
        </w:tc>
        <w:tc>
          <w:tcPr>
            <w:tcW w:w="712" w:type="dxa"/>
            <w:tcBorders>
              <w:top w:val="single" w:color="auto" w:sz="4" w:space="0"/>
              <w:left w:val="nil"/>
              <w:bottom w:val="single" w:color="auto" w:sz="4" w:space="0"/>
              <w:right w:val="single" w:color="auto" w:sz="4" w:space="0"/>
            </w:tcBorders>
            <w:noWrap w:val="0"/>
            <w:vAlign w:val="center"/>
          </w:tcPr>
          <w:p>
            <w:pPr>
              <w:widowControl/>
              <w:spacing w:line="400" w:lineRule="exact"/>
              <w:jc w:val="left"/>
              <w:rPr>
                <w:rFonts w:ascii="黑体" w:hAnsi="黑体" w:eastAsia="黑体" w:cs="宋体"/>
                <w:kern w:val="0"/>
                <w:szCs w:val="21"/>
              </w:rPr>
            </w:pPr>
            <w:r>
              <w:rPr>
                <w:rFonts w:hint="eastAsia" w:ascii="黑体" w:hAnsi="黑体" w:eastAsia="黑体" w:cs="宋体"/>
                <w:kern w:val="0"/>
                <w:szCs w:val="21"/>
              </w:rPr>
              <w:t>重点工作质量达标率（6分）</w:t>
            </w:r>
          </w:p>
        </w:tc>
        <w:tc>
          <w:tcPr>
            <w:tcW w:w="3682" w:type="dxa"/>
            <w:tcBorders>
              <w:top w:val="single" w:color="auto" w:sz="4" w:space="0"/>
              <w:left w:val="nil"/>
              <w:bottom w:val="single" w:color="auto" w:sz="4" w:space="0"/>
              <w:right w:val="single" w:color="auto" w:sz="4" w:space="0"/>
            </w:tcBorders>
            <w:noWrap w:val="0"/>
            <w:vAlign w:val="center"/>
          </w:tcPr>
          <w:p>
            <w:pPr>
              <w:widowControl/>
              <w:spacing w:line="400" w:lineRule="exact"/>
              <w:jc w:val="left"/>
              <w:rPr>
                <w:rFonts w:ascii="黑体" w:hAnsi="黑体" w:eastAsia="黑体" w:cs="宋体"/>
                <w:kern w:val="0"/>
                <w:szCs w:val="21"/>
              </w:rPr>
            </w:pPr>
            <w:r>
              <w:rPr>
                <w:rFonts w:hint="eastAsia" w:ascii="黑体" w:hAnsi="黑体" w:eastAsia="黑体" w:cs="宋体"/>
                <w:kern w:val="0"/>
                <w:szCs w:val="21"/>
              </w:rPr>
              <w:t>质量达标率达到100%，计6分；每低于100%一个百分点扣0.5分，扣完为止。</w:t>
            </w:r>
          </w:p>
        </w:tc>
        <w:tc>
          <w:tcPr>
            <w:tcW w:w="2888" w:type="dxa"/>
            <w:tcBorders>
              <w:top w:val="single" w:color="auto" w:sz="4" w:space="0"/>
              <w:left w:val="nil"/>
              <w:bottom w:val="single" w:color="auto" w:sz="4" w:space="0"/>
              <w:right w:val="single" w:color="auto" w:sz="4" w:space="0"/>
            </w:tcBorders>
            <w:noWrap w:val="0"/>
            <w:vAlign w:val="center"/>
          </w:tcPr>
          <w:p>
            <w:pPr>
              <w:widowControl/>
              <w:spacing w:line="400" w:lineRule="exact"/>
              <w:jc w:val="left"/>
              <w:rPr>
                <w:rFonts w:ascii="黑体" w:hAnsi="黑体" w:eastAsia="黑体" w:cs="宋体"/>
                <w:kern w:val="0"/>
                <w:szCs w:val="21"/>
              </w:rPr>
            </w:pPr>
          </w:p>
        </w:tc>
        <w:tc>
          <w:tcPr>
            <w:tcW w:w="654" w:type="dxa"/>
            <w:tcBorders>
              <w:top w:val="single" w:color="auto" w:sz="4" w:space="0"/>
              <w:left w:val="nil"/>
              <w:bottom w:val="single" w:color="auto" w:sz="4" w:space="0"/>
              <w:right w:val="single" w:color="auto" w:sz="4" w:space="0"/>
            </w:tcBorders>
            <w:noWrap w:val="0"/>
            <w:vAlign w:val="center"/>
          </w:tcPr>
          <w:p>
            <w:pPr>
              <w:widowControl/>
              <w:spacing w:line="400" w:lineRule="exact"/>
              <w:jc w:val="center"/>
              <w:rPr>
                <w:rFonts w:ascii="黑体" w:hAnsi="黑体" w:eastAsia="黑体" w:cs="宋体"/>
                <w:kern w:val="0"/>
                <w:szCs w:val="21"/>
              </w:rPr>
            </w:pPr>
            <w:r>
              <w:rPr>
                <w:rFonts w:ascii="黑体" w:hAnsi="黑体" w:eastAsia="黑体" w:cs="宋体"/>
                <w:kern w:val="0"/>
                <w:szCs w:val="21"/>
              </w:rPr>
              <w:t>4</w:t>
            </w:r>
          </w:p>
        </w:tc>
      </w:tr>
      <w:tr>
        <w:tblPrEx>
          <w:tblLayout w:type="fixed"/>
          <w:tblCellMar>
            <w:top w:w="0" w:type="dxa"/>
            <w:left w:w="108" w:type="dxa"/>
            <w:bottom w:w="0" w:type="dxa"/>
            <w:right w:w="108" w:type="dxa"/>
          </w:tblCellMar>
        </w:tblPrEx>
        <w:trPr>
          <w:trHeight w:val="1191" w:hRule="atLeast"/>
        </w:trPr>
        <w:tc>
          <w:tcPr>
            <w:tcW w:w="660" w:type="dxa"/>
            <w:vMerge w:val="restart"/>
            <w:tcBorders>
              <w:top w:val="nil"/>
              <w:left w:val="single" w:color="auto" w:sz="4" w:space="0"/>
              <w:bottom w:val="single" w:color="auto" w:sz="4" w:space="0"/>
              <w:right w:val="single" w:color="auto" w:sz="4" w:space="0"/>
            </w:tcBorders>
            <w:noWrap w:val="0"/>
            <w:textDirection w:val="tbRlV"/>
            <w:vAlign w:val="center"/>
          </w:tcPr>
          <w:p>
            <w:pPr>
              <w:widowControl/>
              <w:spacing w:line="400" w:lineRule="exact"/>
              <w:jc w:val="center"/>
              <w:rPr>
                <w:rFonts w:ascii="黑体" w:hAnsi="黑体" w:eastAsia="黑体" w:cs="宋体"/>
                <w:kern w:val="0"/>
                <w:szCs w:val="21"/>
              </w:rPr>
            </w:pPr>
            <w:r>
              <w:rPr>
                <w:rFonts w:hint="eastAsia" w:ascii="黑体" w:hAnsi="黑体" w:eastAsia="黑体" w:cs="宋体"/>
                <w:kern w:val="0"/>
                <w:szCs w:val="21"/>
              </w:rPr>
              <w:t>效  果</w:t>
            </w:r>
          </w:p>
        </w:tc>
        <w:tc>
          <w:tcPr>
            <w:tcW w:w="725" w:type="dxa"/>
            <w:vMerge w:val="restart"/>
            <w:tcBorders>
              <w:top w:val="nil"/>
              <w:left w:val="single" w:color="auto" w:sz="4" w:space="0"/>
              <w:bottom w:val="single" w:color="auto" w:sz="4" w:space="0"/>
              <w:right w:val="single" w:color="auto" w:sz="4" w:space="0"/>
            </w:tcBorders>
            <w:noWrap w:val="0"/>
            <w:vAlign w:val="center"/>
          </w:tcPr>
          <w:p>
            <w:pPr>
              <w:widowControl/>
              <w:spacing w:line="400" w:lineRule="exact"/>
              <w:jc w:val="center"/>
              <w:rPr>
                <w:rFonts w:ascii="黑体" w:hAnsi="黑体" w:eastAsia="黑体" w:cs="宋体"/>
                <w:kern w:val="0"/>
                <w:szCs w:val="21"/>
              </w:rPr>
            </w:pPr>
            <w:r>
              <w:rPr>
                <w:rFonts w:hint="eastAsia" w:ascii="黑体" w:hAnsi="黑体" w:eastAsia="黑体" w:cs="宋体"/>
                <w:kern w:val="0"/>
                <w:szCs w:val="21"/>
              </w:rPr>
              <w:t>履职效益（17分）</w:t>
            </w:r>
          </w:p>
        </w:tc>
        <w:tc>
          <w:tcPr>
            <w:tcW w:w="712" w:type="dxa"/>
            <w:tcBorders>
              <w:top w:val="nil"/>
              <w:left w:val="nil"/>
              <w:bottom w:val="single" w:color="auto" w:sz="4" w:space="0"/>
              <w:right w:val="single" w:color="auto" w:sz="4" w:space="0"/>
            </w:tcBorders>
            <w:noWrap w:val="0"/>
            <w:vAlign w:val="center"/>
          </w:tcPr>
          <w:p>
            <w:pPr>
              <w:widowControl/>
              <w:spacing w:line="400" w:lineRule="exact"/>
              <w:jc w:val="left"/>
              <w:rPr>
                <w:rFonts w:ascii="黑体" w:hAnsi="黑体" w:eastAsia="黑体" w:cs="宋体"/>
                <w:kern w:val="0"/>
                <w:szCs w:val="21"/>
              </w:rPr>
            </w:pPr>
            <w:r>
              <w:rPr>
                <w:rFonts w:hint="eastAsia" w:ascii="黑体" w:hAnsi="黑体" w:eastAsia="黑体" w:cs="宋体"/>
                <w:kern w:val="0"/>
                <w:szCs w:val="21"/>
              </w:rPr>
              <w:t>经济效益（4分）</w:t>
            </w:r>
          </w:p>
        </w:tc>
        <w:tc>
          <w:tcPr>
            <w:tcW w:w="3682" w:type="dxa"/>
            <w:vMerge w:val="restart"/>
            <w:tcBorders>
              <w:top w:val="single" w:color="auto" w:sz="4" w:space="0"/>
              <w:left w:val="single" w:color="auto" w:sz="4" w:space="0"/>
              <w:bottom w:val="single" w:color="auto" w:sz="4" w:space="0"/>
              <w:right w:val="single" w:color="auto" w:sz="4" w:space="0"/>
            </w:tcBorders>
            <w:noWrap w:val="0"/>
            <w:vAlign w:val="center"/>
          </w:tcPr>
          <w:p>
            <w:pPr>
              <w:widowControl/>
              <w:spacing w:line="400" w:lineRule="exact"/>
              <w:ind w:left="360"/>
              <w:jc w:val="left"/>
              <w:rPr>
                <w:rFonts w:ascii="黑体" w:hAnsi="黑体" w:eastAsia="黑体" w:cs="宋体"/>
                <w:kern w:val="0"/>
                <w:szCs w:val="21"/>
              </w:rPr>
            </w:pPr>
            <w:r>
              <w:rPr>
                <w:rFonts w:hint="eastAsia" w:ascii="黑体" w:hAnsi="黑体" w:eastAsia="黑体" w:cs="宋体"/>
                <w:kern w:val="0"/>
                <w:szCs w:val="21"/>
              </w:rPr>
              <w:t>此条单位若没产生“经济效益”和“生态效益” ,社会效益从以下5个方面评价:1.在中央、省、政府考核中评为良以上；2.在部门考核中被评良以上；3.在市政府绩效评估中考核为优秀的；4.全年无违反党的</w:t>
            </w:r>
            <w:r>
              <w:rPr>
                <w:rFonts w:hint="eastAsia" w:ascii="黑体" w:hAnsi="黑体" w:eastAsia="黑体" w:cs="宋体"/>
                <w:kern w:val="0"/>
                <w:szCs w:val="21"/>
                <w:lang w:eastAsia="zh-CN"/>
              </w:rPr>
              <w:t>中央八项规定</w:t>
            </w:r>
            <w:r>
              <w:rPr>
                <w:rFonts w:hint="eastAsia" w:ascii="黑体" w:hAnsi="黑体" w:eastAsia="黑体" w:cs="宋体"/>
                <w:kern w:val="0"/>
                <w:szCs w:val="21"/>
              </w:rPr>
              <w:t>的；5.无违反财政法规等行为的；</w:t>
            </w:r>
          </w:p>
        </w:tc>
        <w:tc>
          <w:tcPr>
            <w:tcW w:w="2888" w:type="dxa"/>
            <w:tcBorders>
              <w:top w:val="single" w:color="auto" w:sz="4" w:space="0"/>
              <w:left w:val="single" w:color="auto" w:sz="4" w:space="0"/>
              <w:bottom w:val="single" w:color="auto" w:sz="4" w:space="0"/>
              <w:right w:val="single" w:color="auto" w:sz="4" w:space="0"/>
            </w:tcBorders>
            <w:noWrap w:val="0"/>
            <w:vAlign w:val="center"/>
          </w:tcPr>
          <w:p>
            <w:pPr>
              <w:widowControl/>
              <w:spacing w:line="400" w:lineRule="exact"/>
              <w:jc w:val="left"/>
              <w:rPr>
                <w:rFonts w:ascii="黑体" w:hAnsi="黑体" w:eastAsia="黑体" w:cs="宋体"/>
                <w:kern w:val="0"/>
                <w:szCs w:val="21"/>
              </w:rPr>
            </w:pPr>
          </w:p>
        </w:tc>
        <w:tc>
          <w:tcPr>
            <w:tcW w:w="654" w:type="dxa"/>
            <w:tcBorders>
              <w:top w:val="nil"/>
              <w:left w:val="single" w:color="auto" w:sz="4" w:space="0"/>
              <w:bottom w:val="single" w:color="auto" w:sz="4" w:space="0"/>
              <w:right w:val="single" w:color="auto" w:sz="4" w:space="0"/>
            </w:tcBorders>
            <w:noWrap w:val="0"/>
            <w:vAlign w:val="center"/>
          </w:tcPr>
          <w:p>
            <w:pPr>
              <w:widowControl/>
              <w:spacing w:line="400" w:lineRule="exact"/>
              <w:jc w:val="center"/>
              <w:rPr>
                <w:rFonts w:ascii="黑体" w:hAnsi="黑体" w:eastAsia="黑体" w:cs="宋体"/>
                <w:kern w:val="0"/>
                <w:szCs w:val="21"/>
              </w:rPr>
            </w:pPr>
            <w:r>
              <w:rPr>
                <w:rFonts w:hint="eastAsia" w:ascii="黑体" w:hAnsi="黑体" w:eastAsia="黑体" w:cs="宋体"/>
                <w:kern w:val="0"/>
                <w:szCs w:val="21"/>
              </w:rPr>
              <w:t>3</w:t>
            </w:r>
          </w:p>
        </w:tc>
      </w:tr>
      <w:tr>
        <w:tblPrEx>
          <w:tblLayout w:type="fixed"/>
          <w:tblCellMar>
            <w:top w:w="0" w:type="dxa"/>
            <w:left w:w="108" w:type="dxa"/>
            <w:bottom w:w="0" w:type="dxa"/>
            <w:right w:w="108" w:type="dxa"/>
          </w:tblCellMar>
        </w:tblPrEx>
        <w:trPr>
          <w:trHeight w:val="1407" w:hRule="atLeast"/>
        </w:trPr>
        <w:tc>
          <w:tcPr>
            <w:tcW w:w="660" w:type="dxa"/>
            <w:vMerge w:val="continue"/>
            <w:tcBorders>
              <w:top w:val="nil"/>
              <w:left w:val="single" w:color="auto" w:sz="4" w:space="0"/>
              <w:bottom w:val="single" w:color="auto" w:sz="4" w:space="0"/>
              <w:right w:val="single" w:color="auto" w:sz="4" w:space="0"/>
            </w:tcBorders>
            <w:noWrap w:val="0"/>
            <w:vAlign w:val="center"/>
          </w:tcPr>
          <w:p>
            <w:pPr>
              <w:widowControl/>
              <w:spacing w:line="400" w:lineRule="exact"/>
              <w:jc w:val="left"/>
              <w:rPr>
                <w:rFonts w:ascii="黑体" w:hAnsi="黑体" w:eastAsia="黑体" w:cs="宋体"/>
                <w:kern w:val="0"/>
                <w:szCs w:val="21"/>
              </w:rPr>
            </w:pPr>
          </w:p>
        </w:tc>
        <w:tc>
          <w:tcPr>
            <w:tcW w:w="725" w:type="dxa"/>
            <w:vMerge w:val="continue"/>
            <w:tcBorders>
              <w:top w:val="nil"/>
              <w:left w:val="single" w:color="auto" w:sz="4" w:space="0"/>
              <w:bottom w:val="single" w:color="auto" w:sz="4" w:space="0"/>
              <w:right w:val="single" w:color="auto" w:sz="4" w:space="0"/>
            </w:tcBorders>
            <w:noWrap w:val="0"/>
            <w:vAlign w:val="center"/>
          </w:tcPr>
          <w:p>
            <w:pPr>
              <w:widowControl/>
              <w:spacing w:line="400" w:lineRule="exact"/>
              <w:jc w:val="left"/>
              <w:rPr>
                <w:rFonts w:ascii="黑体" w:hAnsi="黑体" w:eastAsia="黑体" w:cs="宋体"/>
                <w:kern w:val="0"/>
                <w:szCs w:val="21"/>
              </w:rPr>
            </w:pPr>
          </w:p>
        </w:tc>
        <w:tc>
          <w:tcPr>
            <w:tcW w:w="712" w:type="dxa"/>
            <w:tcBorders>
              <w:top w:val="nil"/>
              <w:left w:val="nil"/>
              <w:bottom w:val="single" w:color="auto" w:sz="4" w:space="0"/>
              <w:right w:val="single" w:color="auto" w:sz="4" w:space="0"/>
            </w:tcBorders>
            <w:noWrap w:val="0"/>
            <w:vAlign w:val="center"/>
          </w:tcPr>
          <w:p>
            <w:pPr>
              <w:widowControl/>
              <w:spacing w:line="400" w:lineRule="exact"/>
              <w:jc w:val="left"/>
              <w:rPr>
                <w:rFonts w:ascii="黑体" w:hAnsi="黑体" w:eastAsia="黑体" w:cs="宋体"/>
                <w:kern w:val="0"/>
                <w:szCs w:val="21"/>
              </w:rPr>
            </w:pPr>
            <w:r>
              <w:rPr>
                <w:rFonts w:hint="eastAsia" w:ascii="黑体" w:hAnsi="黑体" w:eastAsia="黑体" w:cs="宋体"/>
                <w:kern w:val="0"/>
                <w:szCs w:val="21"/>
              </w:rPr>
              <w:t>社会效益（4分)</w:t>
            </w:r>
          </w:p>
        </w:tc>
        <w:tc>
          <w:tcPr>
            <w:tcW w:w="3682" w:type="dxa"/>
            <w:vMerge w:val="continue"/>
            <w:tcBorders>
              <w:top w:val="nil"/>
              <w:left w:val="nil"/>
              <w:bottom w:val="single" w:color="auto" w:sz="4" w:space="0"/>
              <w:right w:val="single" w:color="auto" w:sz="4" w:space="0"/>
            </w:tcBorders>
            <w:noWrap w:val="0"/>
            <w:vAlign w:val="center"/>
          </w:tcPr>
          <w:p>
            <w:pPr>
              <w:widowControl/>
              <w:spacing w:line="400" w:lineRule="exact"/>
              <w:jc w:val="left"/>
              <w:rPr>
                <w:rFonts w:ascii="黑体" w:hAnsi="黑体" w:eastAsia="黑体" w:cs="宋体"/>
                <w:kern w:val="0"/>
                <w:szCs w:val="21"/>
              </w:rPr>
            </w:pPr>
          </w:p>
        </w:tc>
        <w:tc>
          <w:tcPr>
            <w:tcW w:w="2888" w:type="dxa"/>
            <w:tcBorders>
              <w:top w:val="nil"/>
              <w:left w:val="nil"/>
              <w:bottom w:val="single" w:color="auto" w:sz="4" w:space="0"/>
              <w:right w:val="single" w:color="auto" w:sz="4" w:space="0"/>
            </w:tcBorders>
            <w:noWrap w:val="0"/>
            <w:vAlign w:val="center"/>
          </w:tcPr>
          <w:p>
            <w:pPr>
              <w:widowControl/>
              <w:spacing w:line="400" w:lineRule="exact"/>
              <w:jc w:val="left"/>
              <w:rPr>
                <w:rFonts w:ascii="黑体" w:hAnsi="黑体" w:eastAsia="黑体" w:cs="宋体"/>
                <w:kern w:val="0"/>
                <w:szCs w:val="21"/>
              </w:rPr>
            </w:pPr>
          </w:p>
        </w:tc>
        <w:tc>
          <w:tcPr>
            <w:tcW w:w="654" w:type="dxa"/>
            <w:tcBorders>
              <w:top w:val="nil"/>
              <w:left w:val="single" w:color="auto" w:sz="4" w:space="0"/>
              <w:bottom w:val="single" w:color="auto" w:sz="4" w:space="0"/>
              <w:right w:val="single" w:color="auto" w:sz="4" w:space="0"/>
            </w:tcBorders>
            <w:noWrap w:val="0"/>
            <w:vAlign w:val="center"/>
          </w:tcPr>
          <w:p>
            <w:pPr>
              <w:widowControl/>
              <w:spacing w:line="400" w:lineRule="exact"/>
              <w:jc w:val="center"/>
              <w:rPr>
                <w:rFonts w:ascii="黑体" w:hAnsi="黑体" w:eastAsia="黑体" w:cs="宋体"/>
                <w:kern w:val="0"/>
                <w:szCs w:val="21"/>
              </w:rPr>
            </w:pPr>
            <w:r>
              <w:rPr>
                <w:rFonts w:hint="eastAsia" w:ascii="黑体" w:hAnsi="黑体" w:eastAsia="黑体" w:cs="宋体"/>
                <w:kern w:val="0"/>
                <w:szCs w:val="21"/>
              </w:rPr>
              <w:t>3</w:t>
            </w:r>
          </w:p>
        </w:tc>
      </w:tr>
      <w:tr>
        <w:tblPrEx>
          <w:tblLayout w:type="fixed"/>
          <w:tblCellMar>
            <w:top w:w="0" w:type="dxa"/>
            <w:left w:w="108" w:type="dxa"/>
            <w:bottom w:w="0" w:type="dxa"/>
            <w:right w:w="108" w:type="dxa"/>
          </w:tblCellMar>
        </w:tblPrEx>
        <w:trPr>
          <w:trHeight w:val="840" w:hRule="atLeast"/>
        </w:trPr>
        <w:tc>
          <w:tcPr>
            <w:tcW w:w="660" w:type="dxa"/>
            <w:vMerge w:val="continue"/>
            <w:tcBorders>
              <w:top w:val="nil"/>
              <w:left w:val="single" w:color="auto" w:sz="4" w:space="0"/>
              <w:bottom w:val="single" w:color="auto" w:sz="4" w:space="0"/>
              <w:right w:val="single" w:color="auto" w:sz="4" w:space="0"/>
            </w:tcBorders>
            <w:noWrap w:val="0"/>
            <w:vAlign w:val="center"/>
          </w:tcPr>
          <w:p>
            <w:pPr>
              <w:widowControl/>
              <w:spacing w:line="400" w:lineRule="exact"/>
              <w:jc w:val="left"/>
              <w:rPr>
                <w:rFonts w:ascii="黑体" w:hAnsi="黑体" w:eastAsia="黑体" w:cs="宋体"/>
                <w:kern w:val="0"/>
                <w:szCs w:val="21"/>
              </w:rPr>
            </w:pPr>
          </w:p>
        </w:tc>
        <w:tc>
          <w:tcPr>
            <w:tcW w:w="725" w:type="dxa"/>
            <w:vMerge w:val="continue"/>
            <w:tcBorders>
              <w:top w:val="nil"/>
              <w:left w:val="single" w:color="auto" w:sz="4" w:space="0"/>
              <w:bottom w:val="single" w:color="auto" w:sz="4" w:space="0"/>
              <w:right w:val="single" w:color="auto" w:sz="4" w:space="0"/>
            </w:tcBorders>
            <w:noWrap w:val="0"/>
            <w:vAlign w:val="center"/>
          </w:tcPr>
          <w:p>
            <w:pPr>
              <w:widowControl/>
              <w:spacing w:line="400" w:lineRule="exact"/>
              <w:jc w:val="left"/>
              <w:rPr>
                <w:rFonts w:ascii="黑体" w:hAnsi="黑体" w:eastAsia="黑体" w:cs="宋体"/>
                <w:kern w:val="0"/>
                <w:szCs w:val="21"/>
              </w:rPr>
            </w:pPr>
          </w:p>
        </w:tc>
        <w:tc>
          <w:tcPr>
            <w:tcW w:w="712" w:type="dxa"/>
            <w:tcBorders>
              <w:top w:val="nil"/>
              <w:left w:val="nil"/>
              <w:bottom w:val="single" w:color="auto" w:sz="4" w:space="0"/>
              <w:right w:val="single" w:color="auto" w:sz="4" w:space="0"/>
            </w:tcBorders>
            <w:noWrap w:val="0"/>
            <w:vAlign w:val="center"/>
          </w:tcPr>
          <w:p>
            <w:pPr>
              <w:widowControl/>
              <w:spacing w:line="400" w:lineRule="exact"/>
              <w:jc w:val="left"/>
              <w:rPr>
                <w:rFonts w:ascii="黑体" w:hAnsi="黑体" w:eastAsia="黑体" w:cs="宋体"/>
                <w:kern w:val="0"/>
                <w:szCs w:val="21"/>
              </w:rPr>
            </w:pPr>
            <w:r>
              <w:rPr>
                <w:rFonts w:hint="eastAsia" w:ascii="黑体" w:hAnsi="黑体" w:eastAsia="黑体" w:cs="宋体"/>
                <w:kern w:val="0"/>
                <w:szCs w:val="21"/>
              </w:rPr>
              <w:t>生态效益(4分)</w:t>
            </w:r>
          </w:p>
        </w:tc>
        <w:tc>
          <w:tcPr>
            <w:tcW w:w="3682" w:type="dxa"/>
            <w:vMerge w:val="continue"/>
            <w:tcBorders>
              <w:top w:val="nil"/>
              <w:left w:val="nil"/>
              <w:bottom w:val="single" w:color="auto" w:sz="4" w:space="0"/>
              <w:right w:val="single" w:color="auto" w:sz="4" w:space="0"/>
            </w:tcBorders>
            <w:noWrap w:val="0"/>
            <w:vAlign w:val="center"/>
          </w:tcPr>
          <w:p>
            <w:pPr>
              <w:widowControl/>
              <w:spacing w:line="400" w:lineRule="exact"/>
              <w:jc w:val="left"/>
              <w:rPr>
                <w:rFonts w:ascii="黑体" w:hAnsi="黑体" w:eastAsia="黑体" w:cs="宋体"/>
                <w:kern w:val="0"/>
                <w:szCs w:val="21"/>
              </w:rPr>
            </w:pPr>
          </w:p>
        </w:tc>
        <w:tc>
          <w:tcPr>
            <w:tcW w:w="2888" w:type="dxa"/>
            <w:tcBorders>
              <w:top w:val="nil"/>
              <w:left w:val="nil"/>
              <w:bottom w:val="single" w:color="auto" w:sz="4" w:space="0"/>
              <w:right w:val="single" w:color="auto" w:sz="4" w:space="0"/>
            </w:tcBorders>
            <w:noWrap w:val="0"/>
            <w:vAlign w:val="center"/>
          </w:tcPr>
          <w:p>
            <w:pPr>
              <w:widowControl/>
              <w:spacing w:line="400" w:lineRule="exact"/>
              <w:jc w:val="left"/>
              <w:rPr>
                <w:rFonts w:ascii="黑体" w:hAnsi="黑体" w:eastAsia="黑体" w:cs="宋体"/>
                <w:kern w:val="0"/>
                <w:szCs w:val="21"/>
              </w:rPr>
            </w:pPr>
          </w:p>
        </w:tc>
        <w:tc>
          <w:tcPr>
            <w:tcW w:w="654" w:type="dxa"/>
            <w:tcBorders>
              <w:top w:val="nil"/>
              <w:left w:val="single" w:color="auto" w:sz="4" w:space="0"/>
              <w:bottom w:val="single" w:color="auto" w:sz="4" w:space="0"/>
              <w:right w:val="single" w:color="auto" w:sz="4" w:space="0"/>
            </w:tcBorders>
            <w:noWrap w:val="0"/>
            <w:vAlign w:val="center"/>
          </w:tcPr>
          <w:p>
            <w:pPr>
              <w:widowControl/>
              <w:spacing w:line="400" w:lineRule="exact"/>
              <w:jc w:val="center"/>
              <w:rPr>
                <w:rFonts w:ascii="黑体" w:hAnsi="黑体" w:eastAsia="黑体" w:cs="宋体"/>
                <w:kern w:val="0"/>
                <w:szCs w:val="21"/>
              </w:rPr>
            </w:pPr>
            <w:r>
              <w:rPr>
                <w:rFonts w:hint="eastAsia" w:ascii="黑体" w:hAnsi="黑体" w:eastAsia="黑体" w:cs="宋体"/>
                <w:kern w:val="0"/>
                <w:szCs w:val="21"/>
              </w:rPr>
              <w:t>3</w:t>
            </w:r>
          </w:p>
        </w:tc>
      </w:tr>
      <w:tr>
        <w:tblPrEx>
          <w:tblLayout w:type="fixed"/>
          <w:tblCellMar>
            <w:top w:w="0" w:type="dxa"/>
            <w:left w:w="108" w:type="dxa"/>
            <w:bottom w:w="0" w:type="dxa"/>
            <w:right w:w="108" w:type="dxa"/>
          </w:tblCellMar>
        </w:tblPrEx>
        <w:trPr>
          <w:trHeight w:val="1200" w:hRule="atLeast"/>
        </w:trPr>
        <w:tc>
          <w:tcPr>
            <w:tcW w:w="660" w:type="dxa"/>
            <w:vMerge w:val="continue"/>
            <w:tcBorders>
              <w:top w:val="nil"/>
              <w:left w:val="single" w:color="auto" w:sz="4" w:space="0"/>
              <w:bottom w:val="single" w:color="auto" w:sz="4" w:space="0"/>
              <w:right w:val="single" w:color="auto" w:sz="4" w:space="0"/>
            </w:tcBorders>
            <w:noWrap w:val="0"/>
            <w:vAlign w:val="center"/>
          </w:tcPr>
          <w:p>
            <w:pPr>
              <w:widowControl/>
              <w:spacing w:line="400" w:lineRule="exact"/>
              <w:jc w:val="left"/>
              <w:rPr>
                <w:rFonts w:ascii="黑体" w:hAnsi="黑体" w:eastAsia="黑体" w:cs="宋体"/>
                <w:kern w:val="0"/>
                <w:szCs w:val="21"/>
              </w:rPr>
            </w:pPr>
          </w:p>
        </w:tc>
        <w:tc>
          <w:tcPr>
            <w:tcW w:w="725" w:type="dxa"/>
            <w:vMerge w:val="continue"/>
            <w:tcBorders>
              <w:top w:val="nil"/>
              <w:left w:val="single" w:color="auto" w:sz="4" w:space="0"/>
              <w:bottom w:val="single" w:color="auto" w:sz="4" w:space="0"/>
              <w:right w:val="single" w:color="auto" w:sz="4" w:space="0"/>
            </w:tcBorders>
            <w:noWrap w:val="0"/>
            <w:vAlign w:val="center"/>
          </w:tcPr>
          <w:p>
            <w:pPr>
              <w:widowControl/>
              <w:spacing w:line="400" w:lineRule="exact"/>
              <w:jc w:val="left"/>
              <w:rPr>
                <w:rFonts w:ascii="黑体" w:hAnsi="黑体" w:eastAsia="黑体" w:cs="宋体"/>
                <w:kern w:val="0"/>
                <w:szCs w:val="21"/>
              </w:rPr>
            </w:pPr>
          </w:p>
        </w:tc>
        <w:tc>
          <w:tcPr>
            <w:tcW w:w="712" w:type="dxa"/>
            <w:tcBorders>
              <w:top w:val="single" w:color="auto" w:sz="4" w:space="0"/>
              <w:left w:val="single" w:color="auto" w:sz="4" w:space="0"/>
              <w:bottom w:val="single" w:color="auto" w:sz="4" w:space="0"/>
              <w:right w:val="single" w:color="auto" w:sz="4" w:space="0"/>
            </w:tcBorders>
            <w:noWrap w:val="0"/>
            <w:vAlign w:val="center"/>
          </w:tcPr>
          <w:p>
            <w:pPr>
              <w:widowControl/>
              <w:spacing w:line="400" w:lineRule="exact"/>
              <w:jc w:val="left"/>
              <w:rPr>
                <w:rFonts w:ascii="黑体" w:hAnsi="黑体" w:eastAsia="黑体" w:cs="宋体"/>
                <w:kern w:val="0"/>
                <w:szCs w:val="21"/>
              </w:rPr>
            </w:pPr>
            <w:r>
              <w:rPr>
                <w:rFonts w:hint="eastAsia" w:ascii="黑体" w:hAnsi="黑体" w:eastAsia="黑体" w:cs="宋体"/>
                <w:kern w:val="0"/>
                <w:szCs w:val="21"/>
              </w:rPr>
              <w:t>社会公众或服务对象满意度（5分）</w:t>
            </w:r>
          </w:p>
        </w:tc>
        <w:tc>
          <w:tcPr>
            <w:tcW w:w="3682" w:type="dxa"/>
            <w:tcBorders>
              <w:top w:val="single" w:color="auto" w:sz="4" w:space="0"/>
              <w:left w:val="single" w:color="auto" w:sz="4" w:space="0"/>
              <w:bottom w:val="single" w:color="auto" w:sz="4" w:space="0"/>
              <w:right w:val="single" w:color="auto" w:sz="4" w:space="0"/>
            </w:tcBorders>
            <w:noWrap w:val="0"/>
            <w:vAlign w:val="center"/>
          </w:tcPr>
          <w:p>
            <w:pPr>
              <w:widowControl/>
              <w:spacing w:line="400" w:lineRule="exact"/>
              <w:jc w:val="left"/>
              <w:rPr>
                <w:rFonts w:ascii="黑体" w:hAnsi="黑体" w:eastAsia="黑体" w:cs="宋体"/>
                <w:kern w:val="0"/>
                <w:szCs w:val="21"/>
              </w:rPr>
            </w:pPr>
            <w:r>
              <w:rPr>
                <w:rFonts w:hint="eastAsia" w:ascii="黑体" w:hAnsi="黑体" w:eastAsia="黑体" w:cs="宋体"/>
                <w:kern w:val="0"/>
                <w:szCs w:val="21"/>
              </w:rPr>
              <w:t>90%（含）以上计5分；80%（含）-90%，计3分；70%（含）-80%，计1分；低于70%计0分。</w:t>
            </w:r>
          </w:p>
        </w:tc>
        <w:tc>
          <w:tcPr>
            <w:tcW w:w="2888" w:type="dxa"/>
            <w:tcBorders>
              <w:top w:val="single" w:color="auto" w:sz="4" w:space="0"/>
              <w:left w:val="single" w:color="auto" w:sz="4" w:space="0"/>
              <w:bottom w:val="single" w:color="auto" w:sz="4" w:space="0"/>
              <w:right w:val="single" w:color="auto" w:sz="4" w:space="0"/>
            </w:tcBorders>
            <w:noWrap w:val="0"/>
            <w:vAlign w:val="center"/>
          </w:tcPr>
          <w:p>
            <w:pPr>
              <w:widowControl/>
              <w:spacing w:line="400" w:lineRule="exact"/>
              <w:jc w:val="left"/>
              <w:rPr>
                <w:rFonts w:ascii="黑体" w:hAnsi="黑体" w:eastAsia="黑体" w:cs="宋体"/>
                <w:kern w:val="0"/>
                <w:szCs w:val="21"/>
              </w:rPr>
            </w:pPr>
          </w:p>
        </w:tc>
        <w:tc>
          <w:tcPr>
            <w:tcW w:w="654" w:type="dxa"/>
            <w:tcBorders>
              <w:top w:val="single" w:color="auto" w:sz="4" w:space="0"/>
              <w:left w:val="single" w:color="auto" w:sz="4" w:space="0"/>
              <w:bottom w:val="single" w:color="auto" w:sz="4" w:space="0"/>
              <w:right w:val="single" w:color="auto" w:sz="4" w:space="0"/>
            </w:tcBorders>
            <w:noWrap w:val="0"/>
            <w:vAlign w:val="center"/>
          </w:tcPr>
          <w:p>
            <w:pPr>
              <w:widowControl/>
              <w:spacing w:line="400" w:lineRule="exact"/>
              <w:jc w:val="center"/>
              <w:rPr>
                <w:rFonts w:ascii="黑体" w:hAnsi="黑体" w:eastAsia="黑体" w:cs="宋体"/>
                <w:kern w:val="0"/>
                <w:szCs w:val="21"/>
              </w:rPr>
            </w:pPr>
            <w:r>
              <w:rPr>
                <w:rFonts w:hint="eastAsia" w:ascii="黑体" w:hAnsi="黑体" w:eastAsia="黑体" w:cs="宋体"/>
                <w:kern w:val="0"/>
                <w:szCs w:val="21"/>
              </w:rPr>
              <w:t>4</w:t>
            </w:r>
          </w:p>
        </w:tc>
      </w:tr>
      <w:tr>
        <w:tblPrEx>
          <w:tblLayout w:type="fixed"/>
          <w:tblCellMar>
            <w:top w:w="0" w:type="dxa"/>
            <w:left w:w="108" w:type="dxa"/>
            <w:bottom w:w="0" w:type="dxa"/>
            <w:right w:w="108" w:type="dxa"/>
          </w:tblCellMar>
        </w:tblPrEx>
        <w:trPr>
          <w:trHeight w:val="780" w:hRule="atLeast"/>
        </w:trPr>
        <w:tc>
          <w:tcPr>
            <w:tcW w:w="660" w:type="dxa"/>
            <w:tcBorders>
              <w:top w:val="single" w:color="auto" w:sz="4" w:space="0"/>
              <w:left w:val="single" w:color="auto" w:sz="4" w:space="0"/>
              <w:bottom w:val="single" w:color="auto" w:sz="4" w:space="0"/>
              <w:right w:val="single" w:color="auto" w:sz="4" w:space="0"/>
            </w:tcBorders>
            <w:noWrap w:val="0"/>
            <w:vAlign w:val="center"/>
          </w:tcPr>
          <w:p>
            <w:pPr>
              <w:widowControl/>
              <w:spacing w:line="400" w:lineRule="exact"/>
              <w:jc w:val="center"/>
              <w:rPr>
                <w:rFonts w:ascii="黑体" w:hAnsi="黑体" w:eastAsia="黑体" w:cs="宋体"/>
                <w:kern w:val="0"/>
                <w:szCs w:val="21"/>
              </w:rPr>
            </w:pPr>
            <w:r>
              <w:rPr>
                <w:rFonts w:hint="eastAsia" w:ascii="黑体" w:hAnsi="黑体" w:eastAsia="黑体" w:cs="宋体"/>
                <w:kern w:val="0"/>
                <w:szCs w:val="21"/>
              </w:rPr>
              <w:t>合计</w:t>
            </w:r>
          </w:p>
        </w:tc>
        <w:tc>
          <w:tcPr>
            <w:tcW w:w="1437" w:type="dxa"/>
            <w:gridSpan w:val="2"/>
            <w:tcBorders>
              <w:top w:val="single" w:color="auto" w:sz="4" w:space="0"/>
              <w:left w:val="single" w:color="auto" w:sz="4" w:space="0"/>
              <w:bottom w:val="single" w:color="auto" w:sz="4" w:space="0"/>
              <w:right w:val="single" w:color="auto" w:sz="4" w:space="0"/>
            </w:tcBorders>
            <w:noWrap w:val="0"/>
            <w:vAlign w:val="center"/>
          </w:tcPr>
          <w:p>
            <w:pPr>
              <w:widowControl/>
              <w:spacing w:line="400" w:lineRule="exact"/>
              <w:jc w:val="center"/>
              <w:rPr>
                <w:rFonts w:ascii="黑体" w:hAnsi="黑体" w:eastAsia="黑体" w:cs="宋体"/>
                <w:kern w:val="0"/>
                <w:szCs w:val="21"/>
              </w:rPr>
            </w:pPr>
            <w:r>
              <w:rPr>
                <w:rFonts w:hint="eastAsia" w:ascii="黑体" w:hAnsi="黑体" w:eastAsia="黑体" w:cs="宋体"/>
                <w:kern w:val="0"/>
                <w:szCs w:val="21"/>
              </w:rPr>
              <w:t>100</w:t>
            </w:r>
          </w:p>
        </w:tc>
        <w:tc>
          <w:tcPr>
            <w:tcW w:w="3682" w:type="dxa"/>
            <w:tcBorders>
              <w:top w:val="single" w:color="auto" w:sz="4" w:space="0"/>
              <w:left w:val="nil"/>
              <w:bottom w:val="single" w:color="auto" w:sz="4" w:space="0"/>
              <w:right w:val="single" w:color="auto" w:sz="4" w:space="0"/>
            </w:tcBorders>
            <w:noWrap w:val="0"/>
            <w:vAlign w:val="center"/>
          </w:tcPr>
          <w:p>
            <w:pPr>
              <w:widowControl/>
              <w:spacing w:line="400" w:lineRule="exact"/>
              <w:jc w:val="left"/>
              <w:rPr>
                <w:rFonts w:ascii="黑体" w:hAnsi="黑体" w:eastAsia="黑体" w:cs="宋体"/>
                <w:kern w:val="0"/>
                <w:szCs w:val="21"/>
              </w:rPr>
            </w:pPr>
            <w:r>
              <w:rPr>
                <w:rFonts w:hint="eastAsia" w:ascii="黑体" w:hAnsi="黑体" w:eastAsia="黑体" w:cs="宋体"/>
                <w:kern w:val="0"/>
                <w:szCs w:val="21"/>
              </w:rPr>
              <w:t>　</w:t>
            </w:r>
          </w:p>
        </w:tc>
        <w:tc>
          <w:tcPr>
            <w:tcW w:w="2888" w:type="dxa"/>
            <w:tcBorders>
              <w:top w:val="single" w:color="auto" w:sz="4" w:space="0"/>
              <w:left w:val="nil"/>
              <w:bottom w:val="single" w:color="auto" w:sz="4" w:space="0"/>
              <w:right w:val="single" w:color="auto" w:sz="4" w:space="0"/>
            </w:tcBorders>
            <w:noWrap w:val="0"/>
            <w:vAlign w:val="center"/>
          </w:tcPr>
          <w:p>
            <w:pPr>
              <w:widowControl/>
              <w:spacing w:line="400" w:lineRule="exact"/>
              <w:jc w:val="left"/>
              <w:rPr>
                <w:rFonts w:ascii="黑体" w:hAnsi="黑体" w:eastAsia="黑体" w:cs="宋体"/>
                <w:kern w:val="0"/>
                <w:szCs w:val="21"/>
              </w:rPr>
            </w:pPr>
          </w:p>
        </w:tc>
        <w:tc>
          <w:tcPr>
            <w:tcW w:w="654" w:type="dxa"/>
            <w:tcBorders>
              <w:top w:val="single" w:color="auto" w:sz="4" w:space="0"/>
              <w:left w:val="nil"/>
              <w:bottom w:val="single" w:color="auto" w:sz="4" w:space="0"/>
              <w:right w:val="single" w:color="auto" w:sz="4" w:space="0"/>
            </w:tcBorders>
            <w:noWrap w:val="0"/>
            <w:vAlign w:val="center"/>
          </w:tcPr>
          <w:p>
            <w:pPr>
              <w:widowControl/>
              <w:spacing w:line="400" w:lineRule="exact"/>
              <w:jc w:val="left"/>
              <w:rPr>
                <w:rFonts w:ascii="黑体" w:hAnsi="黑体" w:eastAsia="黑体" w:cs="宋体"/>
                <w:kern w:val="0"/>
                <w:szCs w:val="21"/>
              </w:rPr>
            </w:pPr>
            <w:r>
              <w:rPr>
                <w:rFonts w:ascii="黑体" w:hAnsi="黑体" w:eastAsia="黑体" w:cs="宋体"/>
                <w:kern w:val="0"/>
                <w:szCs w:val="21"/>
              </w:rPr>
              <w:t>82</w:t>
            </w:r>
          </w:p>
        </w:tc>
      </w:tr>
    </w:tbl>
    <w:p>
      <w:pPr>
        <w:spacing w:line="360" w:lineRule="auto"/>
        <w:ind w:right="480" w:firstLine="640" w:firstLineChars="200"/>
        <w:jc w:val="center"/>
        <w:rPr>
          <w:rFonts w:hint="eastAsia" w:ascii="宋体" w:hAnsi="宋体" w:eastAsia="宋体" w:cs="Times New Roman"/>
          <w:b/>
          <w:bCs/>
          <w:sz w:val="32"/>
          <w:szCs w:val="32"/>
        </w:rPr>
      </w:pPr>
    </w:p>
    <w:p>
      <w:pPr>
        <w:adjustRightInd w:val="0"/>
        <w:snapToGrid w:val="0"/>
        <w:rPr>
          <w:rFonts w:hint="eastAsia" w:ascii="Cambria Math" w:hAnsi="Cambria Math" w:cs="Cambria Math"/>
          <w:bCs/>
          <w:sz w:val="30"/>
          <w:szCs w:val="30"/>
        </w:rPr>
      </w:pPr>
    </w:p>
    <w:p>
      <w:pPr>
        <w:adjustRightInd w:val="0"/>
        <w:snapToGrid w:val="0"/>
        <w:rPr>
          <w:rFonts w:ascii="Cambria Math" w:hAnsi="Cambria Math" w:cs="Cambria Math"/>
          <w:bCs/>
          <w:sz w:val="30"/>
          <w:szCs w:val="30"/>
        </w:rPr>
      </w:pPr>
      <w:r>
        <w:rPr>
          <w:rFonts w:hint="eastAsia" w:ascii="Cambria Math" w:hAnsi="Cambria Math" w:cs="Cambria Math"/>
          <w:bCs/>
          <w:sz w:val="30"/>
          <w:szCs w:val="30"/>
        </w:rPr>
        <w:t>七、改进措施和有关建议</w:t>
      </w:r>
    </w:p>
    <w:p>
      <w:pPr>
        <w:widowControl/>
        <w:rPr>
          <w:rFonts w:ascii="Cambria Math" w:hAnsi="Cambria Math" w:cs="Cambria Math"/>
          <w:bCs/>
          <w:kern w:val="0"/>
          <w:sz w:val="30"/>
          <w:szCs w:val="30"/>
        </w:rPr>
      </w:pPr>
      <w:r>
        <w:rPr>
          <w:rFonts w:hint="eastAsia" w:ascii="Cambria Math" w:hAnsi="Cambria Math" w:cs="Cambria Math"/>
          <w:bCs/>
          <w:kern w:val="0"/>
          <w:sz w:val="30"/>
          <w:szCs w:val="30"/>
          <w:lang w:eastAsia="zh-CN"/>
        </w:rPr>
        <w:t>（</w:t>
      </w:r>
      <w:r>
        <w:rPr>
          <w:rFonts w:hint="eastAsia" w:ascii="Cambria Math" w:hAnsi="Cambria Math" w:cs="Cambria Math"/>
          <w:bCs/>
          <w:kern w:val="0"/>
          <w:sz w:val="30"/>
          <w:szCs w:val="30"/>
          <w:lang w:val="en-US" w:eastAsia="zh-CN"/>
        </w:rPr>
        <w:t>一）</w:t>
      </w:r>
      <w:r>
        <w:rPr>
          <w:rFonts w:hint="eastAsia" w:ascii="Cambria Math" w:hAnsi="Cambria Math" w:cs="Cambria Math"/>
          <w:bCs/>
          <w:kern w:val="0"/>
          <w:sz w:val="30"/>
          <w:szCs w:val="30"/>
        </w:rPr>
        <w:t>规范账务处理，提高财务信息质量。</w:t>
      </w:r>
    </w:p>
    <w:p>
      <w:pPr>
        <w:widowControl/>
        <w:rPr>
          <w:rFonts w:ascii="Cambria Math" w:hAnsi="Cambria Math" w:cs="Cambria Math"/>
          <w:bCs/>
          <w:kern w:val="0"/>
          <w:sz w:val="30"/>
          <w:szCs w:val="30"/>
        </w:rPr>
      </w:pPr>
      <w:r>
        <w:rPr>
          <w:rFonts w:hint="eastAsia" w:ascii="Cambria Math" w:hAnsi="Cambria Math" w:cs="Cambria Math"/>
          <w:bCs/>
          <w:kern w:val="0"/>
          <w:sz w:val="30"/>
          <w:szCs w:val="30"/>
          <w:lang w:eastAsia="zh-CN"/>
        </w:rPr>
        <w:t>（</w:t>
      </w:r>
      <w:r>
        <w:rPr>
          <w:rFonts w:hint="eastAsia" w:ascii="Cambria Math" w:hAnsi="Cambria Math" w:cs="Cambria Math"/>
          <w:bCs/>
          <w:kern w:val="0"/>
          <w:sz w:val="30"/>
          <w:szCs w:val="30"/>
          <w:lang w:val="en-US" w:eastAsia="zh-CN"/>
        </w:rPr>
        <w:t>二）</w:t>
      </w:r>
      <w:r>
        <w:rPr>
          <w:rFonts w:hint="eastAsia" w:ascii="Cambria Math" w:hAnsi="Cambria Math" w:cs="Cambria Math"/>
          <w:bCs/>
          <w:kern w:val="0"/>
          <w:sz w:val="30"/>
          <w:szCs w:val="30"/>
        </w:rPr>
        <w:t>落实财务管理制度，进一步加强财务管理。</w:t>
      </w:r>
    </w:p>
    <w:p>
      <w:pPr>
        <w:widowControl/>
        <w:rPr>
          <w:rFonts w:ascii="Cambria Math" w:hAnsi="Cambria Math" w:cs="Cambria Math"/>
          <w:bCs/>
          <w:kern w:val="0"/>
          <w:sz w:val="30"/>
          <w:szCs w:val="30"/>
        </w:rPr>
      </w:pPr>
      <w:r>
        <w:rPr>
          <w:rFonts w:hint="eastAsia" w:ascii="Cambria Math" w:hAnsi="Cambria Math" w:cs="Cambria Math"/>
          <w:bCs/>
          <w:kern w:val="0"/>
          <w:sz w:val="30"/>
          <w:szCs w:val="30"/>
          <w:lang w:eastAsia="zh-CN"/>
        </w:rPr>
        <w:t>（</w:t>
      </w:r>
      <w:r>
        <w:rPr>
          <w:rFonts w:hint="eastAsia" w:ascii="Cambria Math" w:hAnsi="Cambria Math" w:cs="Cambria Math"/>
          <w:bCs/>
          <w:kern w:val="0"/>
          <w:sz w:val="30"/>
          <w:szCs w:val="30"/>
          <w:lang w:val="en-US" w:eastAsia="zh-CN"/>
        </w:rPr>
        <w:t>三）</w:t>
      </w:r>
      <w:r>
        <w:rPr>
          <w:rFonts w:hint="eastAsia" w:ascii="Cambria Math" w:hAnsi="Cambria Math" w:cs="Cambria Math"/>
          <w:bCs/>
          <w:kern w:val="0"/>
          <w:sz w:val="30"/>
          <w:szCs w:val="30"/>
        </w:rPr>
        <w:t>做好财务人员培训，加强会计队伍建设。</w:t>
      </w:r>
    </w:p>
    <w:p>
      <w:pPr>
        <w:widowControl/>
        <w:rPr>
          <w:rFonts w:ascii="Cambria Math" w:hAnsi="Cambria Math" w:cs="Cambria Math"/>
          <w:bCs/>
          <w:kern w:val="0"/>
          <w:sz w:val="30"/>
          <w:szCs w:val="30"/>
        </w:rPr>
      </w:pPr>
      <w:r>
        <w:rPr>
          <w:rFonts w:hint="eastAsia" w:ascii="Cambria Math" w:hAnsi="Cambria Math" w:cs="Cambria Math"/>
          <w:bCs/>
          <w:kern w:val="0"/>
          <w:sz w:val="30"/>
          <w:szCs w:val="30"/>
          <w:lang w:eastAsia="zh-CN"/>
        </w:rPr>
        <w:t>（</w:t>
      </w:r>
      <w:r>
        <w:rPr>
          <w:rFonts w:hint="eastAsia" w:ascii="Cambria Math" w:hAnsi="Cambria Math" w:cs="Cambria Math"/>
          <w:bCs/>
          <w:kern w:val="0"/>
          <w:sz w:val="30"/>
          <w:szCs w:val="30"/>
          <w:lang w:val="en-US" w:eastAsia="zh-CN"/>
        </w:rPr>
        <w:t>四）</w:t>
      </w:r>
      <w:r>
        <w:rPr>
          <w:rFonts w:hint="eastAsia" w:ascii="Cambria Math" w:hAnsi="Cambria Math" w:cs="Cambria Math"/>
          <w:bCs/>
          <w:kern w:val="0"/>
          <w:sz w:val="30"/>
          <w:szCs w:val="30"/>
        </w:rPr>
        <w:t>进一步建章立制，确保会计核算规范化，明确财务管理的责任和权力。</w:t>
      </w:r>
    </w:p>
    <w:p>
      <w:pPr>
        <w:widowControl/>
        <w:rPr>
          <w:rFonts w:ascii="Cambria Math" w:hAnsi="Cambria Math" w:cs="Cambria Math"/>
          <w:bCs/>
          <w:kern w:val="0"/>
          <w:sz w:val="30"/>
          <w:szCs w:val="30"/>
        </w:rPr>
      </w:pPr>
    </w:p>
    <w:p>
      <w:pPr>
        <w:ind w:firstLine="640" w:firstLineChars="200"/>
        <w:jc w:val="left"/>
        <w:rPr>
          <w:rFonts w:cs="黑体" w:asciiTheme="minorEastAsia" w:hAnsiTheme="minorEastAsia"/>
          <w:color w:val="000000"/>
          <w:kern w:val="0"/>
          <w:sz w:val="32"/>
          <w:szCs w:val="32"/>
        </w:rPr>
      </w:pPr>
    </w:p>
    <w:sectPr>
      <w:pgSz w:w="11906" w:h="16838"/>
      <w:pgMar w:top="720" w:right="720" w:bottom="720" w:left="720"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中宋">
    <w:altName w:val="宋体"/>
    <w:panose1 w:val="02010600040101010101"/>
    <w:charset w:val="86"/>
    <w:family w:val="auto"/>
    <w:pitch w:val="default"/>
    <w:sig w:usb0="00000000" w:usb1="00000000" w:usb2="00000000" w:usb3="00000000" w:csb0="0004009F" w:csb1="DFD70000"/>
  </w:font>
  <w:font w:name="方正小标宋_GBK">
    <w:altName w:val="微软雅黑"/>
    <w:panose1 w:val="03000509000000000000"/>
    <w:charset w:val="86"/>
    <w:family w:val="script"/>
    <w:pitch w:val="default"/>
    <w:sig w:usb0="00000000" w:usb1="00000000" w:usb2="00000000" w:usb3="00000000" w:csb0="00040000" w:csb1="00000000"/>
  </w:font>
  <w:font w:name="Cambria Math">
    <w:panose1 w:val="02040503050406030204"/>
    <w:charset w:val="00"/>
    <w:family w:val="roman"/>
    <w:pitch w:val="default"/>
    <w:sig w:usb0="E00006FF" w:usb1="420024FF" w:usb2="02000000" w:usb3="00000000" w:csb0="2000019F" w:csb1="00000000"/>
  </w:font>
  <w:font w:name="等线">
    <w:panose1 w:val="02010600030101010101"/>
    <w:charset w:val="86"/>
    <w:family w:val="auto"/>
    <w:pitch w:val="default"/>
    <w:sig w:usb0="A00002BF" w:usb1="38CF7CFA" w:usb2="00000016" w:usb3="00000000" w:csb0="0004000F"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98ED92"/>
    <w:multiLevelType w:val="singleLevel"/>
    <w:tmpl w:val="1698ED92"/>
    <w:lvl w:ilvl="0" w:tentative="0">
      <w:start w:val="1"/>
      <w:numFmt w:val="decimal"/>
      <w:suff w:val="nothing"/>
      <w:lvlText w:val="（%1）"/>
      <w:lvlJc w:val="left"/>
    </w:lvl>
  </w:abstractNum>
  <w:abstractNum w:abstractNumId="1">
    <w:nsid w:val="1E1599A4"/>
    <w:multiLevelType w:val="singleLevel"/>
    <w:tmpl w:val="1E1599A4"/>
    <w:lvl w:ilvl="0" w:tentative="0">
      <w:start w:val="7"/>
      <w:numFmt w:val="chineseCounting"/>
      <w:suff w:val="nothing"/>
      <w:lvlText w:val="%1、"/>
      <w:lvlJc w:val="left"/>
      <w:rPr>
        <w:rFonts w:hint="eastAsia"/>
      </w:rPr>
    </w:lvl>
  </w:abstractNum>
  <w:abstractNum w:abstractNumId="2">
    <w:nsid w:val="286B5710"/>
    <w:multiLevelType w:val="multilevel"/>
    <w:tmpl w:val="286B5710"/>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373518C1"/>
    <w:multiLevelType w:val="multilevel"/>
    <w:tmpl w:val="373518C1"/>
    <w:lvl w:ilvl="0" w:tentative="0">
      <w:start w:val="1"/>
      <w:numFmt w:val="none"/>
      <w:lvlText w:val="一、"/>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57CCEC62"/>
    <w:multiLevelType w:val="singleLevel"/>
    <w:tmpl w:val="57CCEC62"/>
    <w:lvl w:ilvl="0" w:tentative="0">
      <w:start w:val="1"/>
      <w:numFmt w:val="decimal"/>
      <w:suff w:val="nothing"/>
      <w:lvlText w:val="%1、"/>
      <w:lvlJc w:val="left"/>
      <w:rPr>
        <w:rFonts w:cs="Tahoma"/>
      </w:rPr>
    </w:lvl>
  </w:abstractNum>
  <w:num w:numId="1">
    <w:abstractNumId w:val="3"/>
  </w:num>
  <w:num w:numId="2">
    <w:abstractNumId w:val="1"/>
  </w:num>
  <w:num w:numId="3">
    <w:abstractNumId w:val="4"/>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UwMWQ4MTQ4NzI5NDFhMDRjZTEyNTJlZGFlMzVkMTkifQ=="/>
  </w:docVars>
  <w:rsids>
    <w:rsidRoot w:val="004506F9"/>
    <w:rsid w:val="0002229B"/>
    <w:rsid w:val="000273BD"/>
    <w:rsid w:val="000415B7"/>
    <w:rsid w:val="00041E3F"/>
    <w:rsid w:val="00055DAA"/>
    <w:rsid w:val="00061F7B"/>
    <w:rsid w:val="000658A3"/>
    <w:rsid w:val="00074155"/>
    <w:rsid w:val="000873EF"/>
    <w:rsid w:val="000A3F69"/>
    <w:rsid w:val="00103957"/>
    <w:rsid w:val="00124A1F"/>
    <w:rsid w:val="00152C6D"/>
    <w:rsid w:val="00162D39"/>
    <w:rsid w:val="001678BD"/>
    <w:rsid w:val="00182373"/>
    <w:rsid w:val="001A67DB"/>
    <w:rsid w:val="001C3C29"/>
    <w:rsid w:val="001D51E5"/>
    <w:rsid w:val="001E080D"/>
    <w:rsid w:val="001E53D0"/>
    <w:rsid w:val="001F0C3B"/>
    <w:rsid w:val="00202C14"/>
    <w:rsid w:val="00202C82"/>
    <w:rsid w:val="00214427"/>
    <w:rsid w:val="00226CB7"/>
    <w:rsid w:val="00264552"/>
    <w:rsid w:val="00264EF9"/>
    <w:rsid w:val="00265724"/>
    <w:rsid w:val="0027426B"/>
    <w:rsid w:val="002E0A30"/>
    <w:rsid w:val="003130C4"/>
    <w:rsid w:val="00316C4B"/>
    <w:rsid w:val="0032192B"/>
    <w:rsid w:val="003479BD"/>
    <w:rsid w:val="0037197D"/>
    <w:rsid w:val="003768D5"/>
    <w:rsid w:val="003C4197"/>
    <w:rsid w:val="003C47E6"/>
    <w:rsid w:val="003C4FC2"/>
    <w:rsid w:val="003E2331"/>
    <w:rsid w:val="00416E61"/>
    <w:rsid w:val="0042790C"/>
    <w:rsid w:val="004506F9"/>
    <w:rsid w:val="004717A2"/>
    <w:rsid w:val="00473DF3"/>
    <w:rsid w:val="00487911"/>
    <w:rsid w:val="00491741"/>
    <w:rsid w:val="004B0CEE"/>
    <w:rsid w:val="00500E5F"/>
    <w:rsid w:val="005122EF"/>
    <w:rsid w:val="0051441A"/>
    <w:rsid w:val="00517C33"/>
    <w:rsid w:val="00517D5F"/>
    <w:rsid w:val="00521AF2"/>
    <w:rsid w:val="00523644"/>
    <w:rsid w:val="0054069E"/>
    <w:rsid w:val="00544866"/>
    <w:rsid w:val="005767CC"/>
    <w:rsid w:val="00590D9F"/>
    <w:rsid w:val="00595D26"/>
    <w:rsid w:val="005A74E6"/>
    <w:rsid w:val="005B404E"/>
    <w:rsid w:val="005D4D55"/>
    <w:rsid w:val="005E2CFB"/>
    <w:rsid w:val="005F2103"/>
    <w:rsid w:val="005F3D1C"/>
    <w:rsid w:val="0062378F"/>
    <w:rsid w:val="00641842"/>
    <w:rsid w:val="00651EEC"/>
    <w:rsid w:val="00686673"/>
    <w:rsid w:val="00691E8C"/>
    <w:rsid w:val="006A22C4"/>
    <w:rsid w:val="006A348B"/>
    <w:rsid w:val="006A351B"/>
    <w:rsid w:val="006B0422"/>
    <w:rsid w:val="006C1B53"/>
    <w:rsid w:val="006D7730"/>
    <w:rsid w:val="006E5284"/>
    <w:rsid w:val="006F3EB5"/>
    <w:rsid w:val="00702E34"/>
    <w:rsid w:val="00704395"/>
    <w:rsid w:val="00710FE7"/>
    <w:rsid w:val="00717621"/>
    <w:rsid w:val="00720FF1"/>
    <w:rsid w:val="00727A53"/>
    <w:rsid w:val="00787B42"/>
    <w:rsid w:val="007C4539"/>
    <w:rsid w:val="007F3657"/>
    <w:rsid w:val="00812ED5"/>
    <w:rsid w:val="008277D9"/>
    <w:rsid w:val="0084478C"/>
    <w:rsid w:val="0086638C"/>
    <w:rsid w:val="008A3E8D"/>
    <w:rsid w:val="009237C4"/>
    <w:rsid w:val="00944C48"/>
    <w:rsid w:val="00950252"/>
    <w:rsid w:val="00967F5D"/>
    <w:rsid w:val="009A0F95"/>
    <w:rsid w:val="009B3ADF"/>
    <w:rsid w:val="009C3B52"/>
    <w:rsid w:val="009E6817"/>
    <w:rsid w:val="009E6E9A"/>
    <w:rsid w:val="00A01D2B"/>
    <w:rsid w:val="00A42218"/>
    <w:rsid w:val="00A70249"/>
    <w:rsid w:val="00A70B02"/>
    <w:rsid w:val="00A71D9F"/>
    <w:rsid w:val="00A92E9F"/>
    <w:rsid w:val="00B33BEA"/>
    <w:rsid w:val="00B57C9F"/>
    <w:rsid w:val="00B63572"/>
    <w:rsid w:val="00B845B3"/>
    <w:rsid w:val="00B85D8B"/>
    <w:rsid w:val="00BB4A40"/>
    <w:rsid w:val="00BD6C3E"/>
    <w:rsid w:val="00BE3674"/>
    <w:rsid w:val="00C10681"/>
    <w:rsid w:val="00C3049A"/>
    <w:rsid w:val="00C31B1E"/>
    <w:rsid w:val="00C77645"/>
    <w:rsid w:val="00CE04C3"/>
    <w:rsid w:val="00CE76A0"/>
    <w:rsid w:val="00D148C6"/>
    <w:rsid w:val="00D17A8A"/>
    <w:rsid w:val="00D415BA"/>
    <w:rsid w:val="00D63780"/>
    <w:rsid w:val="00D644EE"/>
    <w:rsid w:val="00D75489"/>
    <w:rsid w:val="00DD06FF"/>
    <w:rsid w:val="00DD5FE9"/>
    <w:rsid w:val="00E00C7A"/>
    <w:rsid w:val="00E209CF"/>
    <w:rsid w:val="00E37D6C"/>
    <w:rsid w:val="00E55B68"/>
    <w:rsid w:val="00E67BE6"/>
    <w:rsid w:val="00E8683C"/>
    <w:rsid w:val="00EA2B72"/>
    <w:rsid w:val="00F74360"/>
    <w:rsid w:val="00FB462F"/>
    <w:rsid w:val="00FE16FA"/>
    <w:rsid w:val="00FE328A"/>
    <w:rsid w:val="00FE6269"/>
    <w:rsid w:val="00FF5CD6"/>
    <w:rsid w:val="02834991"/>
    <w:rsid w:val="109E77FE"/>
    <w:rsid w:val="26004C31"/>
    <w:rsid w:val="266F22D2"/>
    <w:rsid w:val="2C3F712F"/>
    <w:rsid w:val="35FE5AFB"/>
    <w:rsid w:val="3D412D8B"/>
    <w:rsid w:val="47E97AD6"/>
    <w:rsid w:val="4C6A7977"/>
    <w:rsid w:val="53C8685D"/>
    <w:rsid w:val="59987F3E"/>
    <w:rsid w:val="60E54856"/>
    <w:rsid w:val="61D9582E"/>
    <w:rsid w:val="64B46C20"/>
    <w:rsid w:val="6B3E2EEB"/>
    <w:rsid w:val="6C930316"/>
    <w:rsid w:val="74365D42"/>
    <w:rsid w:val="74FC666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Layout w:type="fixed"/>
      <w:tblCellMar>
        <w:top w:w="0" w:type="dxa"/>
        <w:left w:w="108" w:type="dxa"/>
        <w:bottom w:w="0" w:type="dxa"/>
        <w:right w:w="108" w:type="dxa"/>
      </w:tblCellMar>
    </w:tblPr>
  </w:style>
  <w:style w:type="paragraph" w:styleId="2">
    <w:name w:val="Balloon Text"/>
    <w:basedOn w:val="1"/>
    <w:link w:val="11"/>
    <w:semiHidden/>
    <w:unhideWhenUsed/>
    <w:qFormat/>
    <w:uiPriority w:val="99"/>
    <w:rPr>
      <w:sz w:val="18"/>
      <w:szCs w:val="18"/>
    </w:rPr>
  </w:style>
  <w:style w:type="paragraph" w:styleId="3">
    <w:name w:val="footer"/>
    <w:basedOn w:val="1"/>
    <w:link w:val="8"/>
    <w:unhideWhenUsed/>
    <w:qFormat/>
    <w:uiPriority w:val="99"/>
    <w:pPr>
      <w:tabs>
        <w:tab w:val="center" w:pos="4153"/>
        <w:tab w:val="right" w:pos="8306"/>
      </w:tabs>
      <w:snapToGrid w:val="0"/>
      <w:jc w:val="left"/>
    </w:pPr>
    <w:rPr>
      <w:sz w:val="18"/>
      <w:szCs w:val="18"/>
    </w:rPr>
  </w:style>
  <w:style w:type="paragraph" w:styleId="4">
    <w:name w:val="header"/>
    <w:basedOn w:val="1"/>
    <w:link w:val="7"/>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7">
    <w:name w:val="页眉 Char"/>
    <w:basedOn w:val="6"/>
    <w:link w:val="4"/>
    <w:qFormat/>
    <w:uiPriority w:val="99"/>
    <w:rPr>
      <w:sz w:val="18"/>
      <w:szCs w:val="18"/>
    </w:rPr>
  </w:style>
  <w:style w:type="character" w:customStyle="1" w:styleId="8">
    <w:name w:val="页脚 Char"/>
    <w:basedOn w:val="6"/>
    <w:link w:val="3"/>
    <w:qFormat/>
    <w:uiPriority w:val="99"/>
    <w:rPr>
      <w:sz w:val="18"/>
      <w:szCs w:val="18"/>
    </w:rPr>
  </w:style>
  <w:style w:type="paragraph" w:customStyle="1" w:styleId="9">
    <w:name w:val="Default"/>
    <w:qFormat/>
    <w:uiPriority w:val="0"/>
    <w:pPr>
      <w:widowControl w:val="0"/>
      <w:autoSpaceDE w:val="0"/>
      <w:autoSpaceDN w:val="0"/>
      <w:adjustRightInd w:val="0"/>
    </w:pPr>
    <w:rPr>
      <w:rFonts w:ascii="黑体" w:eastAsia="黑体" w:cs="黑体" w:hAnsiTheme="minorHAnsi"/>
      <w:color w:val="000000"/>
      <w:kern w:val="0"/>
      <w:sz w:val="24"/>
      <w:szCs w:val="24"/>
      <w:lang w:val="en-US" w:eastAsia="zh-CN" w:bidi="ar-SA"/>
    </w:rPr>
  </w:style>
  <w:style w:type="paragraph" w:styleId="10">
    <w:name w:val="List Paragraph"/>
    <w:basedOn w:val="1"/>
    <w:qFormat/>
    <w:uiPriority w:val="34"/>
    <w:pPr>
      <w:ind w:firstLine="420" w:firstLineChars="200"/>
    </w:pPr>
  </w:style>
  <w:style w:type="character" w:customStyle="1" w:styleId="11">
    <w:name w:val="批注框文本 Char"/>
    <w:basedOn w:val="6"/>
    <w:link w:val="2"/>
    <w:semiHidden/>
    <w:qFormat/>
    <w:uiPriority w:val="99"/>
    <w:rPr>
      <w:sz w:val="18"/>
      <w:szCs w:val="18"/>
    </w:rPr>
  </w:style>
  <w:style w:type="paragraph" w:customStyle="1" w:styleId="12">
    <w:name w:val="p0"/>
    <w:basedOn w:val="1"/>
    <w:qFormat/>
    <w:uiPriority w:val="0"/>
    <w:pPr>
      <w:widowControl/>
    </w:pPr>
    <w:rPr>
      <w:rFonts w:ascii="Calibri" w:hAnsi="Calibri" w:cs="宋体"/>
      <w:kern w:val="0"/>
      <w:szCs w:val="21"/>
    </w:rPr>
  </w:style>
  <w:style w:type="paragraph" w:customStyle="1" w:styleId="13">
    <w:name w:val="列表段落1"/>
    <w:basedOn w:val="1"/>
    <w:qFormat/>
    <w:uiPriority w:val="99"/>
    <w:pPr>
      <w:ind w:firstLine="420" w:firstLineChars="200"/>
    </w:pPr>
  </w:style>
  <w:style w:type="character" w:customStyle="1" w:styleId="14">
    <w:name w:val="NormalCharacter"/>
    <w:semiHidden/>
    <w:qFormat/>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C480904-B2FB-4FE3-894F-42F14B17BC59}">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33</Pages>
  <Words>663</Words>
  <Characters>679</Characters>
  <Lines>69</Lines>
  <Paragraphs>19</Paragraphs>
  <TotalTime>0</TotalTime>
  <ScaleCrop>false</ScaleCrop>
  <LinksUpToDate>false</LinksUpToDate>
  <CharactersWithSpaces>685</CharactersWithSpaces>
  <Application>WPS Office_11.1.0.9021_F1E327BC-269C-435d-A152-05C5408002CA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2020-07-02T02:32:00Z</dcterms:created>
  <dc:creator>李航 null</dc:creator>
  <cp:lastModifiedBy>Administrator</cp:lastModifiedBy>
  <cp:lastPrinted>2022-07-27T12:55:00Z</cp:lastPrinted>
  <dcterms:modified xsi:type="dcterms:W3CDTF">2025-09-12T08:23:43Z</dcterms:modified>
  <cp:revision>67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2052-11.1.0.9021</vt:lpwstr>
  </property>
  <property fmtid="{D5CDD505-2E9C-101B-9397-08002B2CF9AE}" pid="3" name="ICV">
    <vt:lpwstr>72BA8B4B04094E58A987AE1E60ADB317_13</vt:lpwstr>
  </property>
  <property fmtid="{D5CDD505-2E9C-101B-9397-08002B2CF9AE}" pid="4" name="KSOTemplateDocerSaveRecord">
    <vt:lpwstr>eyJoZGlkIjoiMTYxYzdhNDBlNmVkMDU3OGNlNDUzMGQxYTZlYjIxMGEifQ==</vt:lpwstr>
  </property>
</Properties>
</file>