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cs="Times New Roman"/>
          <w:sz w:val="56"/>
          <w:szCs w:val="56"/>
        </w:rPr>
      </w:pPr>
    </w:p>
    <w:p>
      <w:pPr>
        <w:pStyle w:val="13"/>
        <w:jc w:val="center"/>
        <w:rPr>
          <w:rFonts w:cs="Times New Roman"/>
          <w:sz w:val="56"/>
          <w:szCs w:val="56"/>
        </w:rPr>
      </w:pPr>
    </w:p>
    <w:p>
      <w:pPr>
        <w:pStyle w:val="13"/>
        <w:jc w:val="center"/>
        <w:rPr>
          <w:rFonts w:cs="Times New Roman"/>
          <w:sz w:val="84"/>
          <w:szCs w:val="84"/>
        </w:rPr>
      </w:pPr>
    </w:p>
    <w:p>
      <w:pPr>
        <w:pStyle w:val="13"/>
        <w:jc w:val="center"/>
        <w:rPr>
          <w:rFonts w:cs="Times New Roman"/>
          <w:sz w:val="84"/>
          <w:szCs w:val="84"/>
        </w:rPr>
      </w:pPr>
    </w:p>
    <w:p>
      <w:pPr>
        <w:pStyle w:val="13"/>
        <w:jc w:val="center"/>
        <w:rPr>
          <w:rFonts w:cs="Times New Roman"/>
          <w:sz w:val="84"/>
          <w:szCs w:val="84"/>
        </w:rPr>
      </w:pPr>
      <w:r>
        <w:rPr>
          <w:sz w:val="84"/>
          <w:szCs w:val="84"/>
        </w:rPr>
        <w:t>2021</w:t>
      </w:r>
      <w:r>
        <w:rPr>
          <w:rFonts w:hint="eastAsia"/>
          <w:sz w:val="84"/>
          <w:szCs w:val="84"/>
        </w:rPr>
        <w:t>年度</w:t>
      </w:r>
    </w:p>
    <w:p>
      <w:pPr>
        <w:pStyle w:val="13"/>
        <w:jc w:val="center"/>
        <w:rPr>
          <w:rFonts w:cs="Times New Roman"/>
          <w:sz w:val="84"/>
          <w:szCs w:val="84"/>
        </w:rPr>
      </w:pPr>
      <w:r>
        <w:rPr>
          <w:rFonts w:hint="eastAsia"/>
          <w:sz w:val="84"/>
          <w:szCs w:val="84"/>
        </w:rPr>
        <w:t>道县市场服务中心部门决算</w:t>
      </w:r>
    </w:p>
    <w:p>
      <w:pPr>
        <w:pStyle w:val="13"/>
        <w:jc w:val="center"/>
        <w:rPr>
          <w:rFonts w:cs="Times New Roman"/>
          <w:sz w:val="56"/>
          <w:szCs w:val="56"/>
        </w:rPr>
      </w:pPr>
    </w:p>
    <w:p>
      <w:pPr>
        <w:pStyle w:val="13"/>
        <w:jc w:val="center"/>
        <w:rPr>
          <w:rFonts w:cs="Times New Roman"/>
          <w:sz w:val="56"/>
          <w:szCs w:val="56"/>
        </w:rPr>
      </w:pPr>
    </w:p>
    <w:p>
      <w:pPr>
        <w:pStyle w:val="13"/>
        <w:jc w:val="center"/>
        <w:rPr>
          <w:rFonts w:cs="Times New Roman"/>
          <w:sz w:val="56"/>
          <w:szCs w:val="56"/>
        </w:rPr>
      </w:pPr>
    </w:p>
    <w:p>
      <w:pPr>
        <w:pStyle w:val="13"/>
        <w:jc w:val="center"/>
        <w:rPr>
          <w:rFonts w:cs="Times New Roman"/>
          <w:sz w:val="56"/>
          <w:szCs w:val="56"/>
        </w:rPr>
      </w:pPr>
    </w:p>
    <w:p>
      <w:pPr>
        <w:pStyle w:val="13"/>
        <w:jc w:val="center"/>
        <w:rPr>
          <w:rFonts w:cs="Times New Roman"/>
          <w:sz w:val="32"/>
          <w:szCs w:val="32"/>
        </w:rPr>
      </w:pPr>
    </w:p>
    <w:p>
      <w:pPr>
        <w:pStyle w:val="13"/>
        <w:jc w:val="center"/>
        <w:rPr>
          <w:rFonts w:cs="Times New Roman"/>
          <w:sz w:val="32"/>
          <w:szCs w:val="32"/>
        </w:rPr>
      </w:pPr>
    </w:p>
    <w:p>
      <w:pPr>
        <w:pStyle w:val="13"/>
        <w:jc w:val="center"/>
        <w:rPr>
          <w:rFonts w:cs="Times New Roman"/>
          <w:sz w:val="32"/>
          <w:szCs w:val="32"/>
        </w:rPr>
      </w:pPr>
    </w:p>
    <w:p>
      <w:pPr>
        <w:pStyle w:val="13"/>
        <w:jc w:val="center"/>
        <w:rPr>
          <w:rFonts w:cs="Times New Roman"/>
          <w:sz w:val="32"/>
          <w:szCs w:val="32"/>
        </w:rPr>
      </w:pPr>
    </w:p>
    <w:p>
      <w:pPr>
        <w:pStyle w:val="13"/>
        <w:jc w:val="center"/>
        <w:rPr>
          <w:rFonts w:cs="Times New Roman"/>
          <w:sz w:val="32"/>
          <w:szCs w:val="32"/>
        </w:rPr>
      </w:pPr>
    </w:p>
    <w:p>
      <w:pPr>
        <w:pStyle w:val="13"/>
        <w:spacing w:line="540" w:lineRule="exact"/>
        <w:jc w:val="center"/>
        <w:rPr>
          <w:rFonts w:cs="Times New Roman"/>
          <w:sz w:val="56"/>
          <w:szCs w:val="56"/>
        </w:rPr>
      </w:pPr>
    </w:p>
    <w:p>
      <w:pPr>
        <w:pStyle w:val="13"/>
        <w:spacing w:line="500" w:lineRule="exact"/>
        <w:jc w:val="center"/>
        <w:rPr>
          <w:rFonts w:cs="Times New Roman"/>
          <w:b/>
          <w:bCs/>
          <w:sz w:val="36"/>
          <w:szCs w:val="36"/>
        </w:rPr>
      </w:pPr>
    </w:p>
    <w:p>
      <w:pPr>
        <w:pStyle w:val="13"/>
        <w:spacing w:line="500" w:lineRule="exact"/>
        <w:jc w:val="center"/>
        <w:rPr>
          <w:rFonts w:cs="Times New Roman"/>
          <w:b/>
          <w:bCs/>
          <w:sz w:val="36"/>
          <w:szCs w:val="36"/>
        </w:rPr>
      </w:pPr>
    </w:p>
    <w:p>
      <w:pPr>
        <w:pStyle w:val="13"/>
        <w:spacing w:line="500" w:lineRule="exact"/>
        <w:jc w:val="center"/>
        <w:rPr>
          <w:rFonts w:cs="Times New Roman"/>
          <w:b/>
          <w:bCs/>
          <w:sz w:val="36"/>
          <w:szCs w:val="36"/>
        </w:rPr>
      </w:pPr>
      <w:r>
        <w:rPr>
          <w:rFonts w:hint="eastAsia"/>
          <w:b/>
          <w:bCs/>
          <w:sz w:val="36"/>
          <w:szCs w:val="36"/>
        </w:rPr>
        <w:t>目录</w:t>
      </w:r>
    </w:p>
    <w:p>
      <w:pPr>
        <w:pStyle w:val="13"/>
        <w:spacing w:line="500" w:lineRule="exact"/>
        <w:rPr>
          <w:rFonts w:ascii="仿宋_GB2312" w:eastAsia="仿宋_GB2312" w:cs="Times New Roman"/>
          <w:b/>
          <w:bCs/>
          <w:sz w:val="28"/>
          <w:szCs w:val="28"/>
        </w:rPr>
      </w:pPr>
      <w:r>
        <w:rPr>
          <w:rFonts w:hint="eastAsia"/>
          <w:b/>
          <w:bCs/>
          <w:sz w:val="28"/>
          <w:szCs w:val="28"/>
        </w:rPr>
        <w:t>第一部分单位概况</w:t>
      </w:r>
    </w:p>
    <w:p>
      <w:pPr>
        <w:pStyle w:val="13"/>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一、部门职责</w:t>
      </w:r>
    </w:p>
    <w:p>
      <w:pPr>
        <w:pStyle w:val="13"/>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二、机构设置</w:t>
      </w:r>
    </w:p>
    <w:p>
      <w:pPr>
        <w:pStyle w:val="13"/>
        <w:spacing w:line="500" w:lineRule="exact"/>
        <w:rPr>
          <w:rFonts w:ascii="仿宋_GB2312" w:eastAsia="仿宋_GB2312" w:cs="Times New Roman"/>
          <w:b/>
          <w:bCs/>
          <w:sz w:val="28"/>
          <w:szCs w:val="28"/>
        </w:rPr>
      </w:pPr>
      <w:r>
        <w:rPr>
          <w:rFonts w:hint="eastAsia" w:hAnsi="仿宋_GB2312"/>
          <w:b/>
          <w:bCs/>
          <w:sz w:val="28"/>
          <w:szCs w:val="28"/>
        </w:rPr>
        <w:t>第二部分</w:t>
      </w:r>
      <w:r>
        <w:rPr>
          <w:rFonts w:hAnsi="仿宋_GB2312"/>
          <w:b/>
          <w:bCs/>
          <w:sz w:val="28"/>
          <w:szCs w:val="28"/>
        </w:rPr>
        <w:t>2021</w:t>
      </w:r>
      <w:r>
        <w:rPr>
          <w:rFonts w:hint="eastAsia" w:hAnsi="仿宋_GB2312"/>
          <w:b/>
          <w:bCs/>
          <w:sz w:val="28"/>
          <w:szCs w:val="28"/>
        </w:rPr>
        <w:t>年度部门决算表</w:t>
      </w:r>
    </w:p>
    <w:p>
      <w:pPr>
        <w:pStyle w:val="13"/>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一、收入支出决算总表</w:t>
      </w:r>
    </w:p>
    <w:p>
      <w:pPr>
        <w:pStyle w:val="13"/>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二、收入决算表</w:t>
      </w:r>
    </w:p>
    <w:p>
      <w:pPr>
        <w:pStyle w:val="13"/>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三、支出决算表</w:t>
      </w:r>
    </w:p>
    <w:p>
      <w:pPr>
        <w:pStyle w:val="13"/>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四、财政拨款收入支出决算总表</w:t>
      </w:r>
    </w:p>
    <w:p>
      <w:pPr>
        <w:pStyle w:val="13"/>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五、一般公共预算财政拨款支出决算表</w:t>
      </w:r>
    </w:p>
    <w:p>
      <w:pPr>
        <w:pStyle w:val="13"/>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六、一般公共预算财政拨款基本支出决算明细表</w:t>
      </w:r>
    </w:p>
    <w:p>
      <w:pPr>
        <w:pStyle w:val="13"/>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七、一般公共预算财政拨款“三公”经费支出决算表</w:t>
      </w:r>
    </w:p>
    <w:p>
      <w:pPr>
        <w:pStyle w:val="13"/>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八、政府性基金预算财政拨款收入支出决算表</w:t>
      </w:r>
    </w:p>
    <w:p>
      <w:pPr>
        <w:pStyle w:val="13"/>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九、国有资本经营预算财政拨款支出决算表</w:t>
      </w:r>
    </w:p>
    <w:p>
      <w:pPr>
        <w:pStyle w:val="13"/>
        <w:spacing w:line="500" w:lineRule="exact"/>
        <w:rPr>
          <w:rFonts w:ascii="仿宋_GB2312" w:eastAsia="仿宋_GB2312" w:cs="Times New Roman"/>
          <w:b/>
          <w:bCs/>
          <w:sz w:val="28"/>
          <w:szCs w:val="28"/>
        </w:rPr>
      </w:pPr>
      <w:r>
        <w:rPr>
          <w:rFonts w:hint="eastAsia" w:hAnsi="仿宋_GB2312"/>
          <w:b/>
          <w:bCs/>
          <w:sz w:val="28"/>
          <w:szCs w:val="28"/>
        </w:rPr>
        <w:t>第三部分</w:t>
      </w:r>
      <w:r>
        <w:rPr>
          <w:rFonts w:hAnsi="仿宋_GB2312"/>
          <w:b/>
          <w:bCs/>
          <w:sz w:val="28"/>
          <w:szCs w:val="28"/>
        </w:rPr>
        <w:t>2021</w:t>
      </w:r>
      <w:r>
        <w:rPr>
          <w:rFonts w:hint="eastAsia" w:hAnsi="仿宋_GB2312"/>
          <w:b/>
          <w:bCs/>
          <w:sz w:val="28"/>
          <w:szCs w:val="28"/>
        </w:rPr>
        <w:t>年度部门决算情况说明</w:t>
      </w:r>
    </w:p>
    <w:p>
      <w:pPr>
        <w:pStyle w:val="13"/>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一、收入支出决算总体情况说明</w:t>
      </w:r>
    </w:p>
    <w:p>
      <w:pPr>
        <w:spacing w:line="500" w:lineRule="exact"/>
        <w:ind w:firstLine="700" w:firstLineChars="250"/>
        <w:jc w:val="left"/>
        <w:rPr>
          <w:rFonts w:ascii="仿宋_GB2312" w:eastAsia="仿宋_GB2312" w:cs="Times New Roman"/>
          <w:sz w:val="28"/>
          <w:szCs w:val="28"/>
        </w:rPr>
      </w:pPr>
      <w:r>
        <w:rPr>
          <w:rFonts w:hint="eastAsia" w:ascii="仿宋_GB2312" w:hAnsi="仿宋_GB2312" w:cs="宋体"/>
          <w:sz w:val="28"/>
          <w:szCs w:val="28"/>
        </w:rPr>
        <w:t>二、收入决算情况说明</w:t>
      </w:r>
    </w:p>
    <w:p>
      <w:pPr>
        <w:autoSpaceDE w:val="0"/>
        <w:autoSpaceDN w:val="0"/>
        <w:adjustRightInd w:val="0"/>
        <w:spacing w:line="500" w:lineRule="exact"/>
        <w:ind w:firstLine="700" w:firstLineChars="250"/>
        <w:jc w:val="left"/>
        <w:rPr>
          <w:rFonts w:ascii="仿宋_GB2312" w:eastAsia="仿宋_GB2312" w:cs="Times New Roman"/>
          <w:color w:val="000000"/>
          <w:kern w:val="0"/>
          <w:sz w:val="28"/>
          <w:szCs w:val="28"/>
        </w:rPr>
      </w:pPr>
      <w:r>
        <w:rPr>
          <w:rFonts w:hint="eastAsia" w:ascii="仿宋_GB2312" w:hAnsi="仿宋_GB2312" w:cs="宋体"/>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eastAsia="仿宋_GB2312" w:cs="Times New Roman"/>
          <w:color w:val="000000"/>
          <w:kern w:val="0"/>
          <w:sz w:val="28"/>
          <w:szCs w:val="28"/>
        </w:rPr>
      </w:pPr>
      <w:r>
        <w:rPr>
          <w:rFonts w:hint="eastAsia" w:ascii="仿宋_GB2312" w:hAnsi="仿宋_GB2312" w:cs="宋体"/>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eastAsia="仿宋_GB2312" w:cs="Times New Roman"/>
          <w:color w:val="000000"/>
          <w:kern w:val="0"/>
          <w:sz w:val="28"/>
          <w:szCs w:val="28"/>
        </w:rPr>
      </w:pPr>
      <w:r>
        <w:rPr>
          <w:rFonts w:hint="eastAsia" w:ascii="仿宋_GB2312" w:hAnsi="仿宋_GB2312" w:cs="宋体"/>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eastAsia="仿宋_GB2312" w:cs="Times New Roman"/>
          <w:color w:val="000000"/>
          <w:kern w:val="0"/>
          <w:sz w:val="28"/>
          <w:szCs w:val="28"/>
        </w:rPr>
      </w:pPr>
      <w:r>
        <w:rPr>
          <w:rFonts w:hint="eastAsia" w:ascii="仿宋_GB2312" w:hAnsi="仿宋_GB2312" w:cs="宋体"/>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eastAsia="仿宋_GB2312" w:cs="Times New Roman"/>
          <w:color w:val="000000"/>
          <w:kern w:val="0"/>
          <w:sz w:val="28"/>
          <w:szCs w:val="28"/>
        </w:rPr>
      </w:pPr>
      <w:r>
        <w:rPr>
          <w:rFonts w:hint="eastAsia" w:ascii="仿宋_GB2312" w:hAnsi="仿宋_GB2312" w:cs="宋体"/>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eastAsia="仿宋_GB2312" w:cs="Times New Roman"/>
          <w:color w:val="000000"/>
          <w:kern w:val="0"/>
          <w:sz w:val="28"/>
          <w:szCs w:val="28"/>
        </w:rPr>
      </w:pPr>
      <w:r>
        <w:rPr>
          <w:rFonts w:hint="eastAsia" w:ascii="仿宋_GB2312" w:hAnsi="仿宋_GB2312" w:cs="宋体"/>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eastAsia="仿宋_GB2312" w:cs="Times New Roman"/>
          <w:color w:val="000000"/>
          <w:kern w:val="0"/>
          <w:sz w:val="28"/>
          <w:szCs w:val="28"/>
        </w:rPr>
      </w:pPr>
      <w:r>
        <w:rPr>
          <w:rFonts w:hint="eastAsia" w:ascii="仿宋_GB2312" w:hAnsi="仿宋_GB2312" w:cs="宋体"/>
          <w:color w:val="000000"/>
          <w:kern w:val="0"/>
          <w:sz w:val="28"/>
          <w:szCs w:val="28"/>
        </w:rPr>
        <w:t>九、机关运行经费支出说明</w:t>
      </w:r>
    </w:p>
    <w:p>
      <w:pPr>
        <w:autoSpaceDE w:val="0"/>
        <w:autoSpaceDN w:val="0"/>
        <w:adjustRightInd w:val="0"/>
        <w:spacing w:line="500" w:lineRule="exact"/>
        <w:ind w:firstLine="700" w:firstLineChars="250"/>
        <w:jc w:val="left"/>
        <w:rPr>
          <w:rFonts w:ascii="仿宋_GB2312" w:eastAsia="仿宋_GB2312" w:cs="Times New Roman"/>
          <w:color w:val="000000"/>
          <w:kern w:val="0"/>
          <w:sz w:val="28"/>
          <w:szCs w:val="28"/>
        </w:rPr>
      </w:pPr>
      <w:r>
        <w:rPr>
          <w:rFonts w:hint="eastAsia" w:ascii="仿宋_GB2312" w:hAnsi="仿宋_GB2312" w:cs="宋体"/>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eastAsia="仿宋_GB2312" w:cs="Times New Roman"/>
          <w:color w:val="000000"/>
          <w:kern w:val="0"/>
          <w:sz w:val="28"/>
          <w:szCs w:val="28"/>
        </w:rPr>
      </w:pPr>
      <w:r>
        <w:rPr>
          <w:rFonts w:hint="eastAsia" w:ascii="仿宋_GB2312" w:hAnsi="仿宋_GB2312" w:cs="宋体"/>
          <w:color w:val="000000"/>
          <w:kern w:val="0"/>
          <w:sz w:val="28"/>
          <w:szCs w:val="28"/>
        </w:rPr>
        <w:t>十一、政府采购支出说明</w:t>
      </w:r>
    </w:p>
    <w:p>
      <w:pPr>
        <w:pStyle w:val="13"/>
        <w:spacing w:line="500" w:lineRule="exact"/>
        <w:ind w:firstLine="700" w:firstLineChars="250"/>
        <w:rPr>
          <w:rFonts w:ascii="仿宋_GB2312" w:hAnsi="仿宋_GB2312" w:eastAsia="宋体" w:cs="Times New Roman"/>
          <w:sz w:val="28"/>
          <w:szCs w:val="28"/>
        </w:rPr>
      </w:pPr>
      <w:r>
        <w:rPr>
          <w:rFonts w:hint="eastAsia" w:ascii="仿宋_GB2312" w:hAnsi="仿宋_GB2312" w:eastAsia="宋体" w:cs="宋体"/>
          <w:sz w:val="28"/>
          <w:szCs w:val="28"/>
        </w:rPr>
        <w:t>十二、国有资产占用情况说明</w:t>
      </w:r>
    </w:p>
    <w:p>
      <w:pPr>
        <w:pStyle w:val="13"/>
        <w:spacing w:line="500" w:lineRule="exact"/>
        <w:ind w:firstLine="700" w:firstLineChars="250"/>
        <w:rPr>
          <w:rFonts w:ascii="仿宋_GB2312" w:hAnsi="仿宋_GB2312" w:eastAsia="宋体" w:cs="Times New Roman"/>
          <w:sz w:val="28"/>
          <w:szCs w:val="28"/>
        </w:rPr>
      </w:pPr>
      <w:r>
        <w:rPr>
          <w:rFonts w:hint="eastAsia" w:ascii="仿宋_GB2312" w:hAnsi="仿宋_GB2312" w:eastAsia="宋体" w:cs="宋体"/>
          <w:sz w:val="28"/>
          <w:szCs w:val="28"/>
        </w:rPr>
        <w:t>十三、</w:t>
      </w:r>
      <w:r>
        <w:rPr>
          <w:rFonts w:ascii="宋体" w:hAnsi="宋体" w:eastAsia="宋体" w:cs="宋体"/>
          <w:sz w:val="28"/>
          <w:szCs w:val="28"/>
        </w:rPr>
        <w:t>2021</w:t>
      </w:r>
      <w:r>
        <w:rPr>
          <w:rFonts w:hint="eastAsia" w:ascii="宋体" w:hAnsi="宋体" w:eastAsia="宋体" w:cs="宋体"/>
          <w:sz w:val="28"/>
          <w:szCs w:val="28"/>
        </w:rPr>
        <w:t>年</w:t>
      </w:r>
      <w:r>
        <w:rPr>
          <w:rFonts w:hint="eastAsia" w:ascii="仿宋_GB2312" w:hAnsi="仿宋_GB2312" w:eastAsia="宋体" w:cs="宋体"/>
          <w:sz w:val="28"/>
          <w:szCs w:val="28"/>
        </w:rPr>
        <w:t>度预算绩效情况说明</w:t>
      </w:r>
    </w:p>
    <w:p>
      <w:pPr>
        <w:autoSpaceDE w:val="0"/>
        <w:autoSpaceDN w:val="0"/>
        <w:adjustRightInd w:val="0"/>
        <w:spacing w:line="500" w:lineRule="exact"/>
        <w:jc w:val="left"/>
        <w:rPr>
          <w:rFonts w:ascii="黑体" w:hAnsi="黑体" w:eastAsia="黑体" w:cs="Times New Roman"/>
          <w:b/>
          <w:bCs/>
          <w:color w:val="000000"/>
          <w:kern w:val="0"/>
          <w:sz w:val="28"/>
          <w:szCs w:val="28"/>
        </w:rPr>
      </w:pPr>
      <w:r>
        <w:rPr>
          <w:rFonts w:hint="eastAsia" w:ascii="黑体" w:hAnsi="黑体" w:eastAsia="黑体" w:cs="黑体"/>
          <w:b/>
          <w:bCs/>
          <w:color w:val="000000"/>
          <w:kern w:val="0"/>
          <w:sz w:val="28"/>
          <w:szCs w:val="28"/>
        </w:rPr>
        <w:t>第四部分名词解释</w:t>
      </w:r>
    </w:p>
    <w:p>
      <w:pPr>
        <w:autoSpaceDE w:val="0"/>
        <w:autoSpaceDN w:val="0"/>
        <w:adjustRightInd w:val="0"/>
        <w:spacing w:line="500" w:lineRule="exact"/>
        <w:jc w:val="left"/>
        <w:rPr>
          <w:rFonts w:ascii="黑体" w:hAnsi="黑体" w:eastAsia="黑体" w:cs="Times New Roman"/>
          <w:b/>
          <w:bCs/>
          <w:color w:val="000000"/>
          <w:kern w:val="0"/>
          <w:sz w:val="28"/>
          <w:szCs w:val="28"/>
        </w:rPr>
      </w:pPr>
      <w:r>
        <w:rPr>
          <w:rFonts w:hint="eastAsia" w:ascii="黑体" w:hAnsi="黑体" w:eastAsia="黑体" w:cs="黑体"/>
          <w:b/>
          <w:bCs/>
          <w:color w:val="000000"/>
          <w:kern w:val="0"/>
          <w:sz w:val="28"/>
          <w:szCs w:val="28"/>
        </w:rPr>
        <w:t>第五部分附件</w:t>
      </w: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rPr>
          <w:rFonts w:cs="Times New Roman"/>
          <w:sz w:val="72"/>
          <w:szCs w:val="72"/>
        </w:rPr>
      </w:pPr>
    </w:p>
    <w:p>
      <w:pPr>
        <w:pStyle w:val="13"/>
        <w:jc w:val="center"/>
        <w:rPr>
          <w:rFonts w:cs="Times New Roman"/>
          <w:sz w:val="84"/>
          <w:szCs w:val="84"/>
        </w:rPr>
      </w:pPr>
      <w:r>
        <w:rPr>
          <w:rFonts w:hint="eastAsia"/>
          <w:sz w:val="84"/>
          <w:szCs w:val="84"/>
        </w:rPr>
        <w:t>第一部分</w:t>
      </w:r>
    </w:p>
    <w:p>
      <w:pPr>
        <w:pStyle w:val="13"/>
        <w:jc w:val="center"/>
        <w:rPr>
          <w:rFonts w:cs="Times New Roman"/>
          <w:sz w:val="84"/>
          <w:szCs w:val="84"/>
        </w:rPr>
      </w:pPr>
    </w:p>
    <w:p>
      <w:pPr>
        <w:pStyle w:val="13"/>
        <w:jc w:val="center"/>
        <w:rPr>
          <w:rFonts w:cs="Times New Roman"/>
          <w:sz w:val="84"/>
          <w:szCs w:val="84"/>
        </w:rPr>
      </w:pPr>
      <w:r>
        <w:rPr>
          <w:rFonts w:hint="eastAsia"/>
          <w:sz w:val="84"/>
          <w:szCs w:val="84"/>
        </w:rPr>
        <w:t>道县市场服务中心单位概况</w:t>
      </w: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pStyle w:val="14"/>
        <w:ind w:left="720" w:firstLine="0" w:firstLineChars="0"/>
        <w:jc w:val="left"/>
        <w:rPr>
          <w:rFonts w:ascii="黑体" w:hAnsi="黑体" w:eastAsia="黑体" w:cs="Times New Roman"/>
          <w:sz w:val="32"/>
          <w:szCs w:val="32"/>
        </w:rPr>
      </w:pPr>
    </w:p>
    <w:p>
      <w:pPr>
        <w:pStyle w:val="14"/>
        <w:ind w:left="720" w:firstLine="0" w:firstLineChars="0"/>
        <w:jc w:val="left"/>
        <w:rPr>
          <w:rFonts w:ascii="黑体" w:hAnsi="黑体" w:eastAsia="黑体" w:cs="Times New Roman"/>
          <w:sz w:val="32"/>
          <w:szCs w:val="32"/>
        </w:rPr>
      </w:pPr>
    </w:p>
    <w:p>
      <w:pPr>
        <w:pStyle w:val="14"/>
        <w:ind w:left="720" w:firstLine="0" w:firstLineChars="0"/>
        <w:jc w:val="left"/>
        <w:rPr>
          <w:rFonts w:ascii="黑体" w:hAnsi="黑体" w:eastAsia="黑体" w:cs="Times New Roman"/>
          <w:sz w:val="32"/>
          <w:szCs w:val="32"/>
        </w:rPr>
      </w:pPr>
    </w:p>
    <w:p>
      <w:pPr>
        <w:pStyle w:val="14"/>
        <w:numPr>
          <w:ilvl w:val="0"/>
          <w:numId w:val="1"/>
        </w:numPr>
        <w:ind w:firstLineChars="0"/>
        <w:jc w:val="left"/>
        <w:rPr>
          <w:rFonts w:ascii="黑体" w:hAnsi="黑体" w:eastAsia="黑体" w:cs="Times New Roman"/>
          <w:sz w:val="32"/>
          <w:szCs w:val="32"/>
        </w:rPr>
      </w:pPr>
      <w:r>
        <w:rPr>
          <w:rFonts w:hint="eastAsia" w:ascii="黑体" w:hAnsi="黑体" w:eastAsia="黑体" w:cs="黑体"/>
          <w:sz w:val="32"/>
          <w:szCs w:val="32"/>
        </w:rPr>
        <w:t>部门职责</w:t>
      </w:r>
    </w:p>
    <w:p>
      <w:pPr>
        <w:pStyle w:val="6"/>
        <w:widowControl/>
        <w:spacing w:beforeAutospacing="0" w:after="2" w:afterAutospacing="0"/>
        <w:ind w:firstLine="641"/>
        <w:rPr>
          <w:rFonts w:cs="Times New Roman"/>
          <w:sz w:val="27"/>
          <w:szCs w:val="27"/>
        </w:rPr>
      </w:pPr>
      <w:r>
        <w:rPr>
          <w:rFonts w:ascii="宋体" w:hAnsi="宋体" w:cs="宋体"/>
          <w:color w:val="000000"/>
          <w:sz w:val="32"/>
          <w:szCs w:val="32"/>
        </w:rPr>
        <w:t>1</w:t>
      </w:r>
      <w:r>
        <w:rPr>
          <w:rFonts w:hint="eastAsia" w:ascii="宋体" w:hAnsi="宋体" w:cs="宋体"/>
          <w:color w:val="000000"/>
          <w:sz w:val="32"/>
          <w:szCs w:val="32"/>
        </w:rPr>
        <w:t>、经营管理市场资产。</w:t>
      </w:r>
    </w:p>
    <w:p>
      <w:pPr>
        <w:pStyle w:val="6"/>
        <w:widowControl/>
        <w:spacing w:beforeAutospacing="0" w:after="2" w:afterAutospacing="0"/>
        <w:ind w:firstLine="641"/>
        <w:rPr>
          <w:rFonts w:cs="Times New Roman"/>
          <w:sz w:val="27"/>
          <w:szCs w:val="27"/>
        </w:rPr>
      </w:pPr>
      <w:r>
        <w:rPr>
          <w:rFonts w:ascii="宋体" w:hAnsi="宋体" w:cs="宋体"/>
          <w:color w:val="000000"/>
          <w:sz w:val="32"/>
          <w:szCs w:val="32"/>
        </w:rPr>
        <w:t>2</w:t>
      </w:r>
      <w:r>
        <w:rPr>
          <w:rFonts w:hint="eastAsia" w:ascii="宋体" w:hAnsi="宋体" w:cs="宋体"/>
          <w:color w:val="000000"/>
          <w:sz w:val="32"/>
          <w:szCs w:val="32"/>
        </w:rPr>
        <w:t>、负责市场内的物业管理、消防、卫生等日常服务。</w:t>
      </w:r>
    </w:p>
    <w:p>
      <w:pPr>
        <w:pStyle w:val="6"/>
        <w:widowControl/>
        <w:spacing w:beforeAutospacing="0" w:after="2" w:afterAutospacing="0"/>
        <w:ind w:firstLine="641"/>
        <w:rPr>
          <w:rFonts w:cs="Times New Roman"/>
          <w:sz w:val="27"/>
          <w:szCs w:val="27"/>
        </w:rPr>
      </w:pPr>
      <w:r>
        <w:rPr>
          <w:rFonts w:ascii="宋体" w:hAnsi="宋体" w:cs="宋体"/>
          <w:color w:val="000000"/>
          <w:sz w:val="32"/>
          <w:szCs w:val="32"/>
        </w:rPr>
        <w:t>3</w:t>
      </w:r>
      <w:r>
        <w:rPr>
          <w:rFonts w:hint="eastAsia" w:ascii="宋体" w:hAnsi="宋体" w:cs="宋体"/>
          <w:color w:val="000000"/>
          <w:sz w:val="32"/>
          <w:szCs w:val="32"/>
        </w:rPr>
        <w:t>、提供交易场所和服务设施，开展代储、代运、信息咨询和其他服务。</w:t>
      </w:r>
    </w:p>
    <w:p>
      <w:pPr>
        <w:pStyle w:val="6"/>
        <w:widowControl/>
        <w:spacing w:beforeAutospacing="0" w:after="2" w:afterAutospacing="0"/>
        <w:ind w:firstLine="641"/>
        <w:rPr>
          <w:rFonts w:cs="Times New Roman"/>
          <w:sz w:val="27"/>
          <w:szCs w:val="27"/>
        </w:rPr>
      </w:pPr>
      <w:r>
        <w:rPr>
          <w:rFonts w:ascii="宋体" w:hAnsi="宋体" w:cs="宋体"/>
          <w:color w:val="000000"/>
          <w:sz w:val="32"/>
          <w:szCs w:val="32"/>
        </w:rPr>
        <w:t>4</w:t>
      </w:r>
      <w:r>
        <w:rPr>
          <w:rFonts w:hint="eastAsia" w:ascii="宋体" w:hAnsi="宋体" w:cs="宋体"/>
          <w:color w:val="000000"/>
          <w:sz w:val="32"/>
          <w:szCs w:val="32"/>
        </w:rPr>
        <w:t>、收取市场设施租赁费、交易手续提成费和其他符合国家和省规定的有偿服务费。</w:t>
      </w:r>
    </w:p>
    <w:p>
      <w:pPr>
        <w:widowControl/>
        <w:spacing w:line="600" w:lineRule="exact"/>
        <w:rPr>
          <w:rFonts w:ascii="黑体" w:hAnsi="黑体" w:eastAsia="黑体" w:cs="Times New Roman"/>
          <w:kern w:val="0"/>
          <w:sz w:val="32"/>
          <w:szCs w:val="32"/>
        </w:rPr>
      </w:pPr>
      <w:r>
        <w:rPr>
          <w:rFonts w:hint="eastAsia" w:ascii="黑体" w:hAnsi="黑体" w:eastAsia="黑体" w:cs="黑体"/>
          <w:kern w:val="0"/>
          <w:sz w:val="32"/>
          <w:szCs w:val="32"/>
        </w:rPr>
        <w:t>二、机构设置及决算单位构成</w:t>
      </w:r>
    </w:p>
    <w:p>
      <w:pPr>
        <w:widowControl/>
        <w:jc w:val="left"/>
        <w:rPr>
          <w:rFonts w:cs="Times New Roman"/>
        </w:rPr>
      </w:pPr>
      <w:r>
        <w:rPr>
          <w:rFonts w:hint="eastAsia" w:ascii="宋体" w:hAnsi="宋体" w:cs="宋体"/>
          <w:kern w:val="0"/>
          <w:sz w:val="32"/>
          <w:szCs w:val="32"/>
        </w:rPr>
        <w:t>（一）内设机构设置。</w:t>
      </w:r>
      <w:r>
        <w:rPr>
          <w:rFonts w:hint="eastAsia" w:ascii="仿宋_GB2312" w:hAnsi="宋体" w:eastAsia="仿宋_GB2312" w:cs="仿宋_GB2312"/>
          <w:color w:val="000000"/>
          <w:kern w:val="0"/>
          <w:sz w:val="32"/>
          <w:szCs w:val="32"/>
        </w:rPr>
        <w:t>道县市场服务中心为县商务局所属副科级公益类事业单位，</w:t>
      </w: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内设办公室、政工股、规划建设股、市场经营股、治安消防股，</w:t>
      </w:r>
      <w:r>
        <w:rPr>
          <w:rFonts w:ascii="仿宋_GB2312" w:hAnsi="宋体" w:eastAsia="仿宋_GB2312" w:cs="仿宋_GB2312"/>
          <w:color w:val="000000"/>
          <w:kern w:val="0"/>
          <w:sz w:val="32"/>
          <w:szCs w:val="32"/>
        </w:rPr>
        <w:t xml:space="preserve"> </w:t>
      </w:r>
    </w:p>
    <w:p>
      <w:pPr>
        <w:widowControl/>
        <w:jc w:val="left"/>
        <w:rPr>
          <w:rFonts w:ascii="仿宋_GB2312" w:eastAsia="仿宋_GB2312" w:cs="Times New Roman"/>
        </w:rPr>
      </w:pPr>
      <w:r>
        <w:rPr>
          <w:rFonts w:hint="eastAsia" w:ascii="仿宋_GB2312" w:hAnsi="宋体" w:eastAsia="仿宋_GB2312" w:cs="仿宋_GB2312"/>
          <w:color w:val="000000"/>
          <w:kern w:val="0"/>
          <w:sz w:val="32"/>
          <w:szCs w:val="32"/>
        </w:rPr>
        <w:t>下设城南、城北、工业园、濂溪、家禽批发市场五个交易服务所。</w:t>
      </w:r>
      <w:r>
        <w:rPr>
          <w:rFonts w:hint="eastAsia" w:ascii="仿宋_GB2312" w:eastAsia="仿宋_GB2312" w:cs="仿宋_GB2312"/>
          <w:color w:val="000000"/>
          <w:sz w:val="32"/>
          <w:szCs w:val="32"/>
        </w:rPr>
        <w:t>编制</w:t>
      </w:r>
      <w:r>
        <w:rPr>
          <w:rFonts w:ascii="仿宋_GB2312" w:eastAsia="仿宋_GB2312" w:cs="仿宋_GB2312"/>
          <w:color w:val="000000"/>
          <w:sz w:val="32"/>
          <w:szCs w:val="32"/>
        </w:rPr>
        <w:t>134</w:t>
      </w:r>
      <w:r>
        <w:rPr>
          <w:rFonts w:hint="eastAsia" w:ascii="仿宋_GB2312" w:eastAsia="仿宋_GB2312" w:cs="仿宋_GB2312"/>
          <w:color w:val="000000"/>
          <w:sz w:val="32"/>
          <w:szCs w:val="32"/>
        </w:rPr>
        <w:t>人，现实有在职干部职工</w:t>
      </w:r>
      <w:r>
        <w:rPr>
          <w:rFonts w:ascii="仿宋_GB2312" w:eastAsia="仿宋_GB2312" w:cs="仿宋_GB2312"/>
          <w:color w:val="000000"/>
          <w:sz w:val="32"/>
          <w:szCs w:val="32"/>
        </w:rPr>
        <w:t>79</w:t>
      </w:r>
      <w:r>
        <w:rPr>
          <w:rFonts w:hint="eastAsia" w:ascii="仿宋_GB2312" w:eastAsia="仿宋_GB2312" w:cs="仿宋_GB2312"/>
          <w:color w:val="000000"/>
          <w:sz w:val="32"/>
          <w:szCs w:val="32"/>
        </w:rPr>
        <w:t>人。</w:t>
      </w:r>
    </w:p>
    <w:p>
      <w:pPr>
        <w:widowControl/>
        <w:jc w:val="left"/>
        <w:rPr>
          <w:rFonts w:cs="Times New Roman"/>
        </w:rPr>
      </w:pPr>
      <w:r>
        <w:rPr>
          <w:rFonts w:hint="eastAsia" w:ascii="宋体" w:hAnsi="宋体" w:cs="宋体"/>
          <w:kern w:val="0"/>
          <w:sz w:val="32"/>
          <w:szCs w:val="32"/>
        </w:rPr>
        <w:t>（二）决算单位构成。</w:t>
      </w:r>
      <w:r>
        <w:rPr>
          <w:rFonts w:hint="eastAsia" w:ascii="仿宋_GB2312" w:hAnsi="宋体" w:eastAsia="仿宋_GB2312" w:cs="仿宋_GB2312"/>
          <w:color w:val="000000"/>
          <w:kern w:val="0"/>
          <w:sz w:val="32"/>
          <w:szCs w:val="32"/>
        </w:rPr>
        <w:t>道县市场服务中心部门只有本级，没有其他二级预算单位。</w:t>
      </w:r>
    </w:p>
    <w:p>
      <w:pPr>
        <w:widowControl/>
        <w:spacing w:line="600" w:lineRule="exact"/>
        <w:rPr>
          <w:rFonts w:ascii="宋体" w:cs="Times New Roman"/>
          <w:kern w:val="0"/>
          <w:sz w:val="32"/>
          <w:szCs w:val="32"/>
        </w:rPr>
      </w:pPr>
    </w:p>
    <w:p>
      <w:pPr>
        <w:jc w:val="left"/>
        <w:rPr>
          <w:rFonts w:ascii="仿宋_GB2312" w:hAnsi="宋体" w:eastAsia="仿宋_GB2312"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r>
        <w:rPr>
          <w:rFonts w:hint="eastAsia" w:cs="宋体"/>
          <w:sz w:val="72"/>
          <w:szCs w:val="72"/>
        </w:rPr>
        <w:t>第二部分</w:t>
      </w:r>
    </w:p>
    <w:p>
      <w:pPr>
        <w:jc w:val="center"/>
        <w:rPr>
          <w:rFonts w:cs="Times New Roman"/>
          <w:sz w:val="72"/>
          <w:szCs w:val="72"/>
        </w:rPr>
      </w:pPr>
    </w:p>
    <w:p>
      <w:pPr>
        <w:jc w:val="center"/>
        <w:rPr>
          <w:rFonts w:cs="Times New Roman"/>
          <w:sz w:val="72"/>
          <w:szCs w:val="72"/>
        </w:rPr>
      </w:pPr>
      <w:r>
        <w:rPr>
          <w:rFonts w:hint="eastAsia" w:cs="宋体"/>
          <w:sz w:val="72"/>
          <w:szCs w:val="72"/>
        </w:rPr>
        <w:t>部门决算表</w:t>
      </w: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left"/>
        <w:rPr>
          <w:rFonts w:cs="Times New Roman"/>
          <w:sz w:val="32"/>
          <w:szCs w:val="32"/>
        </w:rPr>
      </w:pPr>
    </w:p>
    <w:p>
      <w:pPr>
        <w:jc w:val="left"/>
        <w:rPr>
          <w:rFonts w:ascii="宋体" w:cs="Times New Roman"/>
          <w:sz w:val="32"/>
          <w:szCs w:val="32"/>
        </w:rPr>
        <w:sectPr>
          <w:pgSz w:w="11906" w:h="16838"/>
          <w:pgMar w:top="720" w:right="720" w:bottom="720" w:left="720" w:header="851" w:footer="992" w:gutter="0"/>
          <w:cols w:space="425" w:num="1"/>
          <w:docGrid w:type="lines" w:linePitch="312" w:charSpace="0"/>
        </w:sectPr>
      </w:pPr>
    </w:p>
    <w:tbl>
      <w:tblPr>
        <w:tblStyle w:val="7"/>
        <w:tblW w:w="14081" w:type="dxa"/>
        <w:tblInd w:w="-106"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noWrap/>
            <w:vAlign w:val="center"/>
          </w:tcPr>
          <w:p>
            <w:pPr>
              <w:widowControl/>
              <w:jc w:val="center"/>
              <w:rPr>
                <w:rFonts w:ascii="华文中宋" w:hAnsi="华文中宋" w:eastAsia="华文中宋" w:cs="Times New Roman"/>
                <w:color w:val="000000"/>
                <w:kern w:val="0"/>
                <w:sz w:val="32"/>
                <w:szCs w:val="32"/>
              </w:rPr>
            </w:pPr>
            <w:r>
              <w:rPr>
                <w:rFonts w:hint="eastAsia" w:ascii="华文中宋" w:hAnsi="华文中宋" w:eastAsia="华文中宋" w:cs="华文中宋"/>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01</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部门：道县市场服务中心</w:t>
            </w:r>
          </w:p>
        </w:tc>
        <w:tc>
          <w:tcPr>
            <w:tcW w:w="697" w:type="dxa"/>
            <w:gridSpan w:val="2"/>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Times New Roman"/>
                <w:kern w:val="0"/>
                <w:sz w:val="20"/>
                <w:szCs w:val="20"/>
              </w:rPr>
            </w:pPr>
            <w:r>
              <w:rPr>
                <w:rFonts w:hint="eastAsia" w:ascii="宋体" w:hAnsi="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Times New Roman"/>
                <w:kern w:val="0"/>
                <w:sz w:val="20"/>
                <w:szCs w:val="20"/>
              </w:rPr>
            </w:pPr>
            <w:r>
              <w:rPr>
                <w:rFonts w:hint="eastAsia" w:ascii="宋体" w:hAnsi="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hint="eastAsia" w:ascii="宋体" w:hAnsi="宋体" w:cs="宋体"/>
                <w:color w:val="000000"/>
                <w:kern w:val="0"/>
                <w:sz w:val="22"/>
                <w:szCs w:val="22"/>
              </w:rPr>
              <w:t>栏次</w:t>
            </w:r>
          </w:p>
        </w:tc>
        <w:tc>
          <w:tcPr>
            <w:tcW w:w="449" w:type="dxa"/>
            <w:tcBorders>
              <w:top w:val="nil"/>
              <w:left w:val="nil"/>
              <w:bottom w:val="single" w:color="auto" w:sz="4" w:space="0"/>
              <w:right w:val="single" w:color="auto" w:sz="4" w:space="0"/>
            </w:tcBorders>
            <w:shd w:val="clear" w:color="000000" w:fill="FFFFFF"/>
            <w:noWrap/>
            <w:vAlign w:val="center"/>
          </w:tcPr>
          <w:p>
            <w:pPr>
              <w:jc w:val="center"/>
              <w:rPr>
                <w:rFonts w:ascii="宋体" w:cs="Times New Roman"/>
                <w:kern w:val="0"/>
                <w:sz w:val="24"/>
                <w:szCs w:val="24"/>
              </w:rPr>
            </w:pP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hint="eastAsia" w:ascii="宋体" w:hAnsi="宋体" w:cs="宋体"/>
                <w:color w:val="000000"/>
                <w:kern w:val="0"/>
                <w:sz w:val="22"/>
                <w:szCs w:val="22"/>
              </w:rPr>
              <w:t>栏次</w:t>
            </w:r>
          </w:p>
        </w:tc>
        <w:tc>
          <w:tcPr>
            <w:tcW w:w="845" w:type="dxa"/>
            <w:tcBorders>
              <w:top w:val="nil"/>
              <w:left w:val="nil"/>
              <w:bottom w:val="single" w:color="auto" w:sz="4" w:space="0"/>
              <w:right w:val="single" w:color="auto" w:sz="4" w:space="0"/>
            </w:tcBorders>
            <w:shd w:val="clear" w:color="000000" w:fill="FFFFFF"/>
            <w:noWrap/>
            <w:vAlign w:val="center"/>
          </w:tcPr>
          <w:p>
            <w:pPr>
              <w:jc w:val="center"/>
              <w:rPr>
                <w:rFonts w:ascii="宋体" w:cs="Times New Roman"/>
                <w:kern w:val="0"/>
                <w:sz w:val="24"/>
                <w:szCs w:val="24"/>
              </w:rPr>
            </w:pP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w:t>
            </w:r>
          </w:p>
        </w:tc>
        <w:tc>
          <w:tcPr>
            <w:tcW w:w="1230" w:type="dxa"/>
            <w:gridSpan w:val="2"/>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1,265.82</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32</w:t>
            </w:r>
          </w:p>
        </w:tc>
        <w:tc>
          <w:tcPr>
            <w:tcW w:w="3633" w:type="dxa"/>
            <w:gridSpan w:val="3"/>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651.92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33</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34</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35</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36</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37</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7</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4"/>
                <w:szCs w:val="24"/>
              </w:rPr>
            </w:pPr>
            <w:r>
              <w:rPr>
                <w:rFonts w:hint="eastAsia" w:ascii="宋体" w:hAnsi="宋体" w:cs="宋体"/>
                <w:color w:val="000000"/>
                <w:kern w:val="0"/>
                <w:sz w:val="22"/>
                <w:szCs w:val="22"/>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38</w:t>
            </w:r>
          </w:p>
        </w:tc>
        <w:tc>
          <w:tcPr>
            <w:tcW w:w="3633" w:type="dxa"/>
            <w:gridSpan w:val="3"/>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261.90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8</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39</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9</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40</w:t>
            </w:r>
          </w:p>
        </w:tc>
        <w:tc>
          <w:tcPr>
            <w:tcW w:w="3633" w:type="dxa"/>
            <w:gridSpan w:val="3"/>
            <w:tcBorders>
              <w:top w:val="nil"/>
              <w:left w:val="nil"/>
              <w:bottom w:val="single" w:color="auto" w:sz="4" w:space="0"/>
              <w:right w:val="single" w:color="auto" w:sz="4" w:space="0"/>
            </w:tcBorders>
            <w:noWrap/>
            <w:vAlign w:val="center"/>
          </w:tcPr>
          <w:p>
            <w:pPr>
              <w:widowControl/>
              <w:jc w:val="right"/>
              <w:textAlignment w:val="center"/>
              <w:rPr>
                <w:rFonts w:ascii="宋体" w:cs="Times New Roman"/>
                <w:b/>
                <w:bCs/>
                <w:kern w:val="0"/>
                <w:sz w:val="22"/>
                <w:szCs w:val="22"/>
              </w:rPr>
            </w:pPr>
            <w:r>
              <w:rPr>
                <w:rFonts w:ascii="宋体" w:hAnsi="宋体" w:cs="宋体"/>
                <w:color w:val="000000"/>
                <w:kern w:val="0"/>
                <w:sz w:val="22"/>
                <w:szCs w:val="22"/>
              </w:rPr>
              <w:t>352.00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10</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41</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11</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42</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12</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43</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13</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44</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14</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45</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15</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46</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16</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47</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17</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48</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18</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49</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19</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50</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20</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51</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21</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52</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22</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53</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23</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54</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center"/>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0"/>
                <w:szCs w:val="20"/>
              </w:rPr>
              <w:t>24</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55</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0"/>
                <w:szCs w:val="20"/>
              </w:rPr>
              <w:t>25</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56</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0"/>
                <w:szCs w:val="20"/>
              </w:rPr>
              <w:t>26</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57</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宋体" w:cs="Times New Roman"/>
                <w:kern w:val="0"/>
                <w:sz w:val="20"/>
                <w:szCs w:val="20"/>
              </w:rPr>
            </w:pPr>
            <w:r>
              <w:rPr>
                <w:rFonts w:hint="eastAsia" w:ascii="宋体" w:hAnsi="宋体" w:cs="宋体"/>
                <w:b/>
                <w:bCs/>
                <w:color w:val="000000"/>
                <w:kern w:val="0"/>
                <w:sz w:val="22"/>
                <w:szCs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27</w:t>
            </w:r>
          </w:p>
        </w:tc>
        <w:tc>
          <w:tcPr>
            <w:tcW w:w="1230" w:type="dxa"/>
            <w:gridSpan w:val="2"/>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1,265.82</w:t>
            </w:r>
          </w:p>
        </w:tc>
        <w:tc>
          <w:tcPr>
            <w:tcW w:w="3798" w:type="dxa"/>
            <w:gridSpan w:val="3"/>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0"/>
                <w:szCs w:val="20"/>
              </w:rPr>
            </w:pPr>
            <w:r>
              <w:rPr>
                <w:rFonts w:hint="eastAsia" w:ascii="宋体" w:hAnsi="宋体" w:cs="宋体"/>
                <w:b/>
                <w:bCs/>
                <w:color w:val="000000"/>
                <w:kern w:val="0"/>
                <w:sz w:val="22"/>
                <w:szCs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58</w:t>
            </w:r>
          </w:p>
        </w:tc>
        <w:tc>
          <w:tcPr>
            <w:tcW w:w="3633" w:type="dxa"/>
            <w:gridSpan w:val="3"/>
            <w:tcBorders>
              <w:top w:val="nil"/>
              <w:left w:val="nil"/>
              <w:bottom w:val="single" w:color="auto" w:sz="4" w:space="0"/>
              <w:right w:val="single" w:color="auto" w:sz="4" w:space="0"/>
            </w:tcBorders>
            <w:noWrap/>
            <w:vAlign w:val="center"/>
          </w:tcPr>
          <w:p>
            <w:pPr>
              <w:widowControl/>
              <w:jc w:val="right"/>
              <w:textAlignment w:val="center"/>
              <w:rPr>
                <w:rFonts w:ascii="宋体" w:cs="Times New Roman"/>
                <w:b/>
                <w:bCs/>
                <w:kern w:val="0"/>
                <w:sz w:val="22"/>
                <w:szCs w:val="22"/>
              </w:rPr>
            </w:pPr>
            <w:r>
              <w:rPr>
                <w:rFonts w:ascii="宋体" w:hAnsi="宋体" w:cs="宋体"/>
                <w:color w:val="000000"/>
                <w:kern w:val="0"/>
                <w:sz w:val="22"/>
                <w:szCs w:val="22"/>
              </w:rPr>
              <w:t>1,265.82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b/>
                <w:bCs/>
                <w:kern w:val="0"/>
                <w:sz w:val="22"/>
                <w:szCs w:val="22"/>
              </w:rPr>
            </w:pPr>
            <w:r>
              <w:rPr>
                <w:rFonts w:hint="eastAsia" w:ascii="宋体" w:hAnsi="宋体" w:cs="宋体"/>
                <w:color w:val="000000"/>
                <w:kern w:val="0"/>
                <w:sz w:val="22"/>
                <w:szCs w:val="22"/>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28</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b/>
                <w:bCs/>
                <w:kern w:val="0"/>
                <w:sz w:val="22"/>
                <w:szCs w:val="22"/>
              </w:rPr>
            </w:pPr>
            <w:r>
              <w:rPr>
                <w:rFonts w:hint="eastAsia" w:ascii="宋体" w:hAnsi="宋体" w:cs="宋体"/>
                <w:color w:val="000000"/>
                <w:kern w:val="0"/>
                <w:sz w:val="22"/>
                <w:szCs w:val="22"/>
              </w:rPr>
              <w:t>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59</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29</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60</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30</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jc w:val="left"/>
              <w:rPr>
                <w:rFonts w:ascii="宋体" w:cs="Times New Roman"/>
                <w:kern w:val="0"/>
                <w:sz w:val="22"/>
                <w:szCs w:val="22"/>
              </w:rPr>
            </w:pP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61</w:t>
            </w:r>
          </w:p>
        </w:tc>
        <w:tc>
          <w:tcPr>
            <w:tcW w:w="3633" w:type="dxa"/>
            <w:gridSpan w:val="3"/>
            <w:tcBorders>
              <w:top w:val="nil"/>
              <w:left w:val="nil"/>
              <w:bottom w:val="single" w:color="auto" w:sz="4" w:space="0"/>
              <w:right w:val="single" w:color="auto" w:sz="4" w:space="0"/>
            </w:tcBorders>
            <w:noWrap/>
            <w:vAlign w:val="center"/>
          </w:tcPr>
          <w:p>
            <w:pPr>
              <w:jc w:val="lef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cs="Times New Roman"/>
                <w:b/>
                <w:bCs/>
                <w:kern w:val="0"/>
                <w:sz w:val="22"/>
                <w:szCs w:val="22"/>
              </w:rPr>
            </w:pPr>
            <w:r>
              <w:rPr>
                <w:rFonts w:hint="eastAsia" w:ascii="宋体" w:hAnsi="宋体" w:cs="宋体"/>
                <w:b/>
                <w:bCs/>
                <w:color w:val="000000"/>
                <w:kern w:val="0"/>
                <w:sz w:val="22"/>
                <w:szCs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31</w:t>
            </w:r>
          </w:p>
        </w:tc>
        <w:tc>
          <w:tcPr>
            <w:tcW w:w="1230" w:type="dxa"/>
            <w:gridSpan w:val="2"/>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1,265.82</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b/>
                <w:bCs/>
                <w:kern w:val="0"/>
                <w:sz w:val="22"/>
                <w:szCs w:val="22"/>
              </w:rPr>
            </w:pPr>
            <w:r>
              <w:rPr>
                <w:rFonts w:hint="eastAsia" w:ascii="宋体" w:hAnsi="宋体" w:cs="宋体"/>
                <w:b/>
                <w:bCs/>
                <w:color w:val="000000"/>
                <w:kern w:val="0"/>
                <w:sz w:val="22"/>
                <w:szCs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62</w:t>
            </w:r>
          </w:p>
        </w:tc>
        <w:tc>
          <w:tcPr>
            <w:tcW w:w="3633" w:type="dxa"/>
            <w:gridSpan w:val="3"/>
            <w:tcBorders>
              <w:top w:val="nil"/>
              <w:left w:val="nil"/>
              <w:bottom w:val="single" w:color="auto" w:sz="4" w:space="0"/>
              <w:right w:val="single" w:color="auto" w:sz="4" w:space="0"/>
            </w:tcBorders>
            <w:noWrap/>
            <w:vAlign w:val="center"/>
          </w:tcPr>
          <w:p>
            <w:pPr>
              <w:widowControl/>
              <w:jc w:val="right"/>
              <w:textAlignment w:val="center"/>
              <w:rPr>
                <w:rFonts w:ascii="宋体" w:cs="Times New Roman"/>
                <w:b/>
                <w:bCs/>
                <w:kern w:val="0"/>
                <w:sz w:val="22"/>
                <w:szCs w:val="22"/>
              </w:rPr>
            </w:pPr>
            <w:r>
              <w:rPr>
                <w:rFonts w:ascii="宋体" w:hAnsi="宋体" w:cs="宋体"/>
                <w:color w:val="000000"/>
                <w:kern w:val="0"/>
                <w:sz w:val="22"/>
                <w:szCs w:val="22"/>
              </w:rPr>
              <w:t>1,265.82</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vAlign w:val="center"/>
          </w:tcPr>
          <w:p>
            <w:pPr>
              <w:widowControl/>
              <w:jc w:val="left"/>
              <w:rPr>
                <w:rFonts w:ascii="宋体" w:cs="Times New Roman"/>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本表反映部门本年度的总收支和年末结转结余情况。</w:t>
            </w:r>
            <w:r>
              <w:rPr>
                <w:rFonts w:ascii="宋体" w:cs="Times New Roman"/>
                <w:kern w:val="0"/>
                <w:sz w:val="24"/>
                <w:szCs w:val="24"/>
              </w:rPr>
              <w:br w:type="textWrapping"/>
            </w:r>
            <w:r>
              <w:rPr>
                <w:rFonts w:ascii="宋体" w:hAnsi="宋体" w:cs="宋体"/>
                <w:kern w:val="0"/>
                <w:sz w:val="24"/>
                <w:szCs w:val="24"/>
              </w:rPr>
              <w:t xml:space="preserve"> 2.</w:t>
            </w:r>
            <w:r>
              <w:rPr>
                <w:rFonts w:hint="eastAsia" w:ascii="宋体" w:hAnsi="宋体" w:cs="宋体"/>
                <w:kern w:val="0"/>
                <w:sz w:val="24"/>
                <w:szCs w:val="24"/>
              </w:rPr>
              <w:t>本套报表金额单位转换时可能存在尾数误差。</w:t>
            </w:r>
          </w:p>
        </w:tc>
      </w:tr>
    </w:tbl>
    <w:p>
      <w:pPr>
        <w:jc w:val="center"/>
        <w:rPr>
          <w:rFonts w:ascii="黑体" w:hAnsi="黑体" w:eastAsia="黑体" w:cs="Times New Roman"/>
          <w:sz w:val="28"/>
          <w:szCs w:val="28"/>
        </w:rPr>
        <w:sectPr>
          <w:pgSz w:w="16838" w:h="11906" w:orient="landscape"/>
          <w:pgMar w:top="1797" w:right="1440" w:bottom="1797" w:left="1440" w:header="851" w:footer="992" w:gutter="0"/>
          <w:cols w:space="425" w:num="1"/>
          <w:docGrid w:type="linesAndChars" w:linePitch="312" w:charSpace="0"/>
        </w:sectPr>
      </w:pPr>
    </w:p>
    <w:tbl>
      <w:tblPr>
        <w:tblStyle w:val="7"/>
        <w:tblW w:w="15386" w:type="dxa"/>
        <w:tblInd w:w="2" w:type="dxa"/>
        <w:tblLayout w:type="autofit"/>
        <w:tblCellMar>
          <w:top w:w="0" w:type="dxa"/>
          <w:left w:w="0" w:type="dxa"/>
          <w:bottom w:w="0" w:type="dxa"/>
          <w:right w:w="0" w:type="dxa"/>
        </w:tblCellMar>
      </w:tblPr>
      <w:tblGrid>
        <w:gridCol w:w="1944"/>
        <w:gridCol w:w="141"/>
        <w:gridCol w:w="1755"/>
        <w:gridCol w:w="1561"/>
        <w:gridCol w:w="1561"/>
        <w:gridCol w:w="1561"/>
        <w:gridCol w:w="1561"/>
        <w:gridCol w:w="1561"/>
        <w:gridCol w:w="1561"/>
        <w:gridCol w:w="2220"/>
      </w:tblGrid>
      <w:tr>
        <w:tblPrEx>
          <w:tblCellMar>
            <w:top w:w="0" w:type="dxa"/>
            <w:left w:w="0" w:type="dxa"/>
            <w:bottom w:w="0" w:type="dxa"/>
            <w:right w:w="0" w:type="dxa"/>
          </w:tblCellMar>
        </w:tblPrEx>
        <w:trPr>
          <w:trHeight w:val="435" w:hRule="atLeast"/>
        </w:trPr>
        <w:tc>
          <w:tcPr>
            <w:tcW w:w="15386" w:type="dxa"/>
            <w:gridSpan w:val="10"/>
            <w:tcBorders>
              <w:top w:val="nil"/>
              <w:left w:val="nil"/>
              <w:bottom w:val="nil"/>
              <w:right w:val="nil"/>
            </w:tcBorders>
            <w:noWrap/>
            <w:tcMar>
              <w:top w:w="15" w:type="dxa"/>
              <w:left w:w="15" w:type="dxa"/>
              <w:bottom w:w="0" w:type="dxa"/>
              <w:right w:w="15" w:type="dxa"/>
            </w:tcMar>
            <w:vAlign w:val="center"/>
          </w:tcPr>
          <w:p>
            <w:pPr>
              <w:jc w:val="center"/>
              <w:rPr>
                <w:rFonts w:ascii="华文中宋" w:hAnsi="华文中宋" w:eastAsia="华文中宋" w:cs="Times New Roman"/>
                <w:color w:val="000000"/>
                <w:sz w:val="32"/>
                <w:szCs w:val="32"/>
              </w:rPr>
            </w:pPr>
            <w:r>
              <w:rPr>
                <w:rFonts w:hint="eastAsia" w:ascii="华文中宋" w:hAnsi="华文中宋" w:eastAsia="华文中宋" w:cs="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color w:val="000000"/>
                <w:sz w:val="20"/>
                <w:szCs w:val="20"/>
              </w:rPr>
            </w:pPr>
            <w:r>
              <w:rPr>
                <w:rFonts w:hint="eastAsia" w:cs="宋体"/>
                <w:color w:val="000000"/>
                <w:sz w:val="20"/>
                <w:szCs w:val="20"/>
              </w:rPr>
              <w:t>公开</w:t>
            </w:r>
            <w:r>
              <w:rPr>
                <w:color w:val="000000"/>
                <w:sz w:val="20"/>
                <w:szCs w:val="20"/>
              </w:rPr>
              <w:t>02</w:t>
            </w:r>
            <w:r>
              <w:rPr>
                <w:rFonts w:hint="eastAsia" w:cs="宋体"/>
                <w:color w:val="000000"/>
                <w:sz w:val="20"/>
                <w:szCs w:val="20"/>
              </w:rPr>
              <w:t>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cs="Times New Roman"/>
                <w:color w:val="000000"/>
                <w:sz w:val="20"/>
                <w:szCs w:val="20"/>
              </w:rPr>
            </w:pPr>
            <w:r>
              <w:rPr>
                <w:rFonts w:hint="eastAsia" w:cs="宋体"/>
                <w:color w:val="000000"/>
                <w:sz w:val="20"/>
                <w:szCs w:val="20"/>
              </w:rPr>
              <w:t>部门：</w:t>
            </w:r>
            <w:r>
              <w:rPr>
                <w:rFonts w:hint="eastAsia" w:ascii="宋体" w:hAnsi="宋体" w:cs="宋体"/>
                <w:color w:val="000000"/>
                <w:kern w:val="0"/>
                <w:sz w:val="20"/>
                <w:szCs w:val="20"/>
              </w:rPr>
              <w:t>道县市场服务中心</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cs="Times New Roman"/>
                <w:color w:val="000000"/>
                <w:sz w:val="20"/>
                <w:szCs w:val="20"/>
              </w:rPr>
            </w:pPr>
            <w:r>
              <w:rPr>
                <w:rFonts w:hint="eastAsia" w:cs="宋体"/>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color w:val="000000"/>
                <w:sz w:val="20"/>
                <w:szCs w:val="20"/>
              </w:rPr>
            </w:pPr>
            <w:r>
              <w:rPr>
                <w:rFonts w:hint="eastAsia" w:cs="宋体"/>
                <w:color w:val="000000"/>
                <w:sz w:val="20"/>
                <w:szCs w:val="20"/>
              </w:rPr>
              <w:t>单位：万元</w:t>
            </w:r>
          </w:p>
        </w:tc>
      </w:tr>
      <w:tr>
        <w:tblPrEx>
          <w:tblCellMar>
            <w:top w:w="0" w:type="dxa"/>
            <w:left w:w="0" w:type="dxa"/>
            <w:bottom w:w="0" w:type="dxa"/>
            <w:right w:w="0" w:type="dxa"/>
          </w:tblCellMar>
        </w:tblPrEx>
        <w:trPr>
          <w:trHeight w:val="450" w:hRule="atLeast"/>
        </w:trPr>
        <w:tc>
          <w:tcPr>
            <w:tcW w:w="298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项</w:t>
            </w:r>
            <w:r>
              <w:t xml:space="preserve">    </w:t>
            </w:r>
            <w:r>
              <w:rPr>
                <w:rFonts w:hint="eastAsia" w:cs="宋体"/>
              </w:rPr>
              <w:t>目</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本年收入合计</w:t>
            </w:r>
          </w:p>
        </w:tc>
        <w:tc>
          <w:tcPr>
            <w:tcW w:w="16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cs="Times New Roman"/>
                <w:sz w:val="24"/>
                <w:szCs w:val="24"/>
              </w:rPr>
            </w:pPr>
            <w:r>
              <w:rPr>
                <w:rFonts w:hint="eastAsia" w:cs="宋体"/>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其他收入</w:t>
            </w:r>
          </w:p>
        </w:tc>
      </w:tr>
      <w:tr>
        <w:tblPrEx>
          <w:tblCellMar>
            <w:top w:w="0" w:type="dxa"/>
            <w:left w:w="0" w:type="dxa"/>
            <w:bottom w:w="0" w:type="dxa"/>
            <w:right w:w="0" w:type="dxa"/>
          </w:tblCellMar>
        </w:tblPrEx>
        <w:trPr>
          <w:trHeight w:val="450" w:hRule="atLeast"/>
        </w:trPr>
        <w:tc>
          <w:tcPr>
            <w:tcW w:w="110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功能分类科目编码</w:t>
            </w:r>
          </w:p>
        </w:tc>
        <w:tc>
          <w:tcPr>
            <w:tcW w:w="187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r>
      <w:tr>
        <w:tblPrEx>
          <w:tblCellMar>
            <w:top w:w="0" w:type="dxa"/>
            <w:left w:w="0" w:type="dxa"/>
            <w:bottom w:w="0" w:type="dxa"/>
            <w:right w:w="0" w:type="dxa"/>
          </w:tblCellMar>
        </w:tblPrEx>
        <w:trPr>
          <w:trHeight w:val="450" w:hRule="atLeast"/>
        </w:trPr>
        <w:tc>
          <w:tcPr>
            <w:tcW w:w="298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hint="eastAsia" w:ascii="宋体" w:hAnsi="宋体" w:cs="宋体"/>
                <w:color w:val="000000"/>
                <w:kern w:val="0"/>
                <w:sz w:val="22"/>
                <w:szCs w:val="22"/>
              </w:rPr>
              <w:t>栏次</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ascii="宋体" w:hAnsi="宋体" w:cs="宋体"/>
                <w:color w:val="000000"/>
                <w:kern w:val="0"/>
                <w:sz w:val="22"/>
                <w:szCs w:val="22"/>
              </w:rPr>
              <w:t>1</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ascii="宋体" w:hAnsi="宋体" w:cs="宋体"/>
                <w:color w:val="000000"/>
                <w:kern w:val="0"/>
                <w:sz w:val="22"/>
                <w:szCs w:val="22"/>
              </w:rPr>
              <w:t>2</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ascii="宋体" w:hAnsi="宋体" w:cs="宋体"/>
                <w:color w:val="000000"/>
                <w:kern w:val="0"/>
                <w:sz w:val="22"/>
                <w:szCs w:val="22"/>
              </w:rPr>
              <w:t>3</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ascii="宋体" w:hAnsi="宋体" w:cs="宋体"/>
                <w:color w:val="000000"/>
                <w:kern w:val="0"/>
                <w:sz w:val="22"/>
                <w:szCs w:val="22"/>
              </w:rPr>
              <w:t>4</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ascii="宋体" w:hAnsi="宋体" w:cs="宋体"/>
                <w:color w:val="000000"/>
                <w:kern w:val="0"/>
                <w:sz w:val="22"/>
                <w:szCs w:val="22"/>
              </w:rPr>
              <w:t>5</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ascii="宋体" w:hAnsi="宋体" w:cs="宋体"/>
                <w:color w:val="000000"/>
                <w:kern w:val="0"/>
                <w:sz w:val="22"/>
                <w:szCs w:val="22"/>
              </w:rPr>
              <w:t>6</w:t>
            </w:r>
          </w:p>
        </w:tc>
        <w:tc>
          <w:tcPr>
            <w:tcW w:w="23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ascii="宋体" w:hAnsi="宋体" w:cs="宋体"/>
                <w:color w:val="000000"/>
                <w:kern w:val="0"/>
                <w:sz w:val="22"/>
                <w:szCs w:val="22"/>
              </w:rPr>
              <w:t>7</w:t>
            </w:r>
          </w:p>
        </w:tc>
      </w:tr>
      <w:tr>
        <w:tblPrEx>
          <w:tblCellMar>
            <w:top w:w="0" w:type="dxa"/>
            <w:left w:w="0" w:type="dxa"/>
            <w:bottom w:w="0" w:type="dxa"/>
            <w:right w:w="0" w:type="dxa"/>
          </w:tblCellMar>
        </w:tblPrEx>
        <w:trPr>
          <w:trHeight w:val="450" w:hRule="atLeast"/>
        </w:trPr>
        <w:tc>
          <w:tcPr>
            <w:tcW w:w="298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hint="eastAsia" w:ascii="宋体" w:hAnsi="宋体" w:cs="宋体"/>
                <w:color w:val="000000"/>
                <w:kern w:val="0"/>
                <w:sz w:val="22"/>
                <w:szCs w:val="22"/>
              </w:rPr>
              <w:t>合计</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Times New Roman"/>
                <w:sz w:val="24"/>
                <w:szCs w:val="24"/>
              </w:rPr>
            </w:pPr>
            <w:r>
              <w:rPr>
                <w:rFonts w:ascii="宋体" w:hAnsi="宋体" w:cs="宋体"/>
                <w:b/>
                <w:bCs/>
                <w:color w:val="000000"/>
                <w:kern w:val="0"/>
                <w:sz w:val="22"/>
                <w:szCs w:val="22"/>
              </w:rPr>
              <w:t>1,265.82</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Times New Roman"/>
                <w:sz w:val="24"/>
                <w:szCs w:val="24"/>
              </w:rPr>
            </w:pPr>
            <w:r>
              <w:rPr>
                <w:rFonts w:ascii="宋体" w:hAnsi="宋体" w:cs="宋体"/>
                <w:b/>
                <w:bCs/>
                <w:color w:val="000000"/>
                <w:kern w:val="0"/>
                <w:sz w:val="22"/>
                <w:szCs w:val="22"/>
              </w:rPr>
              <w:t>1,265.82</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237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Times New Roman"/>
                <w:sz w:val="24"/>
                <w:szCs w:val="24"/>
              </w:rPr>
            </w:pPr>
            <w:r>
              <w:rPr>
                <w:rFonts w:ascii="宋体" w:hAnsi="宋体" w:cs="宋体"/>
                <w:color w:val="000000"/>
                <w:kern w:val="0"/>
                <w:sz w:val="22"/>
                <w:szCs w:val="22"/>
              </w:rPr>
              <w:t>201</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Times New Roman"/>
                <w:sz w:val="24"/>
                <w:szCs w:val="24"/>
              </w:rPr>
            </w:pPr>
            <w:r>
              <w:rPr>
                <w:rFonts w:hint="eastAsia" w:ascii="宋体" w:hAnsi="宋体" w:cs="宋体"/>
                <w:color w:val="000000"/>
                <w:kern w:val="0"/>
                <w:sz w:val="22"/>
                <w:szCs w:val="22"/>
              </w:rPr>
              <w:t>一般公共服务支出</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Times New Roman"/>
                <w:sz w:val="24"/>
                <w:szCs w:val="24"/>
              </w:rPr>
            </w:pPr>
            <w:r>
              <w:rPr>
                <w:rFonts w:ascii="宋体" w:hAnsi="宋体" w:cs="宋体"/>
                <w:color w:val="000000"/>
                <w:kern w:val="0"/>
                <w:sz w:val="22"/>
                <w:szCs w:val="22"/>
              </w:rPr>
              <w:t>651.92</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Times New Roman"/>
                <w:sz w:val="24"/>
                <w:szCs w:val="24"/>
              </w:rPr>
            </w:pPr>
            <w:r>
              <w:rPr>
                <w:rFonts w:ascii="宋体" w:hAnsi="宋体" w:cs="宋体"/>
                <w:color w:val="000000"/>
                <w:kern w:val="0"/>
                <w:sz w:val="22"/>
                <w:szCs w:val="22"/>
              </w:rPr>
              <w:t>651.92</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237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Times New Roman"/>
                <w:sz w:val="24"/>
                <w:szCs w:val="24"/>
              </w:rPr>
            </w:pPr>
            <w:r>
              <w:rPr>
                <w:rFonts w:ascii="宋体" w:hAnsi="宋体" w:cs="宋体"/>
                <w:color w:val="000000"/>
                <w:kern w:val="0"/>
                <w:sz w:val="22"/>
                <w:szCs w:val="22"/>
              </w:rPr>
              <w:t>20103</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Times New Roman"/>
                <w:sz w:val="24"/>
                <w:szCs w:val="24"/>
              </w:rPr>
            </w:pPr>
            <w:r>
              <w:rPr>
                <w:rFonts w:hint="eastAsia" w:ascii="宋体" w:hAnsi="宋体" w:cs="宋体"/>
                <w:color w:val="000000"/>
                <w:kern w:val="0"/>
                <w:sz w:val="22"/>
                <w:szCs w:val="22"/>
              </w:rPr>
              <w:t>政府办公厅（室）及相关机构事务</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sz w:val="24"/>
                <w:szCs w:val="24"/>
              </w:rPr>
            </w:pPr>
            <w:r>
              <w:rPr>
                <w:rFonts w:ascii="宋体" w:hAnsi="宋体" w:cs="宋体"/>
                <w:color w:val="000000"/>
                <w:kern w:val="0"/>
                <w:sz w:val="22"/>
                <w:szCs w:val="22"/>
              </w:rPr>
              <w:t>651.92</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Times New Roman"/>
                <w:sz w:val="24"/>
                <w:szCs w:val="24"/>
              </w:rPr>
            </w:pPr>
            <w:r>
              <w:rPr>
                <w:rFonts w:ascii="宋体" w:hAnsi="宋体" w:cs="宋体"/>
                <w:color w:val="000000"/>
                <w:kern w:val="0"/>
                <w:sz w:val="22"/>
                <w:szCs w:val="22"/>
              </w:rPr>
              <w:t>651.92</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237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2010350</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事业运行</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651.92</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cs="Times New Roman"/>
              </w:rPr>
            </w:pPr>
            <w:r>
              <w:rPr>
                <w:rFonts w:ascii="宋体" w:hAnsi="宋体" w:cs="宋体"/>
                <w:color w:val="000000"/>
                <w:kern w:val="0"/>
                <w:sz w:val="22"/>
                <w:szCs w:val="22"/>
              </w:rPr>
              <w:t>651.92</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237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207</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hint="eastAsia" w:ascii="宋体" w:hAnsi="宋体" w:cs="宋体"/>
                <w:color w:val="000000"/>
                <w:kern w:val="0"/>
                <w:sz w:val="22"/>
                <w:szCs w:val="22"/>
              </w:rPr>
              <w:t>文化旅游体育与传媒支出</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261.90</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cs="Times New Roman"/>
              </w:rPr>
            </w:pPr>
            <w:r>
              <w:rPr>
                <w:rFonts w:ascii="宋体" w:hAnsi="宋体" w:cs="宋体"/>
                <w:color w:val="000000"/>
                <w:kern w:val="0"/>
                <w:sz w:val="22"/>
                <w:szCs w:val="22"/>
              </w:rPr>
              <w:t>261.90</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237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20701</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hint="eastAsia" w:ascii="宋体" w:hAnsi="宋体" w:cs="宋体"/>
                <w:color w:val="000000"/>
                <w:kern w:val="0"/>
                <w:sz w:val="22"/>
                <w:szCs w:val="22"/>
              </w:rPr>
              <w:t>文化和旅游</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261.90</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cs="Times New Roman"/>
              </w:rPr>
            </w:pPr>
            <w:r>
              <w:rPr>
                <w:rFonts w:ascii="宋体" w:hAnsi="宋体" w:cs="宋体"/>
                <w:color w:val="000000"/>
                <w:kern w:val="0"/>
                <w:sz w:val="22"/>
                <w:szCs w:val="22"/>
              </w:rPr>
              <w:t>261.90</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237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2070199</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其他文化和旅游支出</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261.90</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cs="Times New Roman"/>
              </w:rPr>
            </w:pPr>
            <w:r>
              <w:rPr>
                <w:rFonts w:ascii="宋体" w:hAnsi="宋体" w:cs="宋体"/>
                <w:color w:val="000000"/>
                <w:kern w:val="0"/>
                <w:sz w:val="22"/>
                <w:szCs w:val="22"/>
              </w:rPr>
              <w:t>261.90</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237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210</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hint="eastAsia" w:ascii="宋体" w:hAnsi="宋体" w:cs="宋体"/>
                <w:color w:val="000000"/>
                <w:kern w:val="0"/>
                <w:sz w:val="22"/>
                <w:szCs w:val="22"/>
              </w:rPr>
              <w:t>卫生健康支出</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352.00</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cs="Times New Roman"/>
              </w:rPr>
            </w:pPr>
            <w:r>
              <w:rPr>
                <w:rFonts w:ascii="宋体" w:hAnsi="宋体" w:cs="宋体"/>
                <w:color w:val="000000"/>
                <w:kern w:val="0"/>
                <w:sz w:val="22"/>
                <w:szCs w:val="22"/>
              </w:rPr>
              <w:t>352.00</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237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21004</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hint="eastAsia" w:ascii="宋体" w:hAnsi="宋体" w:cs="宋体"/>
                <w:color w:val="000000"/>
                <w:kern w:val="0"/>
                <w:sz w:val="22"/>
                <w:szCs w:val="22"/>
              </w:rPr>
              <w:t>公共卫生</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352.00</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cs="Times New Roman"/>
              </w:rPr>
            </w:pPr>
            <w:r>
              <w:rPr>
                <w:rFonts w:ascii="宋体" w:hAnsi="宋体" w:cs="宋体"/>
                <w:color w:val="000000"/>
                <w:kern w:val="0"/>
                <w:sz w:val="22"/>
                <w:szCs w:val="22"/>
              </w:rPr>
              <w:t>352.00</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237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2100499</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其他公共卫生支出</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352.00</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cs="Times New Roman"/>
              </w:rPr>
            </w:pPr>
            <w:r>
              <w:rPr>
                <w:rFonts w:ascii="宋体" w:hAnsi="宋体" w:cs="宋体"/>
                <w:color w:val="000000"/>
                <w:kern w:val="0"/>
                <w:sz w:val="22"/>
                <w:szCs w:val="22"/>
              </w:rPr>
              <w:t>352.00</w:t>
            </w: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7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237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615" w:hRule="atLeast"/>
        </w:trPr>
        <w:tc>
          <w:tcPr>
            <w:tcW w:w="15386" w:type="dxa"/>
            <w:gridSpan w:val="10"/>
            <w:tcBorders>
              <w:top w:val="nil"/>
              <w:left w:val="nil"/>
              <w:bottom w:val="nil"/>
              <w:right w:val="nil"/>
            </w:tcBorders>
            <w:tcMar>
              <w:top w:w="15" w:type="dxa"/>
              <w:left w:w="15" w:type="dxa"/>
              <w:bottom w:w="0" w:type="dxa"/>
              <w:right w:w="15" w:type="dxa"/>
            </w:tcMar>
            <w:vAlign w:val="center"/>
          </w:tcPr>
          <w:p>
            <w:pPr>
              <w:rPr>
                <w:rFonts w:ascii="宋体" w:cs="Times New Roman"/>
                <w:sz w:val="24"/>
                <w:szCs w:val="24"/>
              </w:rPr>
            </w:pPr>
            <w:r>
              <w:rPr>
                <w:rFonts w:hint="eastAsia" w:cs="宋体"/>
              </w:rPr>
              <w:t>注：本表反映部门本年度取得的各项收入情况。</w:t>
            </w:r>
          </w:p>
        </w:tc>
      </w:tr>
    </w:tbl>
    <w:p>
      <w:pPr>
        <w:widowControl/>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7"/>
        <w:tblW w:w="14111" w:type="dxa"/>
        <w:tblInd w:w="-106" w:type="dxa"/>
        <w:tblLayout w:type="autofit"/>
        <w:tblCellMar>
          <w:top w:w="0" w:type="dxa"/>
          <w:left w:w="108" w:type="dxa"/>
          <w:bottom w:w="0" w:type="dxa"/>
          <w:right w:w="108" w:type="dxa"/>
        </w:tblCellMar>
      </w:tblPr>
      <w:tblGrid>
        <w:gridCol w:w="986"/>
        <w:gridCol w:w="822"/>
        <w:gridCol w:w="222"/>
        <w:gridCol w:w="1411"/>
        <w:gridCol w:w="1646"/>
        <w:gridCol w:w="1679"/>
        <w:gridCol w:w="1679"/>
        <w:gridCol w:w="1679"/>
        <w:gridCol w:w="1679"/>
        <w:gridCol w:w="2308"/>
      </w:tblGrid>
      <w:tr>
        <w:tblPrEx>
          <w:tblCellMar>
            <w:top w:w="0" w:type="dxa"/>
            <w:left w:w="108" w:type="dxa"/>
            <w:bottom w:w="0" w:type="dxa"/>
            <w:right w:w="108" w:type="dxa"/>
          </w:tblCellMar>
        </w:tblPrEx>
        <w:trPr>
          <w:trHeight w:val="435" w:hRule="atLeast"/>
        </w:trPr>
        <w:tc>
          <w:tcPr>
            <w:tcW w:w="14111" w:type="dxa"/>
            <w:gridSpan w:val="10"/>
            <w:tcBorders>
              <w:top w:val="nil"/>
              <w:left w:val="nil"/>
              <w:bottom w:val="nil"/>
              <w:right w:val="nil"/>
            </w:tcBorders>
            <w:noWrap/>
            <w:vAlign w:val="center"/>
          </w:tcPr>
          <w:p>
            <w:pPr>
              <w:widowControl/>
              <w:jc w:val="center"/>
              <w:rPr>
                <w:rFonts w:ascii="华文中宋" w:hAnsi="华文中宋" w:eastAsia="华文中宋" w:cs="Times New Roman"/>
                <w:color w:val="000000"/>
                <w:kern w:val="0"/>
                <w:sz w:val="32"/>
                <w:szCs w:val="32"/>
              </w:rPr>
            </w:pPr>
            <w:r>
              <w:rPr>
                <w:rFonts w:hint="eastAsia" w:ascii="华文中宋" w:hAnsi="华文中宋" w:eastAsia="华文中宋" w:cs="华文中宋"/>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808" w:type="dxa"/>
            <w:gridSpan w:val="2"/>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03</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285" w:hRule="atLeast"/>
        </w:trPr>
        <w:tc>
          <w:tcPr>
            <w:tcW w:w="1808" w:type="dxa"/>
            <w:gridSpan w:val="2"/>
            <w:tcBorders>
              <w:top w:val="nil"/>
              <w:left w:val="nil"/>
              <w:bottom w:val="nil"/>
              <w:right w:val="nil"/>
            </w:tcBorders>
            <w:shd w:val="clear" w:color="000000" w:fill="FFFFFF"/>
            <w:noWrap/>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部门：道县市场服务中心</w:t>
            </w:r>
          </w:p>
        </w:tc>
        <w:tc>
          <w:tcPr>
            <w:tcW w:w="222"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203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功能分类科目编码</w:t>
            </w:r>
          </w:p>
        </w:tc>
        <w:tc>
          <w:tcPr>
            <w:tcW w:w="141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203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hint="eastAsia" w:ascii="宋体" w:hAnsi="宋体" w:cs="宋体"/>
                <w:color w:val="000000"/>
                <w:kern w:val="0"/>
                <w:sz w:val="22"/>
                <w:szCs w:val="22"/>
              </w:rPr>
              <w:t>栏次</w:t>
            </w:r>
          </w:p>
        </w:tc>
        <w:tc>
          <w:tcPr>
            <w:tcW w:w="1646"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1</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4</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5</w:t>
            </w:r>
          </w:p>
        </w:tc>
        <w:tc>
          <w:tcPr>
            <w:tcW w:w="2308"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6</w:t>
            </w: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hint="eastAsia" w:ascii="宋体" w:hAnsi="宋体" w:cs="宋体"/>
                <w:color w:val="000000"/>
                <w:kern w:val="0"/>
                <w:sz w:val="22"/>
                <w:szCs w:val="22"/>
              </w:rPr>
              <w:t>合计</w:t>
            </w:r>
          </w:p>
        </w:tc>
        <w:tc>
          <w:tcPr>
            <w:tcW w:w="1646"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b/>
                <w:bCs/>
                <w:color w:val="000000"/>
                <w:kern w:val="0"/>
                <w:sz w:val="22"/>
                <w:szCs w:val="22"/>
              </w:rPr>
              <w:t>1,265.82</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b/>
                <w:bCs/>
                <w:color w:val="000000"/>
                <w:kern w:val="0"/>
                <w:sz w:val="22"/>
                <w:szCs w:val="22"/>
              </w:rPr>
              <w:t>913.82</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b/>
                <w:bCs/>
                <w:color w:val="000000"/>
                <w:kern w:val="0"/>
                <w:sz w:val="22"/>
                <w:szCs w:val="22"/>
              </w:rPr>
              <w:t>352.00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ascii="宋体" w:hAnsi="宋体" w:cs="宋体"/>
                <w:color w:val="000000"/>
                <w:kern w:val="0"/>
                <w:sz w:val="22"/>
                <w:szCs w:val="22"/>
              </w:rPr>
              <w:t>201</w:t>
            </w:r>
          </w:p>
        </w:tc>
        <w:tc>
          <w:tcPr>
            <w:tcW w:w="2455"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hint="eastAsia" w:ascii="宋体" w:hAnsi="宋体" w:cs="宋体"/>
                <w:color w:val="000000"/>
                <w:kern w:val="0"/>
                <w:sz w:val="22"/>
                <w:szCs w:val="22"/>
              </w:rPr>
              <w:t>一般公共服务支出</w:t>
            </w:r>
          </w:p>
        </w:tc>
        <w:tc>
          <w:tcPr>
            <w:tcW w:w="1646"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651.92</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651.92</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ascii="宋体" w:hAnsi="宋体" w:cs="宋体"/>
                <w:color w:val="000000"/>
                <w:kern w:val="0"/>
                <w:sz w:val="22"/>
                <w:szCs w:val="22"/>
              </w:rPr>
              <w:t>20103</w:t>
            </w:r>
          </w:p>
        </w:tc>
        <w:tc>
          <w:tcPr>
            <w:tcW w:w="2455"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hint="eastAsia" w:ascii="宋体" w:hAnsi="宋体" w:cs="宋体"/>
                <w:color w:val="000000"/>
                <w:kern w:val="0"/>
                <w:sz w:val="22"/>
                <w:szCs w:val="22"/>
              </w:rPr>
              <w:t>政府办公厅（室）及相关机构事务</w:t>
            </w:r>
          </w:p>
        </w:tc>
        <w:tc>
          <w:tcPr>
            <w:tcW w:w="1646"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651.92</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651.92</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ascii="宋体" w:hAnsi="宋体" w:cs="宋体"/>
                <w:color w:val="000000"/>
                <w:kern w:val="0"/>
                <w:sz w:val="22"/>
                <w:szCs w:val="22"/>
              </w:rPr>
              <w:t>2010350</w:t>
            </w:r>
          </w:p>
        </w:tc>
        <w:tc>
          <w:tcPr>
            <w:tcW w:w="2455"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ascii="宋体" w:hAnsi="宋体" w:cs="宋体"/>
                <w:color w:val="000000"/>
                <w:kern w:val="0"/>
                <w:sz w:val="22"/>
                <w:szCs w:val="22"/>
              </w:rPr>
              <w:t xml:space="preserve">  </w:t>
            </w:r>
            <w:r>
              <w:rPr>
                <w:rFonts w:hint="eastAsia" w:ascii="宋体" w:hAnsi="宋体" w:cs="宋体"/>
                <w:color w:val="000000"/>
                <w:kern w:val="0"/>
                <w:sz w:val="22"/>
                <w:szCs w:val="22"/>
              </w:rPr>
              <w:t>事业运行</w:t>
            </w:r>
          </w:p>
        </w:tc>
        <w:tc>
          <w:tcPr>
            <w:tcW w:w="1646"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651.92</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651.92</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ascii="宋体" w:hAnsi="宋体" w:cs="宋体"/>
                <w:color w:val="000000"/>
                <w:kern w:val="0"/>
                <w:sz w:val="22"/>
                <w:szCs w:val="22"/>
              </w:rPr>
              <w:t>207</w:t>
            </w:r>
          </w:p>
        </w:tc>
        <w:tc>
          <w:tcPr>
            <w:tcW w:w="2455"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hint="eastAsia" w:ascii="宋体" w:hAnsi="宋体" w:cs="宋体"/>
                <w:color w:val="000000"/>
                <w:kern w:val="0"/>
                <w:sz w:val="22"/>
                <w:szCs w:val="22"/>
              </w:rPr>
              <w:t>文化旅游体育与传媒支出</w:t>
            </w:r>
          </w:p>
        </w:tc>
        <w:tc>
          <w:tcPr>
            <w:tcW w:w="1646"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261.90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261.90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ascii="宋体" w:hAnsi="宋体" w:cs="宋体"/>
                <w:color w:val="000000"/>
                <w:kern w:val="0"/>
                <w:sz w:val="22"/>
                <w:szCs w:val="22"/>
              </w:rPr>
              <w:t>20701</w:t>
            </w:r>
          </w:p>
        </w:tc>
        <w:tc>
          <w:tcPr>
            <w:tcW w:w="2455"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hint="eastAsia" w:ascii="宋体" w:hAnsi="宋体" w:cs="宋体"/>
                <w:color w:val="000000"/>
                <w:kern w:val="0"/>
                <w:sz w:val="22"/>
                <w:szCs w:val="22"/>
              </w:rPr>
              <w:t>文化和旅游</w:t>
            </w:r>
          </w:p>
        </w:tc>
        <w:tc>
          <w:tcPr>
            <w:tcW w:w="1646"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261.90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261.90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ascii="宋体" w:hAnsi="宋体" w:cs="宋体"/>
                <w:color w:val="000000"/>
                <w:kern w:val="0"/>
                <w:sz w:val="22"/>
                <w:szCs w:val="22"/>
              </w:rPr>
              <w:t>2070199</w:t>
            </w:r>
          </w:p>
        </w:tc>
        <w:tc>
          <w:tcPr>
            <w:tcW w:w="2455"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其他文化和旅游支出</w:t>
            </w:r>
          </w:p>
        </w:tc>
        <w:tc>
          <w:tcPr>
            <w:tcW w:w="1646"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261.90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261.90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ascii="宋体" w:hAnsi="宋体" w:cs="宋体"/>
                <w:color w:val="000000"/>
                <w:kern w:val="0"/>
                <w:sz w:val="22"/>
                <w:szCs w:val="22"/>
              </w:rPr>
              <w:t>210</w:t>
            </w:r>
          </w:p>
        </w:tc>
        <w:tc>
          <w:tcPr>
            <w:tcW w:w="2455"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hint="eastAsia" w:ascii="宋体" w:hAnsi="宋体" w:cs="宋体"/>
                <w:color w:val="000000"/>
                <w:kern w:val="0"/>
                <w:sz w:val="22"/>
                <w:szCs w:val="22"/>
              </w:rPr>
              <w:t>卫生健康支出</w:t>
            </w:r>
          </w:p>
        </w:tc>
        <w:tc>
          <w:tcPr>
            <w:tcW w:w="1646"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352.00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352.00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ascii="宋体" w:hAnsi="宋体" w:cs="宋体"/>
                <w:color w:val="000000"/>
                <w:kern w:val="0"/>
                <w:sz w:val="22"/>
                <w:szCs w:val="22"/>
              </w:rPr>
              <w:t>21004</w:t>
            </w:r>
          </w:p>
        </w:tc>
        <w:tc>
          <w:tcPr>
            <w:tcW w:w="2455"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hint="eastAsia" w:ascii="宋体" w:hAnsi="宋体" w:cs="宋体"/>
                <w:color w:val="000000"/>
                <w:kern w:val="0"/>
                <w:sz w:val="22"/>
                <w:szCs w:val="22"/>
              </w:rPr>
              <w:t>公共卫生</w:t>
            </w:r>
          </w:p>
        </w:tc>
        <w:tc>
          <w:tcPr>
            <w:tcW w:w="1646"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352.00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352.00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ascii="宋体" w:hAnsi="宋体" w:cs="宋体"/>
                <w:color w:val="000000"/>
                <w:kern w:val="0"/>
                <w:sz w:val="22"/>
                <w:szCs w:val="22"/>
              </w:rPr>
              <w:t>2100499</w:t>
            </w:r>
          </w:p>
        </w:tc>
        <w:tc>
          <w:tcPr>
            <w:tcW w:w="2455"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4"/>
                <w:szCs w:val="24"/>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其他公共卫生支出</w:t>
            </w:r>
          </w:p>
        </w:tc>
        <w:tc>
          <w:tcPr>
            <w:tcW w:w="1646"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352.00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352.00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630" w:hRule="atLeast"/>
        </w:trPr>
        <w:tc>
          <w:tcPr>
            <w:tcW w:w="14111" w:type="dxa"/>
            <w:gridSpan w:val="10"/>
            <w:tcBorders>
              <w:top w:val="nil"/>
              <w:left w:val="nil"/>
              <w:bottom w:val="nil"/>
              <w:right w:val="nil"/>
            </w:tcBorders>
            <w:vAlign w:val="center"/>
          </w:tcPr>
          <w:p>
            <w:pPr>
              <w:widowControl/>
              <w:jc w:val="left"/>
              <w:rPr>
                <w:rFonts w:ascii="宋体" w:cs="Times New Roman"/>
                <w:kern w:val="0"/>
                <w:sz w:val="24"/>
                <w:szCs w:val="24"/>
              </w:rPr>
            </w:pPr>
            <w:r>
              <w:rPr>
                <w:rFonts w:hint="eastAsia" w:ascii="宋体" w:hAnsi="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36"/>
        </w:rPr>
      </w:pPr>
    </w:p>
    <w:tbl>
      <w:tblPr>
        <w:tblStyle w:val="7"/>
        <w:tblW w:w="15521" w:type="dxa"/>
        <w:tblInd w:w="-106" w:type="dxa"/>
        <w:tblLayout w:type="autofit"/>
        <w:tblCellMar>
          <w:top w:w="0" w:type="dxa"/>
          <w:left w:w="108" w:type="dxa"/>
          <w:bottom w:w="0" w:type="dxa"/>
          <w:right w:w="108" w:type="dxa"/>
        </w:tblCellMar>
      </w:tblPr>
      <w:tblGrid>
        <w:gridCol w:w="3595"/>
        <w:gridCol w:w="436"/>
        <w:gridCol w:w="1096"/>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noWrap/>
            <w:vAlign w:val="center"/>
          </w:tcPr>
          <w:p>
            <w:pPr>
              <w:widowControl/>
              <w:jc w:val="left"/>
              <w:rPr>
                <w:rFonts w:ascii="黑体" w:hAnsi="黑体" w:eastAsia="黑体" w:cs="Times New Roman"/>
                <w:kern w:val="0"/>
                <w:sz w:val="24"/>
                <w:szCs w:val="24"/>
              </w:rPr>
            </w:pPr>
            <w:bookmarkStart w:id="0" w:name="RANGE_A1_I22"/>
            <w:bookmarkEnd w:id="0"/>
            <w:bookmarkStart w:id="1" w:name="RANGE_A1_F16"/>
          </w:p>
        </w:tc>
        <w:tc>
          <w:tcPr>
            <w:tcW w:w="436" w:type="dxa"/>
            <w:tcBorders>
              <w:top w:val="nil"/>
              <w:left w:val="nil"/>
              <w:bottom w:val="nil"/>
              <w:right w:val="nil"/>
            </w:tcBorders>
            <w:noWrap/>
            <w:vAlign w:val="center"/>
          </w:tcPr>
          <w:p>
            <w:pPr>
              <w:widowControl/>
              <w:jc w:val="right"/>
              <w:rPr>
                <w:rFonts w:ascii="宋体" w:cs="Times New Roman"/>
                <w:kern w:val="0"/>
                <w:sz w:val="24"/>
                <w:szCs w:val="24"/>
              </w:rPr>
            </w:pPr>
          </w:p>
        </w:tc>
        <w:tc>
          <w:tcPr>
            <w:tcW w:w="1574" w:type="dxa"/>
            <w:gridSpan w:val="2"/>
            <w:tcBorders>
              <w:top w:val="nil"/>
              <w:left w:val="nil"/>
              <w:bottom w:val="nil"/>
              <w:right w:val="nil"/>
            </w:tcBorders>
            <w:noWrap/>
            <w:vAlign w:val="center"/>
          </w:tcPr>
          <w:p>
            <w:pPr>
              <w:widowControl/>
              <w:jc w:val="right"/>
              <w:rPr>
                <w:rFonts w:ascii="宋体" w:cs="Times New Roman"/>
                <w:kern w:val="0"/>
                <w:sz w:val="24"/>
                <w:szCs w:val="24"/>
              </w:rPr>
            </w:pPr>
          </w:p>
        </w:tc>
        <w:tc>
          <w:tcPr>
            <w:tcW w:w="3547" w:type="dxa"/>
            <w:gridSpan w:val="2"/>
            <w:tcBorders>
              <w:top w:val="nil"/>
              <w:left w:val="nil"/>
              <w:bottom w:val="nil"/>
              <w:right w:val="nil"/>
            </w:tcBorders>
            <w:noWrap/>
            <w:vAlign w:val="center"/>
          </w:tcPr>
          <w:p>
            <w:pPr>
              <w:widowControl/>
              <w:jc w:val="right"/>
              <w:rPr>
                <w:rFonts w:ascii="宋体" w:cs="Times New Roman"/>
                <w:kern w:val="0"/>
                <w:sz w:val="24"/>
                <w:szCs w:val="24"/>
              </w:rPr>
            </w:pPr>
          </w:p>
        </w:tc>
        <w:tc>
          <w:tcPr>
            <w:tcW w:w="435" w:type="dxa"/>
            <w:tcBorders>
              <w:top w:val="nil"/>
              <w:left w:val="nil"/>
              <w:bottom w:val="nil"/>
              <w:right w:val="nil"/>
            </w:tcBorders>
            <w:noWrap/>
            <w:vAlign w:val="center"/>
          </w:tcPr>
          <w:p>
            <w:pPr>
              <w:widowControl/>
              <w:jc w:val="right"/>
              <w:rPr>
                <w:rFonts w:ascii="宋体" w:cs="Times New Roman"/>
                <w:kern w:val="0"/>
                <w:sz w:val="24"/>
                <w:szCs w:val="24"/>
              </w:rPr>
            </w:pPr>
          </w:p>
        </w:tc>
        <w:tc>
          <w:tcPr>
            <w:tcW w:w="1573" w:type="dxa"/>
            <w:tcBorders>
              <w:top w:val="nil"/>
              <w:left w:val="nil"/>
              <w:bottom w:val="nil"/>
              <w:right w:val="nil"/>
            </w:tcBorders>
            <w:noWrap/>
            <w:vAlign w:val="center"/>
          </w:tcPr>
          <w:p>
            <w:pPr>
              <w:widowControl/>
              <w:jc w:val="right"/>
              <w:rPr>
                <w:rFonts w:ascii="宋体" w:cs="Times New Roman"/>
                <w:kern w:val="0"/>
                <w:sz w:val="24"/>
                <w:szCs w:val="24"/>
              </w:rPr>
            </w:pPr>
          </w:p>
        </w:tc>
        <w:tc>
          <w:tcPr>
            <w:tcW w:w="1394" w:type="dxa"/>
            <w:tcBorders>
              <w:top w:val="nil"/>
              <w:left w:val="nil"/>
              <w:bottom w:val="nil"/>
              <w:right w:val="nil"/>
            </w:tcBorders>
            <w:noWrap/>
            <w:vAlign w:val="center"/>
          </w:tcPr>
          <w:p>
            <w:pPr>
              <w:widowControl/>
              <w:jc w:val="right"/>
              <w:rPr>
                <w:rFonts w:ascii="宋体" w:cs="Times New Roman"/>
                <w:kern w:val="0"/>
                <w:sz w:val="24"/>
                <w:szCs w:val="24"/>
              </w:rPr>
            </w:pPr>
          </w:p>
        </w:tc>
        <w:tc>
          <w:tcPr>
            <w:tcW w:w="1394" w:type="dxa"/>
            <w:tcBorders>
              <w:top w:val="nil"/>
              <w:left w:val="nil"/>
              <w:bottom w:val="nil"/>
              <w:right w:val="nil"/>
            </w:tcBorders>
            <w:noWrap/>
            <w:vAlign w:val="center"/>
          </w:tcPr>
          <w:p>
            <w:pPr>
              <w:widowControl/>
              <w:jc w:val="right"/>
              <w:rPr>
                <w:rFonts w:ascii="宋体" w:cs="Times New Roman"/>
                <w:kern w:val="0"/>
                <w:sz w:val="24"/>
                <w:szCs w:val="24"/>
              </w:rPr>
            </w:pPr>
          </w:p>
        </w:tc>
        <w:tc>
          <w:tcPr>
            <w:tcW w:w="1573" w:type="dxa"/>
            <w:tcBorders>
              <w:top w:val="nil"/>
              <w:left w:val="nil"/>
              <w:bottom w:val="nil"/>
              <w:right w:val="nil"/>
            </w:tcBorders>
            <w:noWrap/>
            <w:vAlign w:val="center"/>
          </w:tcPr>
          <w:p>
            <w:pPr>
              <w:widowControl/>
              <w:jc w:val="right"/>
              <w:rPr>
                <w:rFonts w:ascii="宋体" w:cs="Times New Roman"/>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noWrap/>
            <w:vAlign w:val="center"/>
          </w:tcPr>
          <w:p>
            <w:pPr>
              <w:widowControl/>
              <w:jc w:val="center"/>
              <w:rPr>
                <w:rFonts w:ascii="华文中宋" w:hAnsi="华文中宋" w:eastAsia="华文中宋" w:cs="Times New Roman"/>
                <w:color w:val="000000"/>
                <w:kern w:val="0"/>
                <w:sz w:val="32"/>
                <w:szCs w:val="32"/>
              </w:rPr>
            </w:pPr>
            <w:r>
              <w:rPr>
                <w:rFonts w:hint="eastAsia" w:ascii="华文中宋" w:hAnsi="华文中宋" w:eastAsia="华文中宋" w:cs="华文中宋"/>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04</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部门：道县市场服务中心</w:t>
            </w:r>
          </w:p>
        </w:tc>
        <w:tc>
          <w:tcPr>
            <w:tcW w:w="436"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436"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0"/>
                <w:szCs w:val="20"/>
              </w:rPr>
            </w:pPr>
            <w:r>
              <w:rPr>
                <w:rFonts w:hint="eastAsia" w:ascii="宋体" w:hAnsi="宋体" w:cs="宋体"/>
                <w:kern w:val="0"/>
                <w:sz w:val="20"/>
                <w:szCs w:val="20"/>
              </w:rPr>
              <w:t>行次</w:t>
            </w:r>
          </w:p>
        </w:tc>
        <w:tc>
          <w:tcPr>
            <w:tcW w:w="1078"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金额</w:t>
            </w:r>
          </w:p>
        </w:tc>
        <w:tc>
          <w:tcPr>
            <w:tcW w:w="3411"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0"/>
                <w:szCs w:val="20"/>
              </w:rPr>
            </w:pPr>
            <w:r>
              <w:rPr>
                <w:rFonts w:hint="eastAsia" w:ascii="宋体" w:hAnsi="宋体" w:cs="宋体"/>
                <w:kern w:val="0"/>
                <w:sz w:val="20"/>
                <w:szCs w:val="20"/>
              </w:rPr>
              <w:t>行次</w:t>
            </w:r>
          </w:p>
        </w:tc>
        <w:tc>
          <w:tcPr>
            <w:tcW w:w="1573"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合计</w:t>
            </w:r>
          </w:p>
        </w:tc>
        <w:tc>
          <w:tcPr>
            <w:tcW w:w="1394"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一般公共预算财政拨款</w:t>
            </w:r>
          </w:p>
        </w:tc>
        <w:tc>
          <w:tcPr>
            <w:tcW w:w="1394"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政府性基金预算财政拨款</w:t>
            </w:r>
          </w:p>
        </w:tc>
        <w:tc>
          <w:tcPr>
            <w:tcW w:w="1573"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宋体" w:cs="Times New Roman"/>
                <w:kern w:val="0"/>
                <w:sz w:val="24"/>
                <w:szCs w:val="24"/>
              </w:rPr>
            </w:pPr>
            <w:r>
              <w:rPr>
                <w:rFonts w:hint="eastAsia" w:ascii="宋体" w:hAnsi="宋体" w:cs="宋体"/>
                <w:color w:val="000000"/>
                <w:kern w:val="0"/>
                <w:sz w:val="22"/>
                <w:szCs w:val="22"/>
              </w:rPr>
              <w:t>栏次</w:t>
            </w:r>
          </w:p>
        </w:tc>
        <w:tc>
          <w:tcPr>
            <w:tcW w:w="436" w:type="dxa"/>
            <w:tcBorders>
              <w:top w:val="nil"/>
              <w:left w:val="nil"/>
              <w:bottom w:val="single" w:color="auto" w:sz="4" w:space="0"/>
              <w:right w:val="single" w:color="auto" w:sz="4" w:space="0"/>
            </w:tcBorders>
            <w:noWrap/>
            <w:vAlign w:val="center"/>
          </w:tcPr>
          <w:p>
            <w:pPr>
              <w:jc w:val="center"/>
              <w:rPr>
                <w:rFonts w:ascii="宋体" w:cs="Times New Roman"/>
                <w:kern w:val="0"/>
                <w:sz w:val="24"/>
                <w:szCs w:val="24"/>
              </w:rPr>
            </w:pPr>
          </w:p>
        </w:tc>
        <w:tc>
          <w:tcPr>
            <w:tcW w:w="1078"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1</w:t>
            </w:r>
          </w:p>
        </w:tc>
        <w:tc>
          <w:tcPr>
            <w:tcW w:w="3411"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4"/>
                <w:szCs w:val="24"/>
              </w:rPr>
            </w:pPr>
            <w:r>
              <w:rPr>
                <w:rFonts w:hint="eastAsia" w:ascii="宋体" w:hAnsi="宋体" w:cs="宋体"/>
                <w:color w:val="000000"/>
                <w:kern w:val="0"/>
                <w:sz w:val="22"/>
                <w:szCs w:val="22"/>
              </w:rPr>
              <w:t>栏次</w:t>
            </w:r>
          </w:p>
        </w:tc>
        <w:tc>
          <w:tcPr>
            <w:tcW w:w="1067" w:type="dxa"/>
            <w:gridSpan w:val="2"/>
            <w:tcBorders>
              <w:top w:val="nil"/>
              <w:left w:val="nil"/>
              <w:bottom w:val="single" w:color="auto" w:sz="4" w:space="0"/>
              <w:right w:val="single" w:color="auto" w:sz="4" w:space="0"/>
            </w:tcBorders>
            <w:noWrap/>
            <w:vAlign w:val="center"/>
          </w:tcPr>
          <w:p>
            <w:pPr>
              <w:jc w:val="center"/>
              <w:rPr>
                <w:rFonts w:ascii="宋体" w:cs="Times New Roman"/>
                <w:kern w:val="0"/>
                <w:sz w:val="24"/>
                <w:szCs w:val="24"/>
              </w:rPr>
            </w:pPr>
          </w:p>
        </w:tc>
        <w:tc>
          <w:tcPr>
            <w:tcW w:w="1573"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2</w:t>
            </w:r>
          </w:p>
        </w:tc>
        <w:tc>
          <w:tcPr>
            <w:tcW w:w="1394"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3</w:t>
            </w:r>
          </w:p>
        </w:tc>
        <w:tc>
          <w:tcPr>
            <w:tcW w:w="1394"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4</w:t>
            </w:r>
          </w:p>
        </w:tc>
        <w:tc>
          <w:tcPr>
            <w:tcW w:w="1573"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一、一般公共预算财政拨款</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w:t>
            </w:r>
          </w:p>
        </w:tc>
        <w:tc>
          <w:tcPr>
            <w:tcW w:w="107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1,265.82</w:t>
            </w: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一、一般公共服务支出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33</w:t>
            </w:r>
          </w:p>
        </w:tc>
        <w:tc>
          <w:tcPr>
            <w:tcW w:w="1573"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651.92</w:t>
            </w:r>
          </w:p>
        </w:tc>
        <w:tc>
          <w:tcPr>
            <w:tcW w:w="139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651.92</w:t>
            </w: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二、政府性基金预算财政拨款</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二、外交支出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34</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三、国有资本经营财政拨款</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三、国防支出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35</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四、公共安全支出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36</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五、教育支出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37</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六、科学技术支出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38</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7</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4"/>
                <w:szCs w:val="24"/>
              </w:rPr>
            </w:pPr>
            <w:r>
              <w:rPr>
                <w:rFonts w:hint="eastAsia" w:ascii="宋体" w:hAnsi="宋体" w:cs="宋体"/>
                <w:color w:val="000000"/>
                <w:kern w:val="0"/>
                <w:sz w:val="22"/>
                <w:szCs w:val="22"/>
              </w:rPr>
              <w:t>七、文化旅游体育与传媒支出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39</w:t>
            </w:r>
          </w:p>
        </w:tc>
        <w:tc>
          <w:tcPr>
            <w:tcW w:w="1573"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261.90</w:t>
            </w:r>
          </w:p>
        </w:tc>
        <w:tc>
          <w:tcPr>
            <w:tcW w:w="139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261.90</w:t>
            </w: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8</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八、社会保障和就业支出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40</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9</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九、卫生健康支出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41</w:t>
            </w:r>
          </w:p>
        </w:tc>
        <w:tc>
          <w:tcPr>
            <w:tcW w:w="1573"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352.00</w:t>
            </w:r>
          </w:p>
        </w:tc>
        <w:tc>
          <w:tcPr>
            <w:tcW w:w="139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352.00</w:t>
            </w: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10</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十、节能环保支出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42</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11</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十一、城乡社区支出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43</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12</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十二、农林水支出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44</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13</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十三、交通运输支出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45</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14</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十四、资源勘探工业信息等支出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46</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15</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十五、商业服务业等支出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47</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16</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十六、金融支出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48</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17</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十七、援助其他地区支出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49</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18</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十八、自然资源海洋气象等支出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50</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19</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十九、住房保障支出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51</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20</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二十、粮油物资储备支出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52</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21</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二十一、国有资本经营预算支出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53</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22</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二十二、灾害防治及应急管理支出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54</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23</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二十三、其他支出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55</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center"/>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24</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二十四、债务还本支出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56</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25</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二十五、债务付息支出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57</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26</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二十六、抗疫特别国债安排的支出</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58</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宋体" w:cs="Times New Roman"/>
                <w:b/>
                <w:bCs/>
                <w:kern w:val="0"/>
                <w:sz w:val="22"/>
                <w:szCs w:val="22"/>
              </w:rPr>
            </w:pPr>
            <w:r>
              <w:rPr>
                <w:rFonts w:hint="eastAsia" w:ascii="宋体" w:hAnsi="宋体" w:cs="宋体"/>
                <w:b/>
                <w:bCs/>
                <w:color w:val="000000"/>
                <w:kern w:val="0"/>
                <w:sz w:val="22"/>
                <w:szCs w:val="22"/>
              </w:rPr>
              <w:t>本年收入合计</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27</w:t>
            </w:r>
          </w:p>
        </w:tc>
        <w:tc>
          <w:tcPr>
            <w:tcW w:w="107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1,265.82</w:t>
            </w:r>
          </w:p>
        </w:tc>
        <w:tc>
          <w:tcPr>
            <w:tcW w:w="3411"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b/>
                <w:bCs/>
                <w:kern w:val="0"/>
                <w:sz w:val="22"/>
                <w:szCs w:val="22"/>
              </w:rPr>
            </w:pPr>
            <w:r>
              <w:rPr>
                <w:rFonts w:hint="eastAsia" w:ascii="宋体" w:hAnsi="宋体" w:cs="宋体"/>
                <w:b/>
                <w:bCs/>
                <w:color w:val="000000"/>
                <w:kern w:val="0"/>
                <w:sz w:val="22"/>
                <w:szCs w:val="22"/>
              </w:rPr>
              <w:t>本年支出合计</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59</w:t>
            </w:r>
          </w:p>
        </w:tc>
        <w:tc>
          <w:tcPr>
            <w:tcW w:w="1573"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1,265.82</w:t>
            </w:r>
          </w:p>
        </w:tc>
        <w:tc>
          <w:tcPr>
            <w:tcW w:w="139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1,265.82</w:t>
            </w: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年初财政拨款结转和结余</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28</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年末财政拨款结转和结余</w:t>
            </w: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60</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一般公共预算财政拨款</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29</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jc w:val="left"/>
              <w:rPr>
                <w:rFonts w:ascii="宋体" w:cs="Times New Roman"/>
                <w:kern w:val="0"/>
                <w:sz w:val="22"/>
                <w:szCs w:val="22"/>
              </w:rPr>
            </w:pP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61</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政府性基金预算财政拨款</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30</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jc w:val="left"/>
              <w:rPr>
                <w:rFonts w:ascii="宋体" w:cs="Times New Roman"/>
                <w:kern w:val="0"/>
                <w:sz w:val="22"/>
                <w:szCs w:val="22"/>
              </w:rPr>
            </w:pP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62</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国有资本经营预算财政拨款</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31</w:t>
            </w:r>
          </w:p>
        </w:tc>
        <w:tc>
          <w:tcPr>
            <w:tcW w:w="1078"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11" w:type="dxa"/>
            <w:gridSpan w:val="2"/>
            <w:tcBorders>
              <w:top w:val="nil"/>
              <w:left w:val="nil"/>
              <w:bottom w:val="single" w:color="auto" w:sz="4" w:space="0"/>
              <w:right w:val="single" w:color="auto" w:sz="4" w:space="0"/>
            </w:tcBorders>
            <w:noWrap/>
            <w:vAlign w:val="center"/>
          </w:tcPr>
          <w:p>
            <w:pPr>
              <w:jc w:val="left"/>
              <w:rPr>
                <w:rFonts w:ascii="宋体" w:cs="Times New Roman"/>
                <w:kern w:val="0"/>
                <w:sz w:val="22"/>
                <w:szCs w:val="22"/>
              </w:rPr>
            </w:pPr>
          </w:p>
        </w:tc>
        <w:tc>
          <w:tcPr>
            <w:tcW w:w="1067"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63</w:t>
            </w: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4"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cs="Times New Roman"/>
                <w:b/>
                <w:bCs/>
                <w:kern w:val="0"/>
                <w:sz w:val="22"/>
                <w:szCs w:val="22"/>
              </w:rPr>
            </w:pPr>
            <w:r>
              <w:rPr>
                <w:rFonts w:hint="eastAsia" w:ascii="宋体" w:hAnsi="宋体" w:cs="宋体"/>
                <w:b/>
                <w:bCs/>
                <w:color w:val="000000"/>
                <w:kern w:val="0"/>
                <w:sz w:val="22"/>
                <w:szCs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32</w:t>
            </w:r>
          </w:p>
        </w:tc>
        <w:tc>
          <w:tcPr>
            <w:tcW w:w="107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1,265.82</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b/>
                <w:bCs/>
                <w:kern w:val="0"/>
                <w:sz w:val="22"/>
                <w:szCs w:val="22"/>
              </w:rPr>
            </w:pPr>
            <w:r>
              <w:rPr>
                <w:rFonts w:hint="eastAsia" w:ascii="宋体" w:hAnsi="宋体" w:cs="宋体"/>
                <w:b/>
                <w:bCs/>
                <w:color w:val="000000"/>
                <w:kern w:val="0"/>
                <w:sz w:val="22"/>
                <w:szCs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64</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1,265.82</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1,265.82</w:t>
            </w:r>
          </w:p>
        </w:tc>
        <w:tc>
          <w:tcPr>
            <w:tcW w:w="1394" w:type="dxa"/>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c>
          <w:tcPr>
            <w:tcW w:w="1573" w:type="dxa"/>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vAlign w:val="center"/>
          </w:tcPr>
          <w:p>
            <w:pPr>
              <w:widowControl/>
              <w:jc w:val="left"/>
              <w:rPr>
                <w:rFonts w:ascii="宋体" w:cs="Times New Roman"/>
                <w:kern w:val="0"/>
                <w:sz w:val="24"/>
                <w:szCs w:val="24"/>
              </w:rPr>
            </w:pPr>
            <w:r>
              <w:rPr>
                <w:rFonts w:hint="eastAsia" w:ascii="宋体" w:hAnsi="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方正小标宋_GBK"/>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部门：</w:t>
      </w:r>
      <w:r>
        <w:rPr>
          <w:rFonts w:hint="eastAsia" w:ascii="宋体" w:hAnsi="宋体" w:cs="宋体"/>
          <w:color w:val="000000"/>
          <w:kern w:val="0"/>
          <w:sz w:val="20"/>
          <w:szCs w:val="20"/>
        </w:rPr>
        <w:t>道县市场服务中心</w:t>
      </w: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公开</w:t>
      </w:r>
      <w:r>
        <w:rPr>
          <w:rFonts w:ascii="Times New Roman" w:hAnsi="Times New Roman" w:eastAsia="仿宋_GB2312" w:cs="Times New Roman"/>
          <w:color w:val="000000"/>
          <w:kern w:val="0"/>
        </w:rPr>
        <w:t>05</w:t>
      </w:r>
      <w:r>
        <w:rPr>
          <w:rFonts w:hint="eastAsia" w:ascii="Times New Roman" w:hAnsi="Times New Roman" w:eastAsia="仿宋_GB2312" w:cs="仿宋_GB2312"/>
          <w:color w:val="000000"/>
          <w:kern w:val="0"/>
        </w:rPr>
        <w:t>表</w:t>
      </w:r>
    </w:p>
    <w:p>
      <w:pPr>
        <w:widowControl/>
        <w:jc w:val="left"/>
        <w:rPr>
          <w:rFonts w:ascii="Times New Roman" w:hAnsi="Times New Roman" w:cs="Times New Roman"/>
          <w:color w:val="000000"/>
          <w:kern w:val="0"/>
          <w:sz w:val="20"/>
          <w:szCs w:val="20"/>
        </w:rPr>
      </w:pP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单位：万元</w:t>
      </w:r>
    </w:p>
    <w:tbl>
      <w:tblPr>
        <w:tblStyle w:val="7"/>
        <w:tblW w:w="14219" w:type="dxa"/>
        <w:jc w:val="center"/>
        <w:tblLayout w:type="autofit"/>
        <w:tblCellMar>
          <w:top w:w="0" w:type="dxa"/>
          <w:left w:w="108" w:type="dxa"/>
          <w:bottom w:w="0" w:type="dxa"/>
          <w:right w:w="108" w:type="dxa"/>
        </w:tblCellMar>
      </w:tblPr>
      <w:tblGrid>
        <w:gridCol w:w="986"/>
        <w:gridCol w:w="1010"/>
        <w:gridCol w:w="3291"/>
        <w:gridCol w:w="2840"/>
        <w:gridCol w:w="3271"/>
        <w:gridCol w:w="2821"/>
      </w:tblGrid>
      <w:tr>
        <w:tblPrEx>
          <w:tblCellMar>
            <w:top w:w="0" w:type="dxa"/>
            <w:left w:w="108" w:type="dxa"/>
            <w:bottom w:w="0" w:type="dxa"/>
            <w:right w:w="108" w:type="dxa"/>
          </w:tblCellMar>
        </w:tblPrEx>
        <w:trPr>
          <w:trHeight w:val="405" w:hRule="atLeast"/>
          <w:jc w:val="center"/>
        </w:trPr>
        <w:tc>
          <w:tcPr>
            <w:tcW w:w="5287"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项</w:t>
            </w:r>
            <w:r>
              <w:rPr>
                <w:rFonts w:ascii="Times New Roman" w:hAnsi="Times New Roman" w:eastAsia="仿宋_GB2312" w:cs="Times New Roman"/>
                <w:b/>
                <w:bCs/>
                <w:kern w:val="0"/>
              </w:rPr>
              <w:t xml:space="preserve"> </w:t>
            </w:r>
            <w:r>
              <w:rPr>
                <w:rFonts w:hint="eastAsia" w:ascii="Times New Roman" w:hAnsi="Times New Roman" w:eastAsia="仿宋_GB2312" w:cs="仿宋_GB2312"/>
                <w:b/>
                <w:bCs/>
                <w:kern w:val="0"/>
              </w:rPr>
              <w:t>目</w:t>
            </w:r>
          </w:p>
        </w:tc>
        <w:tc>
          <w:tcPr>
            <w:tcW w:w="8932"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本年支出</w:t>
            </w:r>
          </w:p>
        </w:tc>
      </w:tr>
      <w:tr>
        <w:tblPrEx>
          <w:tblCellMar>
            <w:top w:w="0" w:type="dxa"/>
            <w:left w:w="108" w:type="dxa"/>
            <w:bottom w:w="0" w:type="dxa"/>
            <w:right w:w="108" w:type="dxa"/>
          </w:tblCellMar>
        </w:tblPrEx>
        <w:trPr>
          <w:trHeight w:val="495" w:hRule="atLeast"/>
          <w:jc w:val="center"/>
        </w:trPr>
        <w:tc>
          <w:tcPr>
            <w:tcW w:w="1996"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功能分类科目编码</w:t>
            </w:r>
          </w:p>
        </w:tc>
        <w:tc>
          <w:tcPr>
            <w:tcW w:w="3291"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科目名称</w:t>
            </w:r>
          </w:p>
        </w:tc>
        <w:tc>
          <w:tcPr>
            <w:tcW w:w="284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小计</w:t>
            </w:r>
          </w:p>
        </w:tc>
        <w:tc>
          <w:tcPr>
            <w:tcW w:w="3271"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基本支出</w:t>
            </w:r>
          </w:p>
        </w:tc>
        <w:tc>
          <w:tcPr>
            <w:tcW w:w="2821"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项目支出</w:t>
            </w:r>
          </w:p>
        </w:tc>
      </w:tr>
      <w:tr>
        <w:tblPrEx>
          <w:tblCellMar>
            <w:top w:w="0" w:type="dxa"/>
            <w:left w:w="108" w:type="dxa"/>
            <w:bottom w:w="0" w:type="dxa"/>
            <w:right w:w="108" w:type="dxa"/>
          </w:tblCellMar>
        </w:tblPrEx>
        <w:trPr>
          <w:trHeight w:val="360" w:hRule="atLeast"/>
          <w:jc w:val="center"/>
        </w:trPr>
        <w:tc>
          <w:tcPr>
            <w:tcW w:w="199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p>
        </w:tc>
        <w:tc>
          <w:tcPr>
            <w:tcW w:w="329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p>
        </w:tc>
        <w:tc>
          <w:tcPr>
            <w:tcW w:w="284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327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2821"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450" w:hRule="atLeast"/>
          <w:jc w:val="center"/>
        </w:trPr>
        <w:tc>
          <w:tcPr>
            <w:tcW w:w="199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p>
        </w:tc>
        <w:tc>
          <w:tcPr>
            <w:tcW w:w="329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p>
        </w:tc>
        <w:tc>
          <w:tcPr>
            <w:tcW w:w="284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327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2821"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450" w:hRule="atLeast"/>
          <w:jc w:val="center"/>
        </w:trPr>
        <w:tc>
          <w:tcPr>
            <w:tcW w:w="5287" w:type="dxa"/>
            <w:gridSpan w:val="3"/>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rPr>
            </w:pPr>
            <w:r>
              <w:rPr>
                <w:rFonts w:hint="eastAsia" w:ascii="宋体" w:hAnsi="宋体" w:cs="宋体"/>
                <w:color w:val="000000"/>
                <w:kern w:val="0"/>
                <w:sz w:val="22"/>
                <w:szCs w:val="22"/>
              </w:rPr>
              <w:t>栏次</w:t>
            </w:r>
          </w:p>
        </w:tc>
        <w:tc>
          <w:tcPr>
            <w:tcW w:w="28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rPr>
            </w:pPr>
            <w:r>
              <w:rPr>
                <w:rFonts w:ascii="宋体" w:hAnsi="宋体" w:cs="宋体"/>
                <w:color w:val="000000"/>
                <w:kern w:val="0"/>
                <w:sz w:val="22"/>
                <w:szCs w:val="22"/>
              </w:rPr>
              <w:t>1</w:t>
            </w:r>
          </w:p>
        </w:tc>
        <w:tc>
          <w:tcPr>
            <w:tcW w:w="3271"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rPr>
            </w:pPr>
            <w:r>
              <w:rPr>
                <w:rFonts w:ascii="宋体" w:hAnsi="宋体" w:cs="宋体"/>
                <w:color w:val="000000"/>
                <w:kern w:val="0"/>
                <w:sz w:val="22"/>
                <w:szCs w:val="22"/>
              </w:rPr>
              <w:t>2</w:t>
            </w:r>
          </w:p>
        </w:tc>
        <w:tc>
          <w:tcPr>
            <w:tcW w:w="2821" w:type="dxa"/>
            <w:tcBorders>
              <w:top w:val="nil"/>
              <w:left w:val="nil"/>
              <w:bottom w:val="single" w:color="auto" w:sz="4" w:space="0"/>
              <w:right w:val="single" w:color="auto" w:sz="8" w:space="0"/>
            </w:tcBorders>
            <w:vAlign w:val="center"/>
          </w:tcPr>
          <w:p>
            <w:pPr>
              <w:widowControl/>
              <w:jc w:val="center"/>
              <w:textAlignment w:val="center"/>
              <w:rPr>
                <w:rFonts w:ascii="Times New Roman" w:hAnsi="Times New Roman" w:eastAsia="仿宋_GB2312" w:cs="Times New Roman"/>
                <w:kern w:val="0"/>
              </w:rPr>
            </w:pPr>
            <w:r>
              <w:rPr>
                <w:rFonts w:ascii="宋体" w:hAnsi="宋体" w:cs="宋体"/>
                <w:color w:val="000000"/>
                <w:kern w:val="0"/>
                <w:sz w:val="22"/>
                <w:szCs w:val="22"/>
              </w:rPr>
              <w:t>3</w:t>
            </w:r>
          </w:p>
        </w:tc>
      </w:tr>
      <w:tr>
        <w:tblPrEx>
          <w:tblCellMar>
            <w:top w:w="0" w:type="dxa"/>
            <w:left w:w="108" w:type="dxa"/>
            <w:bottom w:w="0" w:type="dxa"/>
            <w:right w:w="108" w:type="dxa"/>
          </w:tblCellMar>
        </w:tblPrEx>
        <w:trPr>
          <w:trHeight w:val="450" w:hRule="atLeast"/>
          <w:jc w:val="center"/>
        </w:trPr>
        <w:tc>
          <w:tcPr>
            <w:tcW w:w="5287" w:type="dxa"/>
            <w:gridSpan w:val="3"/>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rPr>
            </w:pPr>
            <w:r>
              <w:rPr>
                <w:rFonts w:hint="eastAsia" w:ascii="宋体" w:hAnsi="宋体" w:cs="宋体"/>
                <w:color w:val="000000"/>
                <w:kern w:val="0"/>
                <w:sz w:val="22"/>
                <w:szCs w:val="22"/>
              </w:rPr>
              <w:t>合计</w:t>
            </w:r>
          </w:p>
        </w:tc>
        <w:tc>
          <w:tcPr>
            <w:tcW w:w="2840"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b/>
                <w:bCs/>
                <w:color w:val="000000"/>
                <w:kern w:val="0"/>
                <w:sz w:val="22"/>
                <w:szCs w:val="22"/>
              </w:rPr>
              <w:t>1,265.82</w:t>
            </w:r>
          </w:p>
        </w:tc>
        <w:tc>
          <w:tcPr>
            <w:tcW w:w="3271"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b/>
                <w:bCs/>
                <w:color w:val="000000"/>
                <w:kern w:val="0"/>
                <w:sz w:val="22"/>
                <w:szCs w:val="22"/>
              </w:rPr>
              <w:t>913.82</w:t>
            </w:r>
          </w:p>
        </w:tc>
        <w:tc>
          <w:tcPr>
            <w:tcW w:w="2821" w:type="dxa"/>
            <w:tcBorders>
              <w:top w:val="nil"/>
              <w:left w:val="nil"/>
              <w:bottom w:val="single" w:color="auto" w:sz="4" w:space="0"/>
              <w:right w:val="single" w:color="auto" w:sz="8"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b/>
                <w:bCs/>
                <w:color w:val="000000"/>
                <w:kern w:val="0"/>
                <w:sz w:val="22"/>
                <w:szCs w:val="22"/>
              </w:rPr>
              <w:t>352.00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201</w:t>
            </w:r>
          </w:p>
        </w:tc>
        <w:tc>
          <w:tcPr>
            <w:tcW w:w="4301" w:type="dxa"/>
            <w:gridSpan w:val="2"/>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hint="eastAsia" w:ascii="宋体" w:hAnsi="宋体" w:cs="宋体"/>
                <w:color w:val="000000"/>
                <w:kern w:val="0"/>
                <w:sz w:val="22"/>
                <w:szCs w:val="22"/>
              </w:rPr>
              <w:t>一般公共服务支出</w:t>
            </w:r>
          </w:p>
        </w:tc>
        <w:tc>
          <w:tcPr>
            <w:tcW w:w="2840"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651.92</w:t>
            </w:r>
          </w:p>
        </w:tc>
        <w:tc>
          <w:tcPr>
            <w:tcW w:w="3271"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651.92</w:t>
            </w:r>
          </w:p>
        </w:tc>
        <w:tc>
          <w:tcPr>
            <w:tcW w:w="2821" w:type="dxa"/>
            <w:tcBorders>
              <w:top w:val="nil"/>
              <w:left w:val="nil"/>
              <w:bottom w:val="single" w:color="auto" w:sz="4" w:space="0"/>
              <w:right w:val="single" w:color="auto" w:sz="8" w:space="0"/>
            </w:tcBorders>
            <w:vAlign w:val="center"/>
          </w:tcPr>
          <w:p>
            <w:pPr>
              <w:jc w:val="righ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20103</w:t>
            </w:r>
          </w:p>
        </w:tc>
        <w:tc>
          <w:tcPr>
            <w:tcW w:w="4301" w:type="dxa"/>
            <w:gridSpan w:val="2"/>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hint="eastAsia" w:ascii="宋体" w:hAnsi="宋体" w:cs="宋体"/>
                <w:color w:val="000000"/>
                <w:kern w:val="0"/>
                <w:sz w:val="22"/>
                <w:szCs w:val="22"/>
              </w:rPr>
              <w:t>政府办公厅（室）及相关机构事务</w:t>
            </w:r>
          </w:p>
        </w:tc>
        <w:tc>
          <w:tcPr>
            <w:tcW w:w="2840"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651.92</w:t>
            </w:r>
          </w:p>
        </w:tc>
        <w:tc>
          <w:tcPr>
            <w:tcW w:w="3271"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651.92</w:t>
            </w:r>
          </w:p>
        </w:tc>
        <w:tc>
          <w:tcPr>
            <w:tcW w:w="2821" w:type="dxa"/>
            <w:tcBorders>
              <w:top w:val="nil"/>
              <w:left w:val="nil"/>
              <w:bottom w:val="single" w:color="auto" w:sz="4" w:space="0"/>
              <w:right w:val="single" w:color="auto" w:sz="8" w:space="0"/>
            </w:tcBorders>
            <w:vAlign w:val="center"/>
          </w:tcPr>
          <w:p>
            <w:pPr>
              <w:jc w:val="righ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2010350</w:t>
            </w:r>
          </w:p>
        </w:tc>
        <w:tc>
          <w:tcPr>
            <w:tcW w:w="4301" w:type="dxa"/>
            <w:gridSpan w:val="2"/>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事业运行</w:t>
            </w:r>
          </w:p>
        </w:tc>
        <w:tc>
          <w:tcPr>
            <w:tcW w:w="2840"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651.92</w:t>
            </w:r>
          </w:p>
        </w:tc>
        <w:tc>
          <w:tcPr>
            <w:tcW w:w="3271"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651.92</w:t>
            </w:r>
          </w:p>
        </w:tc>
        <w:tc>
          <w:tcPr>
            <w:tcW w:w="2821" w:type="dxa"/>
            <w:tcBorders>
              <w:top w:val="nil"/>
              <w:left w:val="nil"/>
              <w:bottom w:val="single" w:color="auto" w:sz="4" w:space="0"/>
              <w:right w:val="single" w:color="auto" w:sz="8" w:space="0"/>
            </w:tcBorders>
            <w:vAlign w:val="center"/>
          </w:tcPr>
          <w:p>
            <w:pPr>
              <w:jc w:val="righ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207</w:t>
            </w:r>
          </w:p>
        </w:tc>
        <w:tc>
          <w:tcPr>
            <w:tcW w:w="4301" w:type="dxa"/>
            <w:gridSpan w:val="2"/>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hint="eastAsia" w:ascii="宋体" w:hAnsi="宋体" w:cs="宋体"/>
                <w:color w:val="000000"/>
                <w:kern w:val="0"/>
                <w:sz w:val="22"/>
                <w:szCs w:val="22"/>
              </w:rPr>
              <w:t>文化旅游体育与传媒支出</w:t>
            </w:r>
          </w:p>
        </w:tc>
        <w:tc>
          <w:tcPr>
            <w:tcW w:w="2840"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261.90</w:t>
            </w:r>
          </w:p>
        </w:tc>
        <w:tc>
          <w:tcPr>
            <w:tcW w:w="3271"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261.90</w:t>
            </w:r>
          </w:p>
        </w:tc>
        <w:tc>
          <w:tcPr>
            <w:tcW w:w="2821" w:type="dxa"/>
            <w:tcBorders>
              <w:top w:val="nil"/>
              <w:left w:val="nil"/>
              <w:bottom w:val="single" w:color="auto" w:sz="4" w:space="0"/>
              <w:right w:val="single" w:color="auto" w:sz="8" w:space="0"/>
            </w:tcBorders>
            <w:vAlign w:val="center"/>
          </w:tcPr>
          <w:p>
            <w:pPr>
              <w:jc w:val="righ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20701</w:t>
            </w:r>
          </w:p>
        </w:tc>
        <w:tc>
          <w:tcPr>
            <w:tcW w:w="4301" w:type="dxa"/>
            <w:gridSpan w:val="2"/>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hint="eastAsia" w:ascii="宋体" w:hAnsi="宋体" w:cs="宋体"/>
                <w:color w:val="000000"/>
                <w:kern w:val="0"/>
                <w:sz w:val="22"/>
                <w:szCs w:val="22"/>
              </w:rPr>
              <w:t>文化和旅游</w:t>
            </w:r>
          </w:p>
        </w:tc>
        <w:tc>
          <w:tcPr>
            <w:tcW w:w="2840"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261.90</w:t>
            </w:r>
          </w:p>
        </w:tc>
        <w:tc>
          <w:tcPr>
            <w:tcW w:w="3271"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261.90</w:t>
            </w:r>
          </w:p>
        </w:tc>
        <w:tc>
          <w:tcPr>
            <w:tcW w:w="2821" w:type="dxa"/>
            <w:tcBorders>
              <w:top w:val="nil"/>
              <w:left w:val="nil"/>
              <w:bottom w:val="single" w:color="auto" w:sz="4" w:space="0"/>
              <w:right w:val="single" w:color="auto" w:sz="8" w:space="0"/>
            </w:tcBorders>
            <w:vAlign w:val="center"/>
          </w:tcPr>
          <w:p>
            <w:pPr>
              <w:jc w:val="righ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2070199</w:t>
            </w:r>
          </w:p>
        </w:tc>
        <w:tc>
          <w:tcPr>
            <w:tcW w:w="4301" w:type="dxa"/>
            <w:gridSpan w:val="2"/>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其他文化和旅游支出</w:t>
            </w:r>
          </w:p>
        </w:tc>
        <w:tc>
          <w:tcPr>
            <w:tcW w:w="2840"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261.90</w:t>
            </w:r>
          </w:p>
        </w:tc>
        <w:tc>
          <w:tcPr>
            <w:tcW w:w="3271"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261.90</w:t>
            </w:r>
          </w:p>
        </w:tc>
        <w:tc>
          <w:tcPr>
            <w:tcW w:w="2821" w:type="dxa"/>
            <w:tcBorders>
              <w:top w:val="nil"/>
              <w:left w:val="nil"/>
              <w:bottom w:val="single" w:color="auto" w:sz="4" w:space="0"/>
              <w:right w:val="single" w:color="auto" w:sz="8" w:space="0"/>
            </w:tcBorders>
            <w:vAlign w:val="center"/>
          </w:tcPr>
          <w:p>
            <w:pPr>
              <w:jc w:val="righ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210</w:t>
            </w:r>
          </w:p>
        </w:tc>
        <w:tc>
          <w:tcPr>
            <w:tcW w:w="4301" w:type="dxa"/>
            <w:gridSpan w:val="2"/>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hint="eastAsia" w:ascii="宋体" w:hAnsi="宋体" w:cs="宋体"/>
                <w:color w:val="000000"/>
                <w:kern w:val="0"/>
                <w:sz w:val="22"/>
                <w:szCs w:val="22"/>
              </w:rPr>
              <w:t>卫生健康支出</w:t>
            </w:r>
          </w:p>
        </w:tc>
        <w:tc>
          <w:tcPr>
            <w:tcW w:w="2840"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352.00</w:t>
            </w:r>
          </w:p>
        </w:tc>
        <w:tc>
          <w:tcPr>
            <w:tcW w:w="3271" w:type="dxa"/>
            <w:tcBorders>
              <w:top w:val="nil"/>
              <w:left w:val="nil"/>
              <w:bottom w:val="single" w:color="auto" w:sz="4" w:space="0"/>
              <w:right w:val="single" w:color="auto" w:sz="4" w:space="0"/>
            </w:tcBorders>
            <w:vAlign w:val="center"/>
          </w:tcPr>
          <w:p>
            <w:pPr>
              <w:jc w:val="right"/>
              <w:rPr>
                <w:rFonts w:ascii="Times New Roman" w:hAnsi="Times New Roman" w:eastAsia="仿宋_GB2312" w:cs="Times New Roman"/>
                <w:kern w:val="0"/>
              </w:rPr>
            </w:pPr>
          </w:p>
        </w:tc>
        <w:tc>
          <w:tcPr>
            <w:tcW w:w="2821" w:type="dxa"/>
            <w:tcBorders>
              <w:top w:val="nil"/>
              <w:left w:val="nil"/>
              <w:bottom w:val="single" w:color="auto" w:sz="4" w:space="0"/>
              <w:right w:val="single" w:color="auto" w:sz="8"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352.00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21004</w:t>
            </w:r>
          </w:p>
        </w:tc>
        <w:tc>
          <w:tcPr>
            <w:tcW w:w="4301" w:type="dxa"/>
            <w:gridSpan w:val="2"/>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hint="eastAsia" w:ascii="宋体" w:hAnsi="宋体" w:cs="宋体"/>
                <w:color w:val="000000"/>
                <w:kern w:val="0"/>
                <w:sz w:val="22"/>
                <w:szCs w:val="22"/>
              </w:rPr>
              <w:t>公共卫生</w:t>
            </w:r>
          </w:p>
        </w:tc>
        <w:tc>
          <w:tcPr>
            <w:tcW w:w="2840"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352.00</w:t>
            </w:r>
          </w:p>
        </w:tc>
        <w:tc>
          <w:tcPr>
            <w:tcW w:w="3271" w:type="dxa"/>
            <w:tcBorders>
              <w:top w:val="nil"/>
              <w:left w:val="nil"/>
              <w:bottom w:val="single" w:color="auto" w:sz="4" w:space="0"/>
              <w:right w:val="single" w:color="auto" w:sz="4" w:space="0"/>
            </w:tcBorders>
            <w:vAlign w:val="center"/>
          </w:tcPr>
          <w:p>
            <w:pPr>
              <w:jc w:val="right"/>
              <w:rPr>
                <w:rFonts w:ascii="Times New Roman" w:hAnsi="Times New Roman" w:eastAsia="仿宋_GB2312" w:cs="Times New Roman"/>
                <w:kern w:val="0"/>
              </w:rPr>
            </w:pPr>
          </w:p>
        </w:tc>
        <w:tc>
          <w:tcPr>
            <w:tcW w:w="2821" w:type="dxa"/>
            <w:tcBorders>
              <w:top w:val="nil"/>
              <w:left w:val="nil"/>
              <w:bottom w:val="single" w:color="auto" w:sz="4" w:space="0"/>
              <w:right w:val="single" w:color="auto" w:sz="8"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352.00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2100499</w:t>
            </w:r>
          </w:p>
        </w:tc>
        <w:tc>
          <w:tcPr>
            <w:tcW w:w="4301" w:type="dxa"/>
            <w:gridSpan w:val="2"/>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其他公共卫生支出</w:t>
            </w:r>
          </w:p>
        </w:tc>
        <w:tc>
          <w:tcPr>
            <w:tcW w:w="2840"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352.00</w:t>
            </w:r>
          </w:p>
        </w:tc>
        <w:tc>
          <w:tcPr>
            <w:tcW w:w="3271" w:type="dxa"/>
            <w:tcBorders>
              <w:top w:val="nil"/>
              <w:left w:val="nil"/>
              <w:bottom w:val="single" w:color="auto" w:sz="4" w:space="0"/>
              <w:right w:val="single" w:color="auto" w:sz="4" w:space="0"/>
            </w:tcBorders>
            <w:vAlign w:val="center"/>
          </w:tcPr>
          <w:p>
            <w:pPr>
              <w:jc w:val="right"/>
              <w:rPr>
                <w:rFonts w:ascii="Times New Roman" w:hAnsi="Times New Roman" w:eastAsia="仿宋_GB2312" w:cs="Times New Roman"/>
                <w:kern w:val="0"/>
              </w:rPr>
            </w:pPr>
          </w:p>
        </w:tc>
        <w:tc>
          <w:tcPr>
            <w:tcW w:w="2821" w:type="dxa"/>
            <w:tcBorders>
              <w:top w:val="nil"/>
              <w:left w:val="nil"/>
              <w:bottom w:val="single" w:color="auto" w:sz="4" w:space="0"/>
              <w:right w:val="single" w:color="auto" w:sz="8"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352.00</w:t>
            </w:r>
          </w:p>
        </w:tc>
      </w:tr>
      <w:tr>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注：本表反映部门本年度一般公共预算财政拨款支出情况。</w:t>
            </w:r>
          </w:p>
        </w:tc>
      </w:tr>
    </w:tbl>
    <w:p>
      <w:pPr>
        <w:widowControl/>
        <w:jc w:val="left"/>
        <w:rPr>
          <w:rFonts w:ascii="Times New Roman" w:hAnsi="Times New Roman" w:eastAsia="仿宋_GB2312" w:cs="Times New Roman"/>
          <w:kern w:val="0"/>
        </w:rPr>
      </w:pPr>
    </w:p>
    <w:p>
      <w:pPr>
        <w:widowControl/>
        <w:jc w:val="left"/>
        <w:rPr>
          <w:rFonts w:ascii="Times New Roman" w:hAnsi="Times New Roman" w:eastAsia="仿宋_GB2312" w:cs="Times New Roman"/>
          <w:kern w:val="0"/>
        </w:rPr>
      </w:pPr>
      <w:r>
        <w:rPr>
          <w:rFonts w:ascii="Times New Roman" w:hAnsi="Times New Roman" w:eastAsia="仿宋_GB2312" w:cs="Times New Roman"/>
          <w:kern w:val="0"/>
        </w:rPr>
        <w:br w:type="page"/>
      </w:r>
    </w:p>
    <w:tbl>
      <w:tblPr>
        <w:tblStyle w:val="7"/>
        <w:tblW w:w="0" w:type="auto"/>
        <w:tblInd w:w="-106" w:type="dxa"/>
        <w:tblLayout w:type="autofit"/>
        <w:tblCellMar>
          <w:top w:w="0" w:type="dxa"/>
          <w:left w:w="108" w:type="dxa"/>
          <w:bottom w:w="0" w:type="dxa"/>
          <w:right w:w="108" w:type="dxa"/>
        </w:tblCellMar>
      </w:tblPr>
      <w:tblGrid>
        <w:gridCol w:w="1293"/>
        <w:gridCol w:w="3239"/>
        <w:gridCol w:w="849"/>
        <w:gridCol w:w="1181"/>
        <w:gridCol w:w="2231"/>
        <w:gridCol w:w="849"/>
        <w:gridCol w:w="1182"/>
        <w:gridCol w:w="4046"/>
        <w:gridCol w:w="850"/>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noWrap/>
            <w:vAlign w:val="center"/>
          </w:tcPr>
          <w:p>
            <w:pPr>
              <w:widowControl/>
              <w:jc w:val="center"/>
              <w:rPr>
                <w:rFonts w:ascii="华文中宋" w:hAnsi="华文中宋" w:eastAsia="华文中宋" w:cs="Times New Roman"/>
                <w:color w:val="000000"/>
                <w:kern w:val="0"/>
              </w:rPr>
            </w:pPr>
            <w:bookmarkStart w:id="2" w:name="RANGE_A1_I34"/>
            <w:r>
              <w:rPr>
                <w:rFonts w:hint="eastAsia" w:ascii="华文中宋" w:hAnsi="华文中宋" w:eastAsia="华文中宋" w:cs="华文中宋"/>
                <w:color w:val="000000"/>
                <w:kern w:val="0"/>
              </w:rPr>
              <w:t>一般公共预算财政拨款基本支出决算明细表</w:t>
            </w:r>
            <w:bookmarkEnd w:id="2"/>
          </w:p>
          <w:p>
            <w:pPr>
              <w:widowControl/>
              <w:wordWrap w:val="0"/>
              <w:jc w:val="righ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部门：</w:t>
            </w:r>
            <w:r>
              <w:rPr>
                <w:rFonts w:ascii="Times New Roman" w:hAnsi="Times New Roman" w:eastAsia="仿宋_GB2312" w:cs="Times New Roman"/>
                <w:color w:val="000000"/>
                <w:kern w:val="0"/>
              </w:rPr>
              <w:t xml:space="preserve"> </w:t>
            </w:r>
            <w:r>
              <w:rPr>
                <w:rFonts w:hint="eastAsia" w:ascii="宋体" w:hAnsi="宋体" w:cs="宋体"/>
                <w:color w:val="000000"/>
                <w:kern w:val="0"/>
                <w:sz w:val="20"/>
                <w:szCs w:val="20"/>
              </w:rPr>
              <w:t>道县市场服务中心</w:t>
            </w:r>
            <w:r>
              <w:rPr>
                <w:rFonts w:hint="eastAsia" w:ascii="Times New Roman" w:hAnsi="Times New Roman" w:eastAsia="仿宋_GB2312" w:cs="仿宋_GB2312"/>
                <w:color w:val="000000"/>
                <w:kern w:val="0"/>
              </w:rPr>
              <w:t>公开</w:t>
            </w:r>
            <w:r>
              <w:rPr>
                <w:rFonts w:ascii="Times New Roman" w:hAnsi="Times New Roman" w:eastAsia="仿宋_GB2312" w:cs="Times New Roman"/>
                <w:color w:val="000000"/>
                <w:kern w:val="0"/>
              </w:rPr>
              <w:t>06</w:t>
            </w:r>
            <w:r>
              <w:rPr>
                <w:rFonts w:hint="eastAsia" w:ascii="Times New Roman" w:hAnsi="Times New Roman" w:eastAsia="仿宋_GB2312" w:cs="仿宋_GB2312"/>
                <w:color w:val="000000"/>
                <w:kern w:val="0"/>
              </w:rPr>
              <w:t>表</w:t>
            </w:r>
          </w:p>
          <w:p>
            <w:pPr>
              <w:widowControl/>
              <w:jc w:val="right"/>
              <w:rPr>
                <w:rFonts w:ascii="华文中宋" w:hAnsi="华文中宋" w:eastAsia="华文中宋" w:cs="Times New Roman"/>
                <w:color w:val="000000"/>
                <w:kern w:val="0"/>
              </w:rPr>
            </w:pPr>
            <w:r>
              <w:rPr>
                <w:rFonts w:hint="eastAsia" w:ascii="Times New Roman" w:hAnsi="Times New Roman" w:eastAsia="仿宋_GB2312" w:cs="仿宋_GB2312"/>
                <w:color w:val="000000"/>
                <w:kern w:val="0"/>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科目名称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决算数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经济分类科目编码</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科目名称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决算数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经济分类科目编码</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科目名称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hint="eastAsia" w:ascii="宋体" w:hAnsi="宋体" w:cs="宋体"/>
                <w:color w:val="000000"/>
                <w:kern w:val="0"/>
                <w:sz w:val="22"/>
                <w:szCs w:val="22"/>
              </w:rPr>
              <w:t>工资福利支出</w:t>
            </w:r>
          </w:p>
        </w:tc>
        <w:tc>
          <w:tcPr>
            <w:tcW w:w="647"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649.96</w:t>
            </w: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hint="eastAsia" w:ascii="宋体" w:hAnsi="宋体" w:cs="宋体"/>
                <w:color w:val="000000"/>
                <w:kern w:val="0"/>
                <w:sz w:val="22"/>
                <w:szCs w:val="22"/>
              </w:rPr>
              <w:t>商品和服务支出</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261.90</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307</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hint="eastAsia" w:ascii="宋体" w:hAnsi="宋体" w:cs="宋体"/>
                <w:color w:val="000000"/>
                <w:kern w:val="0"/>
                <w:sz w:val="22"/>
                <w:szCs w:val="22"/>
              </w:rPr>
              <w:t>债务利息及费用支出</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30101</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基本工资</w:t>
            </w:r>
          </w:p>
        </w:tc>
        <w:tc>
          <w:tcPr>
            <w:tcW w:w="647"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241.77</w:t>
            </w: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30201</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办公费</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7.09</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30701</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国内债务付息</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30102</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津贴补贴</w:t>
            </w:r>
          </w:p>
        </w:tc>
        <w:tc>
          <w:tcPr>
            <w:tcW w:w="647"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2.52</w:t>
            </w: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30202</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印刷费</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3.68</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30702</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国外债务付息</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30103</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奖金</w:t>
            </w:r>
          </w:p>
        </w:tc>
        <w:tc>
          <w:tcPr>
            <w:tcW w:w="647"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71.16</w:t>
            </w: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30203</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咨询费</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1.10</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hint="eastAsia" w:ascii="宋体" w:hAnsi="宋体" w:cs="宋体"/>
                <w:color w:val="000000"/>
                <w:kern w:val="0"/>
                <w:sz w:val="22"/>
                <w:szCs w:val="22"/>
              </w:rPr>
              <w:t>资本性支出</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30106</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伙食补助费</w:t>
            </w:r>
          </w:p>
        </w:tc>
        <w:tc>
          <w:tcPr>
            <w:tcW w:w="647"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1.84</w:t>
            </w: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30204</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手续费</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31001</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房屋建筑物购建</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30107</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绩效工资</w:t>
            </w:r>
          </w:p>
        </w:tc>
        <w:tc>
          <w:tcPr>
            <w:tcW w:w="647"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151.87</w:t>
            </w: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30205</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水费</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9.69</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31002</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办公设备购置</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30108</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w:t>
            </w:r>
          </w:p>
        </w:tc>
        <w:tc>
          <w:tcPr>
            <w:tcW w:w="647"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55.83</w:t>
            </w: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30206</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电费</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17.63</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31003</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专用设备购置</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30109</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职业年金缴费</w:t>
            </w:r>
          </w:p>
        </w:tc>
        <w:tc>
          <w:tcPr>
            <w:tcW w:w="647"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27.39</w:t>
            </w: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30207</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邮电费</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0.80</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31005</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基础设施建设</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30110</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职工基本医疗保险缴费</w:t>
            </w:r>
          </w:p>
        </w:tc>
        <w:tc>
          <w:tcPr>
            <w:tcW w:w="647"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33.25</w:t>
            </w: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30208</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取暖费</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31006</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大型修缮</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30111</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公务员医疗补助缴费</w:t>
            </w:r>
          </w:p>
        </w:tc>
        <w:tc>
          <w:tcPr>
            <w:tcW w:w="647"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30209</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物业管理费</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72.48</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31007</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信息网络及软件购置更新</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30112</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其他社会保障缴费</w:t>
            </w:r>
          </w:p>
        </w:tc>
        <w:tc>
          <w:tcPr>
            <w:tcW w:w="647"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30211</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差旅费</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0.18</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31008</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物资储备</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30113</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647"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30212</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因公出国（境）费用</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31009</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土地补偿</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30114</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医疗费</w:t>
            </w:r>
          </w:p>
        </w:tc>
        <w:tc>
          <w:tcPr>
            <w:tcW w:w="647"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30213</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维修（护）费</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26.93</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31010</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安置补助</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30199</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其他工资福利支出</w:t>
            </w:r>
          </w:p>
        </w:tc>
        <w:tc>
          <w:tcPr>
            <w:tcW w:w="647"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64.31</w:t>
            </w: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30214</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租赁费</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0.07</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31011</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地上附着物和青苗补偿</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hint="eastAsia" w:ascii="宋体" w:hAnsi="宋体" w:cs="宋体"/>
                <w:color w:val="000000"/>
                <w:kern w:val="0"/>
                <w:sz w:val="22"/>
                <w:szCs w:val="22"/>
              </w:rPr>
              <w:t>对个人和家庭的补助</w:t>
            </w:r>
          </w:p>
        </w:tc>
        <w:tc>
          <w:tcPr>
            <w:tcW w:w="647"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1.96</w:t>
            </w: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30215</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会议费</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31012</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拆迁补偿</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30301</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离休费</w:t>
            </w:r>
          </w:p>
        </w:tc>
        <w:tc>
          <w:tcPr>
            <w:tcW w:w="647"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30216</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培训费</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0.59</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31013</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公务用车购置</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30302</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退休费</w:t>
            </w:r>
          </w:p>
        </w:tc>
        <w:tc>
          <w:tcPr>
            <w:tcW w:w="647"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30217</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公务接待费</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2.00</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31019</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其他交通工具购置</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30303</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退职（役）费</w:t>
            </w:r>
          </w:p>
        </w:tc>
        <w:tc>
          <w:tcPr>
            <w:tcW w:w="647"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30218</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专用材料费</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31021</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文物和陈列品购置</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30304</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抚恤金</w:t>
            </w:r>
          </w:p>
        </w:tc>
        <w:tc>
          <w:tcPr>
            <w:tcW w:w="647"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30224</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被装购置费</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31022</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无形资产购置</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30305</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生活补助</w:t>
            </w:r>
          </w:p>
        </w:tc>
        <w:tc>
          <w:tcPr>
            <w:tcW w:w="647"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1.82</w:t>
            </w: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30225</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专用燃料费</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31099</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其他资本性支出</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30306</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救济费</w:t>
            </w:r>
          </w:p>
        </w:tc>
        <w:tc>
          <w:tcPr>
            <w:tcW w:w="647"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30226</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劳务费</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38.63</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399</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hint="eastAsia" w:ascii="宋体" w:hAnsi="宋体" w:cs="宋体"/>
                <w:color w:val="000000"/>
                <w:kern w:val="0"/>
                <w:sz w:val="22"/>
                <w:szCs w:val="22"/>
              </w:rPr>
              <w:t>其他支出</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30307</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医疗费补助</w:t>
            </w:r>
          </w:p>
        </w:tc>
        <w:tc>
          <w:tcPr>
            <w:tcW w:w="647"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30227</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委托业务费</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39906</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赠与</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30308</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助学金</w:t>
            </w:r>
          </w:p>
        </w:tc>
        <w:tc>
          <w:tcPr>
            <w:tcW w:w="647"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30228</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工会经费</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20.22</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39907</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国家赔偿费用支出</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30309</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奖励金</w:t>
            </w:r>
          </w:p>
        </w:tc>
        <w:tc>
          <w:tcPr>
            <w:tcW w:w="647"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0.14</w:t>
            </w: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30229</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福利费</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10.87</w:t>
            </w: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39908</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对民间非营利组织和群众性自治组织补贴</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30310</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个人农业生产补贴</w:t>
            </w:r>
          </w:p>
        </w:tc>
        <w:tc>
          <w:tcPr>
            <w:tcW w:w="647"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30231</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公务用车运行维护费</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3"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39999</w:t>
            </w:r>
          </w:p>
        </w:tc>
        <w:tc>
          <w:tcPr>
            <w:tcW w:w="420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其他支出</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30311</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代缴社会保险费</w:t>
            </w:r>
          </w:p>
        </w:tc>
        <w:tc>
          <w:tcPr>
            <w:tcW w:w="647"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30239</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其他交通费用</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10.90</w:t>
            </w:r>
          </w:p>
        </w:tc>
        <w:tc>
          <w:tcPr>
            <w:tcW w:w="1223" w:type="dxa"/>
            <w:tcBorders>
              <w:top w:val="nil"/>
              <w:left w:val="nil"/>
              <w:bottom w:val="single" w:color="auto" w:sz="4" w:space="0"/>
              <w:right w:val="single" w:color="auto" w:sz="4" w:space="0"/>
            </w:tcBorders>
            <w:noWrap/>
            <w:vAlign w:val="center"/>
          </w:tcPr>
          <w:p>
            <w:pPr>
              <w:jc w:val="left"/>
              <w:rPr>
                <w:rFonts w:ascii="宋体" w:cs="Times New Roman"/>
                <w:color w:val="000000"/>
                <w:kern w:val="0"/>
              </w:rPr>
            </w:pPr>
          </w:p>
        </w:tc>
        <w:tc>
          <w:tcPr>
            <w:tcW w:w="4206" w:type="dxa"/>
            <w:tcBorders>
              <w:top w:val="nil"/>
              <w:left w:val="nil"/>
              <w:bottom w:val="single" w:color="auto" w:sz="4" w:space="0"/>
              <w:right w:val="single" w:color="auto" w:sz="4" w:space="0"/>
            </w:tcBorders>
            <w:noWrap/>
            <w:vAlign w:val="center"/>
          </w:tcPr>
          <w:p>
            <w:pPr>
              <w:jc w:val="left"/>
              <w:rPr>
                <w:rFonts w:ascii="宋体" w:cs="Times New Roman"/>
                <w:color w:val="000000"/>
                <w:kern w:val="0"/>
              </w:rPr>
            </w:pP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30399</w:t>
            </w:r>
          </w:p>
        </w:tc>
        <w:tc>
          <w:tcPr>
            <w:tcW w:w="336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其他对个人和家庭的补助</w:t>
            </w:r>
          </w:p>
        </w:tc>
        <w:tc>
          <w:tcPr>
            <w:tcW w:w="647"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30240</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税金及附加费用</w:t>
            </w: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3" w:type="dxa"/>
            <w:tcBorders>
              <w:top w:val="nil"/>
              <w:left w:val="nil"/>
              <w:bottom w:val="single" w:color="auto" w:sz="4" w:space="0"/>
              <w:right w:val="single" w:color="auto" w:sz="4" w:space="0"/>
            </w:tcBorders>
            <w:noWrap/>
            <w:vAlign w:val="center"/>
          </w:tcPr>
          <w:p>
            <w:pPr>
              <w:jc w:val="left"/>
              <w:rPr>
                <w:rFonts w:ascii="宋体" w:cs="Times New Roman"/>
                <w:color w:val="000000"/>
                <w:kern w:val="0"/>
              </w:rPr>
            </w:pPr>
          </w:p>
        </w:tc>
        <w:tc>
          <w:tcPr>
            <w:tcW w:w="4206" w:type="dxa"/>
            <w:tcBorders>
              <w:top w:val="nil"/>
              <w:left w:val="nil"/>
              <w:bottom w:val="single" w:color="auto" w:sz="4" w:space="0"/>
              <w:right w:val="single" w:color="auto" w:sz="4" w:space="0"/>
            </w:tcBorders>
            <w:noWrap/>
            <w:vAlign w:val="center"/>
          </w:tcPr>
          <w:p>
            <w:pPr>
              <w:jc w:val="left"/>
              <w:rPr>
                <w:rFonts w:ascii="宋体" w:cs="Times New Roman"/>
                <w:color w:val="000000"/>
                <w:kern w:val="0"/>
              </w:rPr>
            </w:pP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jc w:val="left"/>
              <w:rPr>
                <w:rFonts w:ascii="宋体" w:cs="Times New Roman"/>
                <w:color w:val="000000"/>
                <w:kern w:val="0"/>
              </w:rPr>
            </w:pPr>
          </w:p>
        </w:tc>
        <w:tc>
          <w:tcPr>
            <w:tcW w:w="3366" w:type="dxa"/>
            <w:tcBorders>
              <w:top w:val="nil"/>
              <w:left w:val="nil"/>
              <w:bottom w:val="single" w:color="auto" w:sz="4" w:space="0"/>
              <w:right w:val="single" w:color="auto" w:sz="4" w:space="0"/>
            </w:tcBorders>
            <w:noWrap/>
            <w:vAlign w:val="center"/>
          </w:tcPr>
          <w:p>
            <w:pPr>
              <w:jc w:val="left"/>
              <w:rPr>
                <w:rFonts w:ascii="宋体" w:cs="Times New Roman"/>
                <w:color w:val="000000"/>
                <w:kern w:val="0"/>
              </w:rPr>
            </w:pPr>
          </w:p>
        </w:tc>
        <w:tc>
          <w:tcPr>
            <w:tcW w:w="647"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222"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30299</w:t>
            </w:r>
          </w:p>
        </w:tc>
        <w:tc>
          <w:tcPr>
            <w:tcW w:w="23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其他商品和服务支出</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39.03</w:t>
            </w:r>
          </w:p>
        </w:tc>
        <w:tc>
          <w:tcPr>
            <w:tcW w:w="1223" w:type="dxa"/>
            <w:tcBorders>
              <w:top w:val="nil"/>
              <w:left w:val="nil"/>
              <w:bottom w:val="single" w:color="auto" w:sz="4" w:space="0"/>
              <w:right w:val="single" w:color="auto" w:sz="4" w:space="0"/>
            </w:tcBorders>
            <w:noWrap/>
            <w:vAlign w:val="center"/>
          </w:tcPr>
          <w:p>
            <w:pPr>
              <w:jc w:val="left"/>
              <w:rPr>
                <w:rFonts w:ascii="宋体" w:cs="Times New Roman"/>
                <w:color w:val="000000"/>
                <w:kern w:val="0"/>
              </w:rPr>
            </w:pPr>
          </w:p>
        </w:tc>
        <w:tc>
          <w:tcPr>
            <w:tcW w:w="4206" w:type="dxa"/>
            <w:tcBorders>
              <w:top w:val="nil"/>
              <w:left w:val="nil"/>
              <w:bottom w:val="single" w:color="auto" w:sz="4" w:space="0"/>
              <w:right w:val="single" w:color="auto" w:sz="4" w:space="0"/>
            </w:tcBorders>
            <w:noWrap/>
            <w:vAlign w:val="center"/>
          </w:tcPr>
          <w:p>
            <w:pPr>
              <w:jc w:val="left"/>
              <w:rPr>
                <w:rFonts w:ascii="宋体" w:cs="Times New Roman"/>
                <w:color w:val="000000"/>
                <w:kern w:val="0"/>
              </w:rPr>
            </w:pPr>
          </w:p>
        </w:tc>
        <w:tc>
          <w:tcPr>
            <w:tcW w:w="648"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47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Times New Roman"/>
                <w:color w:val="000000"/>
                <w:kern w:val="0"/>
              </w:rPr>
            </w:pPr>
            <w:r>
              <w:rPr>
                <w:rFonts w:hint="eastAsia" w:ascii="宋体" w:hAnsi="宋体" w:cs="宋体"/>
                <w:color w:val="000000"/>
                <w:kern w:val="0"/>
                <w:sz w:val="22"/>
                <w:szCs w:val="22"/>
              </w:rPr>
              <w:t>人员经费合计</w:t>
            </w:r>
          </w:p>
        </w:tc>
        <w:tc>
          <w:tcPr>
            <w:tcW w:w="647"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651.92</w:t>
            </w:r>
          </w:p>
        </w:tc>
        <w:tc>
          <w:tcPr>
            <w:tcW w:w="9615" w:type="dxa"/>
            <w:gridSpan w:val="5"/>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cs="Times New Roman"/>
                <w:color w:val="000000"/>
                <w:kern w:val="0"/>
              </w:rPr>
            </w:pPr>
            <w:r>
              <w:rPr>
                <w:rFonts w:hint="eastAsia" w:ascii="宋体" w:hAnsi="宋体" w:cs="宋体"/>
                <w:color w:val="000000"/>
                <w:kern w:val="0"/>
                <w:sz w:val="22"/>
                <w:szCs w:val="22"/>
              </w:rPr>
              <w:t>公用经费合计</w:t>
            </w:r>
          </w:p>
        </w:tc>
        <w:tc>
          <w:tcPr>
            <w:tcW w:w="648"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261.90</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noWrap/>
            <w:vAlign w:val="center"/>
          </w:tcPr>
          <w:p>
            <w:pPr>
              <w:widowControl/>
              <w:jc w:val="left"/>
              <w:rPr>
                <w:rFonts w:ascii="宋体" w:cs="Times New Roman"/>
                <w:color w:val="000000"/>
                <w:kern w:val="0"/>
              </w:rPr>
            </w:pPr>
            <w:r>
              <w:rPr>
                <w:rFonts w:hint="eastAsia" w:ascii="宋体" w:hAnsi="宋体" w:cs="宋体"/>
                <w:color w:val="000000"/>
                <w:kern w:val="0"/>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方正小标宋_GBK"/>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部门：</w:t>
      </w:r>
      <w:r>
        <w:rPr>
          <w:rFonts w:ascii="Times New Roman" w:hAnsi="Times New Roman" w:eastAsia="仿宋_GB2312" w:cs="Times New Roman"/>
          <w:color w:val="000000"/>
          <w:kern w:val="0"/>
        </w:rPr>
        <w:t xml:space="preserve"> </w:t>
      </w:r>
      <w:r>
        <w:rPr>
          <w:rFonts w:hint="eastAsia" w:ascii="宋体" w:hAnsi="宋体" w:cs="宋体"/>
          <w:color w:val="000000"/>
          <w:kern w:val="0"/>
          <w:sz w:val="20"/>
          <w:szCs w:val="20"/>
        </w:rPr>
        <w:t>道县市场服务中心</w:t>
      </w: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公开</w:t>
      </w:r>
      <w:r>
        <w:rPr>
          <w:rFonts w:ascii="Times New Roman" w:hAnsi="Times New Roman" w:eastAsia="仿宋_GB2312" w:cs="Times New Roman"/>
          <w:color w:val="000000"/>
          <w:kern w:val="0"/>
        </w:rPr>
        <w:t>07</w:t>
      </w:r>
      <w:r>
        <w:rPr>
          <w:rFonts w:hint="eastAsia" w:ascii="Times New Roman" w:hAnsi="Times New Roman" w:eastAsia="仿宋_GB2312" w:cs="仿宋_GB2312"/>
          <w:color w:val="000000"/>
          <w:kern w:val="0"/>
        </w:rPr>
        <w:t>表</w:t>
      </w:r>
    </w:p>
    <w:p>
      <w:pPr>
        <w:widowControl/>
        <w:ind w:right="420"/>
        <w:jc w:val="righ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w:t>
            </w:r>
          </w:p>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w:t>
            </w:r>
          </w:p>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w:t>
            </w:r>
            <w:r>
              <w:rPr>
                <w:rFonts w:ascii="Times New Roman" w:hAnsi="Times New Roman" w:eastAsia="仿宋_GB2312" w:cs="Times New Roman"/>
                <w:kern w:val="0"/>
              </w:rPr>
              <w:br w:type="textWrapping"/>
            </w:r>
            <w:r>
              <w:rPr>
                <w:rFonts w:hint="eastAsia" w:ascii="Times New Roman" w:hAnsi="Times New Roman" w:eastAsia="仿宋_GB2312" w:cs="仿宋_GB2312"/>
                <w:kern w:val="0"/>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w:t>
            </w:r>
            <w:r>
              <w:rPr>
                <w:rFonts w:ascii="Times New Roman" w:hAnsi="Times New Roman" w:eastAsia="仿宋_GB2312" w:cs="Times New Roman"/>
                <w:kern w:val="0"/>
              </w:rPr>
              <w:br w:type="textWrapping"/>
            </w:r>
            <w:r>
              <w:rPr>
                <w:rFonts w:hint="eastAsia" w:ascii="Times New Roman" w:hAnsi="Times New Roman" w:eastAsia="仿宋_GB2312" w:cs="仿宋_GB2312"/>
                <w:kern w:val="0"/>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w:t>
            </w:r>
            <w:r>
              <w:rPr>
                <w:rFonts w:ascii="Times New Roman" w:hAnsi="Times New Roman" w:eastAsia="仿宋_GB2312" w:cs="Times New Roman"/>
                <w:kern w:val="0"/>
              </w:rPr>
              <w:br w:type="textWrapping"/>
            </w:r>
            <w:r>
              <w:rPr>
                <w:rFonts w:hint="eastAsia" w:ascii="Times New Roman" w:hAnsi="Times New Roman" w:eastAsia="仿宋_GB2312" w:cs="仿宋_GB2312"/>
                <w:kern w:val="0"/>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w:t>
            </w:r>
            <w:r>
              <w:rPr>
                <w:rFonts w:ascii="Times New Roman" w:hAnsi="Times New Roman" w:eastAsia="仿宋_GB2312" w:cs="Times New Roman"/>
                <w:kern w:val="0"/>
              </w:rPr>
              <w:br w:type="textWrapping"/>
            </w:r>
            <w:r>
              <w:rPr>
                <w:rFonts w:hint="eastAsia" w:ascii="Times New Roman" w:hAnsi="Times New Roman" w:eastAsia="仿宋_GB2312" w:cs="仿宋_GB2312"/>
                <w:kern w:val="0"/>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3</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4</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5</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6</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8</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9</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10</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11</w:t>
            </w:r>
          </w:p>
        </w:tc>
        <w:tc>
          <w:tcPr>
            <w:tcW w:w="122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5.00</w:t>
            </w:r>
          </w:p>
        </w:tc>
        <w:tc>
          <w:tcPr>
            <w:tcW w:w="1220" w:type="dxa"/>
            <w:tcBorders>
              <w:top w:val="nil"/>
              <w:left w:val="nil"/>
              <w:bottom w:val="single" w:color="auto" w:sz="8" w:space="0"/>
              <w:right w:val="single" w:color="auto" w:sz="4" w:space="0"/>
            </w:tcBorders>
            <w:vAlign w:val="center"/>
          </w:tcPr>
          <w:p>
            <w:pPr>
              <w:jc w:val="right"/>
              <w:rPr>
                <w:rFonts w:ascii="Times New Roman" w:hAnsi="Times New Roman" w:eastAsia="仿宋_GB2312" w:cs="Times New Roman"/>
                <w:kern w:val="0"/>
              </w:rPr>
            </w:pPr>
          </w:p>
        </w:tc>
        <w:tc>
          <w:tcPr>
            <w:tcW w:w="1220" w:type="dxa"/>
            <w:tcBorders>
              <w:top w:val="nil"/>
              <w:left w:val="nil"/>
              <w:bottom w:val="single" w:color="auto" w:sz="8" w:space="0"/>
              <w:right w:val="single" w:color="auto" w:sz="4" w:space="0"/>
            </w:tcBorders>
            <w:vAlign w:val="center"/>
          </w:tcPr>
          <w:p>
            <w:pPr>
              <w:jc w:val="right"/>
              <w:rPr>
                <w:rFonts w:ascii="Times New Roman" w:hAnsi="Times New Roman" w:eastAsia="仿宋_GB2312" w:cs="Times New Roman"/>
                <w:kern w:val="0"/>
              </w:rPr>
            </w:pPr>
          </w:p>
        </w:tc>
        <w:tc>
          <w:tcPr>
            <w:tcW w:w="1220" w:type="dxa"/>
            <w:tcBorders>
              <w:top w:val="nil"/>
              <w:left w:val="nil"/>
              <w:bottom w:val="single" w:color="auto" w:sz="8" w:space="0"/>
              <w:right w:val="single" w:color="auto" w:sz="4" w:space="0"/>
            </w:tcBorders>
            <w:vAlign w:val="center"/>
          </w:tcPr>
          <w:p>
            <w:pPr>
              <w:jc w:val="right"/>
              <w:rPr>
                <w:rFonts w:ascii="Times New Roman" w:hAnsi="Times New Roman" w:eastAsia="仿宋_GB2312" w:cs="Times New Roman"/>
                <w:kern w:val="0"/>
              </w:rPr>
            </w:pPr>
          </w:p>
        </w:tc>
        <w:tc>
          <w:tcPr>
            <w:tcW w:w="1220" w:type="dxa"/>
            <w:tcBorders>
              <w:top w:val="nil"/>
              <w:left w:val="nil"/>
              <w:bottom w:val="single" w:color="auto" w:sz="8" w:space="0"/>
              <w:right w:val="single" w:color="auto" w:sz="4" w:space="0"/>
            </w:tcBorders>
            <w:vAlign w:val="center"/>
          </w:tcPr>
          <w:p>
            <w:pPr>
              <w:jc w:val="right"/>
              <w:rPr>
                <w:rFonts w:ascii="Times New Roman" w:hAnsi="Times New Roman" w:eastAsia="仿宋_GB2312" w:cs="Times New Roman"/>
                <w:kern w:val="0"/>
              </w:rPr>
            </w:pPr>
          </w:p>
        </w:tc>
        <w:tc>
          <w:tcPr>
            <w:tcW w:w="1220" w:type="dxa"/>
            <w:tcBorders>
              <w:top w:val="nil"/>
              <w:left w:val="nil"/>
              <w:bottom w:val="single" w:color="auto" w:sz="8"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5.00</w:t>
            </w:r>
          </w:p>
        </w:tc>
        <w:tc>
          <w:tcPr>
            <w:tcW w:w="1220" w:type="dxa"/>
            <w:tcBorders>
              <w:top w:val="nil"/>
              <w:left w:val="nil"/>
              <w:bottom w:val="single" w:color="auto" w:sz="8"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2.00</w:t>
            </w:r>
          </w:p>
        </w:tc>
        <w:tc>
          <w:tcPr>
            <w:tcW w:w="1220" w:type="dxa"/>
            <w:tcBorders>
              <w:top w:val="nil"/>
              <w:left w:val="nil"/>
              <w:bottom w:val="single" w:color="auto" w:sz="8" w:space="0"/>
              <w:right w:val="single" w:color="auto" w:sz="4" w:space="0"/>
            </w:tcBorders>
            <w:vAlign w:val="center"/>
          </w:tcPr>
          <w:p>
            <w:pPr>
              <w:jc w:val="right"/>
              <w:rPr>
                <w:rFonts w:ascii="Times New Roman" w:hAnsi="Times New Roman" w:eastAsia="仿宋_GB2312" w:cs="Times New Roman"/>
                <w:kern w:val="0"/>
              </w:rPr>
            </w:pPr>
          </w:p>
        </w:tc>
        <w:tc>
          <w:tcPr>
            <w:tcW w:w="1220" w:type="dxa"/>
            <w:tcBorders>
              <w:top w:val="nil"/>
              <w:left w:val="nil"/>
              <w:bottom w:val="single" w:color="auto" w:sz="8" w:space="0"/>
              <w:right w:val="single" w:color="auto" w:sz="4" w:space="0"/>
            </w:tcBorders>
            <w:vAlign w:val="center"/>
          </w:tcPr>
          <w:p>
            <w:pPr>
              <w:jc w:val="right"/>
              <w:rPr>
                <w:rFonts w:ascii="Times New Roman" w:hAnsi="Times New Roman" w:eastAsia="仿宋_GB2312" w:cs="Times New Roman"/>
                <w:kern w:val="0"/>
              </w:rPr>
            </w:pPr>
          </w:p>
        </w:tc>
        <w:tc>
          <w:tcPr>
            <w:tcW w:w="1220" w:type="dxa"/>
            <w:tcBorders>
              <w:top w:val="nil"/>
              <w:left w:val="nil"/>
              <w:bottom w:val="single" w:color="auto" w:sz="8" w:space="0"/>
              <w:right w:val="single" w:color="auto" w:sz="4" w:space="0"/>
            </w:tcBorders>
            <w:vAlign w:val="center"/>
          </w:tcPr>
          <w:p>
            <w:pPr>
              <w:jc w:val="right"/>
              <w:rPr>
                <w:rFonts w:ascii="Times New Roman" w:hAnsi="Times New Roman" w:eastAsia="仿宋_GB2312" w:cs="Times New Roman"/>
                <w:kern w:val="0"/>
              </w:rPr>
            </w:pPr>
          </w:p>
        </w:tc>
        <w:tc>
          <w:tcPr>
            <w:tcW w:w="1220" w:type="dxa"/>
            <w:tcBorders>
              <w:top w:val="nil"/>
              <w:left w:val="nil"/>
              <w:bottom w:val="single" w:color="auto" w:sz="8" w:space="0"/>
              <w:right w:val="nil"/>
            </w:tcBorders>
            <w:vAlign w:val="center"/>
          </w:tcPr>
          <w:p>
            <w:pPr>
              <w:jc w:val="right"/>
              <w:rPr>
                <w:rFonts w:ascii="Times New Roman" w:hAnsi="Times New Roman" w:eastAsia="仿宋_GB2312" w:cs="Times New Roman"/>
                <w:kern w:val="0"/>
              </w:rPr>
            </w:pPr>
          </w:p>
        </w:tc>
        <w:tc>
          <w:tcPr>
            <w:tcW w:w="1220" w:type="dxa"/>
            <w:tcBorders>
              <w:top w:val="nil"/>
              <w:left w:val="single" w:color="auto" w:sz="4" w:space="0"/>
              <w:bottom w:val="single" w:color="auto" w:sz="8" w:space="0"/>
              <w:right w:val="single" w:color="auto" w:sz="8"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2.00</w:t>
            </w:r>
          </w:p>
        </w:tc>
      </w:tr>
    </w:tbl>
    <w:p>
      <w:pPr>
        <w:widowControl/>
        <w:jc w:val="left"/>
        <w:rPr>
          <w:rFonts w:ascii="宋体" w:cs="Times New Roman"/>
          <w:kern w:val="0"/>
          <w:sz w:val="24"/>
          <w:szCs w:val="24"/>
        </w:rPr>
      </w:pPr>
      <w:r>
        <w:rPr>
          <w:rFonts w:hint="eastAsia" w:ascii="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cs="Times New Roman"/>
          <w:kern w:val="0"/>
          <w:sz w:val="24"/>
          <w:szCs w:val="24"/>
        </w:rPr>
        <w:br w:type="page"/>
      </w:r>
    </w:p>
    <w:p>
      <w:pPr>
        <w:autoSpaceDE w:val="0"/>
        <w:autoSpaceDN w:val="0"/>
        <w:adjustRightInd w:val="0"/>
        <w:ind w:left="315" w:leftChars="150"/>
        <w:jc w:val="left"/>
        <w:rPr>
          <w:rFonts w:ascii="宋体" w:cs="Times New Roman"/>
          <w:kern w:val="0"/>
          <w:sz w:val="24"/>
          <w:szCs w:val="24"/>
        </w:rPr>
      </w:pPr>
    </w:p>
    <w:p>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方正小标宋_GBK"/>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部门：</w:t>
      </w:r>
      <w:r>
        <w:rPr>
          <w:rFonts w:ascii="Times New Roman" w:hAnsi="Times New Roman" w:eastAsia="仿宋_GB2312" w:cs="Times New Roman"/>
          <w:color w:val="000000"/>
          <w:kern w:val="0"/>
        </w:rPr>
        <w:t xml:space="preserve"> </w:t>
      </w:r>
      <w:r>
        <w:rPr>
          <w:rFonts w:hint="eastAsia" w:ascii="宋体" w:hAnsi="宋体" w:cs="宋体"/>
          <w:color w:val="000000"/>
          <w:kern w:val="0"/>
          <w:sz w:val="20"/>
          <w:szCs w:val="20"/>
        </w:rPr>
        <w:t>道县市场服务中心</w:t>
      </w: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公开</w:t>
      </w:r>
      <w:r>
        <w:rPr>
          <w:rFonts w:ascii="Times New Roman" w:hAnsi="Times New Roman" w:eastAsia="仿宋_GB2312" w:cs="Times New Roman"/>
          <w:color w:val="000000"/>
          <w:kern w:val="0"/>
        </w:rPr>
        <w:t>08</w:t>
      </w:r>
      <w:r>
        <w:rPr>
          <w:rFonts w:hint="eastAsia" w:ascii="Times New Roman" w:hAnsi="Times New Roman" w:eastAsia="仿宋_GB2312" w:cs="仿宋_GB2312"/>
          <w:color w:val="000000"/>
          <w:kern w:val="0"/>
        </w:rPr>
        <w:t>表</w:t>
      </w:r>
    </w:p>
    <w:p>
      <w:pPr>
        <w:widowControl/>
        <w:jc w:val="righ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项</w:t>
            </w:r>
            <w:r>
              <w:rPr>
                <w:rFonts w:ascii="Times New Roman" w:hAnsi="Times New Roman" w:eastAsia="仿宋_GB2312" w:cs="Times New Roman"/>
                <w:b/>
                <w:bCs/>
                <w:kern w:val="0"/>
              </w:rPr>
              <w:t xml:space="preserve"> </w:t>
            </w:r>
            <w:r>
              <w:rPr>
                <w:rFonts w:hint="eastAsia" w:ascii="Times New Roman" w:hAnsi="Times New Roman" w:eastAsia="仿宋_GB2312" w:cs="仿宋_GB2312"/>
                <w:b/>
                <w:bCs/>
                <w:kern w:val="0"/>
              </w:rPr>
              <w:t>目</w:t>
            </w:r>
          </w:p>
        </w:tc>
        <w:tc>
          <w:tcPr>
            <w:tcW w:w="200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年初结转和结余</w:t>
            </w:r>
          </w:p>
        </w:tc>
        <w:tc>
          <w:tcPr>
            <w:tcW w:w="200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本年收入</w:t>
            </w:r>
          </w:p>
        </w:tc>
        <w:tc>
          <w:tcPr>
            <w:tcW w:w="6000" w:type="dxa"/>
            <w:gridSpan w:val="3"/>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本年支出</w:t>
            </w:r>
          </w:p>
        </w:tc>
        <w:tc>
          <w:tcPr>
            <w:tcW w:w="200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功能分类科目编码</w:t>
            </w:r>
          </w:p>
        </w:tc>
        <w:tc>
          <w:tcPr>
            <w:tcW w:w="132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科目名称</w:t>
            </w:r>
          </w:p>
        </w:tc>
        <w:tc>
          <w:tcPr>
            <w:tcW w:w="2000" w:type="dxa"/>
            <w:vMerge w:val="continue"/>
            <w:vAlign w:val="center"/>
          </w:tcPr>
          <w:p>
            <w:pPr>
              <w:widowControl/>
              <w:jc w:val="left"/>
              <w:rPr>
                <w:rFonts w:ascii="Times New Roman" w:hAnsi="Times New Roman" w:eastAsia="仿宋_GB2312" w:cs="Times New Roman"/>
                <w:b/>
                <w:bCs/>
                <w:kern w:val="0"/>
              </w:rPr>
            </w:pPr>
          </w:p>
        </w:tc>
        <w:tc>
          <w:tcPr>
            <w:tcW w:w="2000" w:type="dxa"/>
            <w:vMerge w:val="continue"/>
            <w:vAlign w:val="center"/>
          </w:tcPr>
          <w:p>
            <w:pPr>
              <w:widowControl/>
              <w:jc w:val="left"/>
              <w:rPr>
                <w:rFonts w:ascii="Times New Roman" w:hAnsi="Times New Roman" w:eastAsia="仿宋_GB2312" w:cs="Times New Roman"/>
                <w:b/>
                <w:bCs/>
                <w:kern w:val="0"/>
              </w:rPr>
            </w:pPr>
          </w:p>
        </w:tc>
        <w:tc>
          <w:tcPr>
            <w:tcW w:w="200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小计</w:t>
            </w:r>
          </w:p>
        </w:tc>
        <w:tc>
          <w:tcPr>
            <w:tcW w:w="200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基本支出</w:t>
            </w:r>
            <w:r>
              <w:rPr>
                <w:rFonts w:ascii="Times New Roman" w:hAnsi="Times New Roman" w:eastAsia="仿宋_GB2312" w:cs="Times New Roman"/>
                <w:b/>
                <w:bCs/>
                <w:kern w:val="0"/>
              </w:rPr>
              <w:t xml:space="preserve">  </w:t>
            </w:r>
          </w:p>
        </w:tc>
        <w:tc>
          <w:tcPr>
            <w:tcW w:w="200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项目支出</w:t>
            </w:r>
          </w:p>
        </w:tc>
        <w:tc>
          <w:tcPr>
            <w:tcW w:w="2000" w:type="dxa"/>
            <w:vMerge w:val="continue"/>
            <w:vAlign w:val="center"/>
          </w:tcPr>
          <w:p>
            <w:pPr>
              <w:widowControl/>
              <w:jc w:val="left"/>
              <w:rPr>
                <w:rFonts w:ascii="Times New Roman" w:hAnsi="Times New Roman" w:eastAsia="仿宋_GB2312" w:cs="Times New Roman"/>
                <w:b/>
                <w:bCs/>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rPr>
            </w:pPr>
          </w:p>
        </w:tc>
        <w:tc>
          <w:tcPr>
            <w:tcW w:w="132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rPr>
            </w:pPr>
          </w:p>
        </w:tc>
        <w:tc>
          <w:tcPr>
            <w:tcW w:w="132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栏次</w:t>
            </w:r>
          </w:p>
        </w:tc>
        <w:tc>
          <w:tcPr>
            <w:tcW w:w="2000" w:type="dxa"/>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w:t>
            </w:r>
          </w:p>
        </w:tc>
        <w:tc>
          <w:tcPr>
            <w:tcW w:w="2000" w:type="dxa"/>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w:t>
            </w:r>
          </w:p>
        </w:tc>
        <w:tc>
          <w:tcPr>
            <w:tcW w:w="2000" w:type="dxa"/>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3</w:t>
            </w:r>
          </w:p>
        </w:tc>
        <w:tc>
          <w:tcPr>
            <w:tcW w:w="2000" w:type="dxa"/>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4</w:t>
            </w:r>
          </w:p>
        </w:tc>
        <w:tc>
          <w:tcPr>
            <w:tcW w:w="2000" w:type="dxa"/>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5</w:t>
            </w:r>
          </w:p>
        </w:tc>
        <w:tc>
          <w:tcPr>
            <w:tcW w:w="2000" w:type="dxa"/>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合计</w:t>
            </w:r>
          </w:p>
        </w:tc>
        <w:tc>
          <w:tcPr>
            <w:tcW w:w="200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2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2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2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2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2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2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bl>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注：本表反映部门本年度政府性基金预算财政拨款收入、支出及结转和结余情况</w:t>
      </w:r>
    </w:p>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道县市场服务中心没有政府性基金收入，也没有使用政府性基金安排的支出，故本表无数据。</w:t>
      </w:r>
    </w:p>
    <w:p>
      <w:pPr>
        <w:pStyle w:val="2"/>
        <w:rPr>
          <w:rFonts w:ascii="Times New Roman" w:hAnsi="Times New Roman" w:eastAsia="仿宋_GB2312" w:cs="Times New Roman"/>
          <w:kern w:val="0"/>
        </w:rPr>
      </w:pPr>
    </w:p>
    <w:p>
      <w:pPr>
        <w:pStyle w:val="2"/>
        <w:rPr>
          <w:rFonts w:ascii="Times New Roman" w:hAnsi="Times New Roman" w:eastAsia="仿宋_GB2312" w:cs="Times New Roman"/>
          <w:kern w:val="0"/>
        </w:rPr>
      </w:pPr>
    </w:p>
    <w:p>
      <w:pPr>
        <w:pStyle w:val="2"/>
        <w:rPr>
          <w:rFonts w:ascii="Times New Roman" w:hAnsi="Times New Roman" w:eastAsia="仿宋_GB2312" w:cs="Times New Roman"/>
          <w:kern w:val="0"/>
        </w:rPr>
      </w:pPr>
    </w:p>
    <w:p>
      <w:pPr>
        <w:widowControl/>
        <w:jc w:val="left"/>
        <w:rPr>
          <w:rFonts w:ascii="黑体" w:hAnsi="黑体" w:eastAsia="黑体" w:cs="Times New Roman"/>
        </w:rPr>
      </w:pPr>
    </w:p>
    <w:tbl>
      <w:tblPr>
        <w:tblStyle w:val="7"/>
        <w:tblW w:w="14190" w:type="dxa"/>
        <w:tblInd w:w="-106"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Times New Roman"/>
                <w:kern w:val="0"/>
                <w:sz w:val="32"/>
                <w:szCs w:val="32"/>
              </w:rPr>
            </w:pPr>
            <w:r>
              <w:rPr>
                <w:rFonts w:hint="eastAsia" w:ascii="华文中宋" w:hAnsi="华文中宋" w:eastAsia="华文中宋" w:cs="华文中宋"/>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cs="Times New Roman"/>
                <w:kern w:val="0"/>
                <w:sz w:val="20"/>
                <w:szCs w:val="20"/>
              </w:rPr>
            </w:pPr>
            <w:r>
              <w:rPr>
                <w:rFonts w:hint="eastAsia" w:ascii="宋体" w:hAnsi="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cs="Times New Roman"/>
                <w:kern w:val="0"/>
                <w:sz w:val="20"/>
                <w:szCs w:val="20"/>
              </w:rPr>
            </w:pPr>
            <w:r>
              <w:rPr>
                <w:rFonts w:hint="eastAsia" w:ascii="宋体" w:hAnsi="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cs="Times New Roman"/>
                <w:kern w:val="0"/>
                <w:sz w:val="20"/>
                <w:szCs w:val="20"/>
              </w:rPr>
            </w:pPr>
            <w:r>
              <w:rPr>
                <w:rFonts w:hint="eastAsia" w:ascii="宋体" w:hAnsi="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09</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部门：道县市场服务中心</w:t>
            </w:r>
          </w:p>
        </w:tc>
        <w:tc>
          <w:tcPr>
            <w:tcW w:w="560" w:type="dxa"/>
            <w:tcBorders>
              <w:top w:val="nil"/>
              <w:left w:val="nil"/>
              <w:bottom w:val="nil"/>
              <w:right w:val="nil"/>
            </w:tcBorders>
            <w:shd w:val="clear" w:color="000000" w:fill="FFFFFF"/>
            <w:vAlign w:val="center"/>
          </w:tcPr>
          <w:p>
            <w:pPr>
              <w:widowControl/>
              <w:jc w:val="center"/>
              <w:rPr>
                <w:rFonts w:ascii="宋体" w:cs="Times New Roman"/>
                <w:kern w:val="0"/>
                <w:sz w:val="20"/>
                <w:szCs w:val="20"/>
              </w:rPr>
            </w:pPr>
            <w:r>
              <w:rPr>
                <w:rFonts w:hint="eastAsia" w:ascii="宋体" w:hAnsi="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cs="Times New Roman"/>
                <w:kern w:val="0"/>
                <w:sz w:val="20"/>
                <w:szCs w:val="20"/>
              </w:rPr>
            </w:pPr>
            <w:r>
              <w:rPr>
                <w:rFonts w:hint="eastAsia" w:ascii="宋体" w:hAnsi="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基本支出</w:t>
            </w:r>
            <w:r>
              <w:rPr>
                <w:rFonts w:ascii="宋体" w:hAnsi="宋体" w:cs="宋体"/>
                <w:kern w:val="0"/>
                <w:sz w:val="24"/>
                <w:szCs w:val="24"/>
              </w:rPr>
              <w:t xml:space="preserve">  </w:t>
            </w:r>
          </w:p>
        </w:tc>
        <w:tc>
          <w:tcPr>
            <w:tcW w:w="382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栏次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ascii="宋体" w:hAnsi="宋体" w:cs="宋体"/>
                <w:kern w:val="0"/>
                <w:sz w:val="24"/>
                <w:szCs w:val="24"/>
              </w:rPr>
              <w:t>1</w:t>
            </w:r>
          </w:p>
        </w:tc>
        <w:tc>
          <w:tcPr>
            <w:tcW w:w="2977"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ascii="宋体" w:hAnsi="宋体" w:cs="宋体"/>
                <w:kern w:val="0"/>
                <w:sz w:val="24"/>
                <w:szCs w:val="24"/>
              </w:rPr>
              <w:t>2</w:t>
            </w:r>
          </w:p>
        </w:tc>
        <w:tc>
          <w:tcPr>
            <w:tcW w:w="3827"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ascii="宋体" w:hAnsi="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合计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8"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8"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8"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8"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vAlign w:val="center"/>
          </w:tcPr>
          <w:p>
            <w:pPr>
              <w:widowControl/>
              <w:jc w:val="left"/>
              <w:rPr>
                <w:rFonts w:ascii="宋体" w:cs="Times New Roman"/>
                <w:kern w:val="0"/>
                <w:sz w:val="24"/>
                <w:szCs w:val="24"/>
              </w:rPr>
            </w:pPr>
            <w:r>
              <w:rPr>
                <w:rFonts w:hint="eastAsia" w:ascii="宋体" w:hAnsi="宋体" w:cs="宋体"/>
                <w:kern w:val="0"/>
                <w:sz w:val="24"/>
                <w:szCs w:val="24"/>
              </w:rPr>
              <w:t>注：本表反映部门本年度国有资本经营预算财政拨款支出情况。</w:t>
            </w:r>
          </w:p>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道县市场服务中心没有国有资本经营收入，也没有使用国有资本经营安排的支出，故本表无数据。</w:t>
            </w:r>
          </w:p>
          <w:p>
            <w:pPr>
              <w:pStyle w:val="2"/>
              <w:rPr>
                <w:rFonts w:cs="Times New Roman"/>
              </w:rPr>
            </w:pPr>
          </w:p>
        </w:tc>
      </w:tr>
    </w:tbl>
    <w:p>
      <w:pPr>
        <w:pStyle w:val="13"/>
        <w:rPr>
          <w:rFonts w:cs="Times New Roman"/>
          <w:sz w:val="72"/>
          <w:szCs w:val="72"/>
        </w:rPr>
        <w:sectPr>
          <w:pgSz w:w="16838" w:h="11906" w:orient="landscape"/>
          <w:pgMar w:top="720" w:right="720" w:bottom="720" w:left="720" w:header="851" w:footer="992" w:gutter="0"/>
          <w:cols w:space="425" w:num="1"/>
          <w:docGrid w:type="lines" w:linePitch="312" w:charSpace="0"/>
        </w:sectPr>
      </w:pPr>
    </w:p>
    <w:p>
      <w:pPr>
        <w:pStyle w:val="13"/>
        <w:rPr>
          <w:rFonts w:cs="Times New Roman"/>
          <w:sz w:val="72"/>
          <w:szCs w:val="72"/>
        </w:rPr>
      </w:pPr>
    </w:p>
    <w:p>
      <w:pPr>
        <w:pStyle w:val="13"/>
        <w:rPr>
          <w:rFonts w:cs="Times New Roman"/>
          <w:sz w:val="72"/>
          <w:szCs w:val="72"/>
        </w:rPr>
      </w:pPr>
    </w:p>
    <w:p>
      <w:pPr>
        <w:pStyle w:val="13"/>
        <w:rPr>
          <w:rFonts w:cs="Times New Roman"/>
          <w:sz w:val="72"/>
          <w:szCs w:val="72"/>
        </w:rPr>
      </w:pPr>
    </w:p>
    <w:p>
      <w:pPr>
        <w:pStyle w:val="13"/>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r>
        <w:rPr>
          <w:rFonts w:hint="eastAsia"/>
          <w:sz w:val="72"/>
          <w:szCs w:val="72"/>
        </w:rPr>
        <w:t>第三部分</w:t>
      </w:r>
    </w:p>
    <w:p>
      <w:pPr>
        <w:pStyle w:val="13"/>
        <w:jc w:val="center"/>
        <w:rPr>
          <w:rFonts w:cs="Times New Roman"/>
          <w:sz w:val="70"/>
          <w:szCs w:val="70"/>
        </w:rPr>
      </w:pPr>
    </w:p>
    <w:p>
      <w:pPr>
        <w:pStyle w:val="13"/>
        <w:jc w:val="center"/>
        <w:rPr>
          <w:rFonts w:cs="Times New Roman"/>
          <w:sz w:val="70"/>
          <w:szCs w:val="70"/>
        </w:rPr>
      </w:pPr>
      <w:r>
        <w:rPr>
          <w:sz w:val="70"/>
          <w:szCs w:val="70"/>
        </w:rPr>
        <w:t>2021</w:t>
      </w:r>
      <w:r>
        <w:rPr>
          <w:rFonts w:hint="eastAsia"/>
          <w:sz w:val="70"/>
          <w:szCs w:val="70"/>
        </w:rPr>
        <w:t>年度部门决算情况说明</w:t>
      </w:r>
    </w:p>
    <w:p>
      <w:pPr>
        <w:widowControl/>
        <w:jc w:val="left"/>
        <w:rPr>
          <w:rFonts w:ascii="宋体" w:cs="Times New Roman"/>
          <w:sz w:val="32"/>
          <w:szCs w:val="32"/>
        </w:rPr>
      </w:pPr>
      <w:r>
        <w:rPr>
          <w:rFonts w:cs="Times New Roman"/>
          <w:sz w:val="70"/>
          <w:szCs w:val="70"/>
        </w:rPr>
        <w:br w:type="page"/>
      </w:r>
    </w:p>
    <w:p>
      <w:pPr>
        <w:pStyle w:val="13"/>
        <w:rPr>
          <w:rFonts w:hAnsi="黑体" w:cs="Times New Roman"/>
          <w:b/>
          <w:bCs/>
          <w:sz w:val="32"/>
          <w:szCs w:val="32"/>
        </w:rPr>
      </w:pPr>
      <w:r>
        <w:rPr>
          <w:rFonts w:hint="eastAsia" w:hAnsi="黑体"/>
          <w:b/>
          <w:bCs/>
          <w:sz w:val="32"/>
          <w:szCs w:val="32"/>
        </w:rPr>
        <w:t>一、收入支出决算总体情况说明</w:t>
      </w:r>
    </w:p>
    <w:p>
      <w:pPr>
        <w:pStyle w:val="13"/>
        <w:ind w:firstLine="640" w:firstLineChars="200"/>
        <w:rPr>
          <w:rFonts w:ascii="宋体" w:hAnsi="宋体" w:eastAsia="宋体" w:cs="Times New Roman"/>
          <w:sz w:val="32"/>
          <w:szCs w:val="32"/>
        </w:rPr>
      </w:pPr>
      <w:r>
        <w:rPr>
          <w:rFonts w:ascii="宋体" w:hAnsi="宋体" w:eastAsia="宋体" w:cs="宋体"/>
          <w:sz w:val="32"/>
          <w:szCs w:val="32"/>
        </w:rPr>
        <w:t>2021</w:t>
      </w:r>
      <w:r>
        <w:rPr>
          <w:rFonts w:hint="eastAsia" w:ascii="宋体" w:hAnsi="宋体" w:eastAsia="宋体" w:cs="宋体"/>
          <w:sz w:val="32"/>
          <w:szCs w:val="32"/>
        </w:rPr>
        <w:t>年度收、支总计</w:t>
      </w:r>
      <w:r>
        <w:rPr>
          <w:rFonts w:ascii="宋体" w:hAnsi="宋体" w:eastAsia="宋体" w:cs="宋体"/>
          <w:sz w:val="32"/>
          <w:szCs w:val="32"/>
        </w:rPr>
        <w:t>1265.82</w:t>
      </w:r>
      <w:r>
        <w:rPr>
          <w:rFonts w:hint="eastAsia" w:ascii="宋体" w:hAnsi="宋体" w:eastAsia="宋体" w:cs="宋体"/>
          <w:sz w:val="32"/>
          <w:szCs w:val="32"/>
        </w:rPr>
        <w:t>万元。与上年相比，减少</w:t>
      </w:r>
      <w:r>
        <w:rPr>
          <w:rFonts w:ascii="宋体" w:hAnsi="宋体" w:eastAsia="宋体" w:cs="宋体"/>
          <w:sz w:val="32"/>
          <w:szCs w:val="32"/>
        </w:rPr>
        <w:t>291.28</w:t>
      </w:r>
      <w:r>
        <w:rPr>
          <w:rFonts w:hint="eastAsia" w:ascii="宋体" w:hAnsi="宋体" w:eastAsia="宋体" w:cs="宋体"/>
          <w:sz w:val="32"/>
          <w:szCs w:val="32"/>
        </w:rPr>
        <w:t>万元，减少</w:t>
      </w:r>
      <w:r>
        <w:rPr>
          <w:rFonts w:ascii="宋体" w:hAnsi="宋体" w:eastAsia="宋体" w:cs="宋体"/>
          <w:sz w:val="32"/>
          <w:szCs w:val="32"/>
        </w:rPr>
        <w:t>19%</w:t>
      </w:r>
      <w:r>
        <w:rPr>
          <w:rFonts w:hint="eastAsia" w:ascii="宋体" w:hAnsi="宋体" w:eastAsia="宋体" w:cs="宋体"/>
          <w:sz w:val="32"/>
          <w:szCs w:val="32"/>
        </w:rPr>
        <w:t>，主要是因为创国卫新建市场工程项目款减少。</w:t>
      </w:r>
    </w:p>
    <w:p>
      <w:pPr>
        <w:pStyle w:val="13"/>
        <w:rPr>
          <w:rFonts w:hAnsi="黑体" w:cs="Times New Roman"/>
          <w:b/>
          <w:bCs/>
          <w:sz w:val="32"/>
          <w:szCs w:val="32"/>
        </w:rPr>
      </w:pPr>
      <w:r>
        <w:rPr>
          <w:rFonts w:hint="eastAsia" w:hAnsi="黑体"/>
          <w:b/>
          <w:bCs/>
          <w:sz w:val="32"/>
          <w:szCs w:val="32"/>
        </w:rPr>
        <w:t>二、收入决算情况说明</w:t>
      </w:r>
    </w:p>
    <w:p>
      <w:pPr>
        <w:pStyle w:val="13"/>
        <w:ind w:firstLine="640" w:firstLineChars="200"/>
        <w:rPr>
          <w:rFonts w:ascii="宋体" w:hAnsi="宋体" w:eastAsia="宋体" w:cs="Times New Roman"/>
          <w:sz w:val="32"/>
          <w:szCs w:val="32"/>
        </w:rPr>
      </w:pPr>
      <w:r>
        <w:rPr>
          <w:rFonts w:ascii="宋体" w:hAnsi="宋体" w:eastAsia="宋体" w:cs="宋体"/>
          <w:sz w:val="32"/>
          <w:szCs w:val="32"/>
        </w:rPr>
        <w:t>2021</w:t>
      </w:r>
      <w:r>
        <w:rPr>
          <w:rFonts w:hint="eastAsia" w:ascii="宋体" w:hAnsi="宋体" w:eastAsia="宋体" w:cs="宋体"/>
          <w:sz w:val="32"/>
          <w:szCs w:val="32"/>
        </w:rPr>
        <w:t>年度收入合计</w:t>
      </w:r>
      <w:r>
        <w:rPr>
          <w:rFonts w:ascii="宋体" w:hAnsi="宋体" w:eastAsia="宋体" w:cs="宋体"/>
          <w:sz w:val="32"/>
          <w:szCs w:val="32"/>
        </w:rPr>
        <w:t>1265.82</w:t>
      </w:r>
      <w:r>
        <w:rPr>
          <w:rFonts w:hint="eastAsia" w:ascii="宋体" w:hAnsi="宋体" w:eastAsia="宋体" w:cs="宋体"/>
          <w:sz w:val="32"/>
          <w:szCs w:val="32"/>
        </w:rPr>
        <w:t>万元，其中：财政拨款收入</w:t>
      </w:r>
      <w:r>
        <w:rPr>
          <w:rFonts w:ascii="宋体" w:hAnsi="宋体" w:eastAsia="宋体" w:cs="宋体"/>
          <w:sz w:val="32"/>
          <w:szCs w:val="32"/>
        </w:rPr>
        <w:t>1265.82</w:t>
      </w:r>
      <w:r>
        <w:rPr>
          <w:rFonts w:hint="eastAsia" w:ascii="宋体" w:hAnsi="宋体" w:eastAsia="宋体" w:cs="宋体"/>
          <w:sz w:val="32"/>
          <w:szCs w:val="32"/>
        </w:rPr>
        <w:t>万元，占</w:t>
      </w:r>
      <w:r>
        <w:rPr>
          <w:rFonts w:ascii="宋体" w:hAnsi="宋体" w:eastAsia="宋体" w:cs="宋体"/>
          <w:sz w:val="32"/>
          <w:szCs w:val="32"/>
        </w:rPr>
        <w:t>58%</w:t>
      </w:r>
      <w:r>
        <w:rPr>
          <w:rFonts w:hint="eastAsia" w:ascii="宋体" w:hAnsi="宋体" w:eastAsia="宋体" w:cs="宋体"/>
          <w:sz w:val="32"/>
          <w:szCs w:val="32"/>
        </w:rPr>
        <w:t>；上级补助收入</w:t>
      </w:r>
      <w:r>
        <w:rPr>
          <w:rFonts w:ascii="宋体" w:hAnsi="宋体" w:eastAsia="宋体" w:cs="宋体"/>
          <w:sz w:val="32"/>
          <w:szCs w:val="32"/>
        </w:rPr>
        <w:t>0</w:t>
      </w:r>
      <w:r>
        <w:rPr>
          <w:rFonts w:hint="eastAsia" w:ascii="宋体" w:hAnsi="宋体" w:eastAsia="宋体" w:cs="宋体"/>
          <w:sz w:val="32"/>
          <w:szCs w:val="32"/>
        </w:rPr>
        <w:t>万元，占</w:t>
      </w:r>
      <w:r>
        <w:rPr>
          <w:rFonts w:ascii="宋体" w:hAnsi="宋体" w:eastAsia="宋体" w:cs="宋体"/>
          <w:sz w:val="32"/>
          <w:szCs w:val="32"/>
        </w:rPr>
        <w:t>0%</w:t>
      </w:r>
      <w:r>
        <w:rPr>
          <w:rFonts w:hint="eastAsia" w:ascii="宋体" w:hAnsi="宋体" w:eastAsia="宋体" w:cs="宋体"/>
          <w:sz w:val="32"/>
          <w:szCs w:val="32"/>
        </w:rPr>
        <w:t>；事业收入</w:t>
      </w:r>
      <w:r>
        <w:rPr>
          <w:rFonts w:ascii="宋体" w:hAnsi="宋体" w:eastAsia="宋体" w:cs="宋体"/>
          <w:sz w:val="32"/>
          <w:szCs w:val="32"/>
        </w:rPr>
        <w:t>0</w:t>
      </w:r>
      <w:r>
        <w:rPr>
          <w:rFonts w:hint="eastAsia" w:ascii="宋体" w:hAnsi="宋体" w:eastAsia="宋体" w:cs="宋体"/>
          <w:sz w:val="32"/>
          <w:szCs w:val="32"/>
        </w:rPr>
        <w:t>万元，占</w:t>
      </w:r>
      <w:r>
        <w:rPr>
          <w:rFonts w:ascii="宋体" w:hAnsi="宋体" w:eastAsia="宋体" w:cs="宋体"/>
          <w:sz w:val="32"/>
          <w:szCs w:val="32"/>
        </w:rPr>
        <w:t>0%</w:t>
      </w:r>
      <w:r>
        <w:rPr>
          <w:rFonts w:hint="eastAsia" w:ascii="宋体" w:hAnsi="宋体" w:eastAsia="宋体" w:cs="宋体"/>
          <w:sz w:val="32"/>
          <w:szCs w:val="32"/>
        </w:rPr>
        <w:t>；经营收入</w:t>
      </w:r>
      <w:r>
        <w:rPr>
          <w:rFonts w:ascii="宋体" w:hAnsi="宋体" w:eastAsia="宋体" w:cs="宋体"/>
          <w:sz w:val="32"/>
          <w:szCs w:val="32"/>
        </w:rPr>
        <w:t>0</w:t>
      </w:r>
      <w:r>
        <w:rPr>
          <w:rFonts w:hint="eastAsia" w:ascii="宋体" w:hAnsi="宋体" w:eastAsia="宋体" w:cs="宋体"/>
          <w:sz w:val="32"/>
          <w:szCs w:val="32"/>
        </w:rPr>
        <w:t>万元，占</w:t>
      </w:r>
      <w:r>
        <w:rPr>
          <w:rFonts w:ascii="宋体" w:hAnsi="宋体" w:eastAsia="宋体" w:cs="宋体"/>
          <w:sz w:val="32"/>
          <w:szCs w:val="32"/>
        </w:rPr>
        <w:t>0%</w:t>
      </w:r>
      <w:r>
        <w:rPr>
          <w:rFonts w:hint="eastAsia" w:ascii="宋体" w:hAnsi="宋体" w:eastAsia="宋体" w:cs="宋体"/>
          <w:sz w:val="32"/>
          <w:szCs w:val="32"/>
        </w:rPr>
        <w:t>；附属单位上缴收入</w:t>
      </w:r>
      <w:r>
        <w:rPr>
          <w:rFonts w:ascii="宋体" w:hAnsi="宋体" w:eastAsia="宋体" w:cs="宋体"/>
          <w:sz w:val="32"/>
          <w:szCs w:val="32"/>
        </w:rPr>
        <w:t>0</w:t>
      </w:r>
      <w:r>
        <w:rPr>
          <w:rFonts w:hint="eastAsia" w:ascii="宋体" w:hAnsi="宋体" w:eastAsia="宋体" w:cs="宋体"/>
          <w:sz w:val="32"/>
          <w:szCs w:val="32"/>
        </w:rPr>
        <w:t>万元，占</w:t>
      </w:r>
      <w:r>
        <w:rPr>
          <w:rFonts w:ascii="宋体" w:hAnsi="宋体" w:eastAsia="宋体" w:cs="宋体"/>
          <w:sz w:val="32"/>
          <w:szCs w:val="32"/>
        </w:rPr>
        <w:t>0%</w:t>
      </w:r>
      <w:r>
        <w:rPr>
          <w:rFonts w:hint="eastAsia" w:ascii="宋体" w:hAnsi="宋体" w:eastAsia="宋体" w:cs="宋体"/>
          <w:sz w:val="32"/>
          <w:szCs w:val="32"/>
        </w:rPr>
        <w:t>；其他收入</w:t>
      </w:r>
      <w:r>
        <w:rPr>
          <w:rFonts w:ascii="宋体" w:hAnsi="宋体" w:eastAsia="宋体" w:cs="宋体"/>
          <w:sz w:val="32"/>
          <w:szCs w:val="32"/>
        </w:rPr>
        <w:t>0</w:t>
      </w:r>
      <w:r>
        <w:rPr>
          <w:rFonts w:hint="eastAsia" w:ascii="宋体" w:hAnsi="宋体" w:eastAsia="宋体" w:cs="宋体"/>
          <w:sz w:val="32"/>
          <w:szCs w:val="32"/>
        </w:rPr>
        <w:t>万元，占</w:t>
      </w:r>
      <w:r>
        <w:rPr>
          <w:rFonts w:ascii="宋体" w:hAnsi="宋体" w:eastAsia="宋体" w:cs="宋体"/>
          <w:sz w:val="32"/>
          <w:szCs w:val="32"/>
        </w:rPr>
        <w:t>0%</w:t>
      </w:r>
      <w:r>
        <w:rPr>
          <w:rFonts w:hint="eastAsia" w:ascii="宋体" w:hAnsi="宋体" w:eastAsia="宋体" w:cs="宋体"/>
          <w:sz w:val="32"/>
          <w:szCs w:val="32"/>
        </w:rPr>
        <w:t>。</w:t>
      </w:r>
    </w:p>
    <w:p>
      <w:pPr>
        <w:pStyle w:val="13"/>
        <w:rPr>
          <w:rFonts w:hAnsi="黑体" w:cs="Times New Roman"/>
          <w:b/>
          <w:bCs/>
          <w:sz w:val="32"/>
          <w:szCs w:val="32"/>
        </w:rPr>
      </w:pPr>
      <w:r>
        <w:rPr>
          <w:rFonts w:hint="eastAsia" w:hAnsi="黑体"/>
          <w:b/>
          <w:bCs/>
          <w:sz w:val="32"/>
          <w:szCs w:val="32"/>
        </w:rPr>
        <w:t>三、支出决算情况说明</w:t>
      </w:r>
    </w:p>
    <w:p>
      <w:pPr>
        <w:pStyle w:val="13"/>
        <w:ind w:firstLine="640" w:firstLineChars="200"/>
        <w:rPr>
          <w:rFonts w:ascii="宋体" w:hAnsi="宋体" w:eastAsia="宋体" w:cs="Times New Roman"/>
          <w:sz w:val="32"/>
          <w:szCs w:val="32"/>
        </w:rPr>
      </w:pPr>
      <w:r>
        <w:rPr>
          <w:rFonts w:ascii="宋体" w:hAnsi="宋体" w:eastAsia="宋体" w:cs="宋体"/>
          <w:sz w:val="32"/>
          <w:szCs w:val="32"/>
        </w:rPr>
        <w:t>2021</w:t>
      </w:r>
      <w:r>
        <w:rPr>
          <w:rFonts w:hint="eastAsia" w:ascii="宋体" w:hAnsi="宋体" w:eastAsia="宋体" w:cs="宋体"/>
          <w:sz w:val="32"/>
          <w:szCs w:val="32"/>
        </w:rPr>
        <w:t>年度支出合计</w:t>
      </w:r>
      <w:r>
        <w:rPr>
          <w:rFonts w:ascii="宋体" w:hAnsi="宋体" w:eastAsia="宋体" w:cs="宋体"/>
          <w:sz w:val="32"/>
          <w:szCs w:val="32"/>
        </w:rPr>
        <w:t>1265.82</w:t>
      </w:r>
      <w:r>
        <w:rPr>
          <w:rFonts w:hint="eastAsia" w:ascii="宋体" w:hAnsi="宋体" w:eastAsia="宋体" w:cs="宋体"/>
          <w:sz w:val="32"/>
          <w:szCs w:val="32"/>
        </w:rPr>
        <w:t>万元，其中：基本支出</w:t>
      </w:r>
      <w:r>
        <w:rPr>
          <w:rFonts w:ascii="宋体" w:hAnsi="宋体" w:eastAsia="宋体" w:cs="宋体"/>
          <w:sz w:val="32"/>
          <w:szCs w:val="32"/>
        </w:rPr>
        <w:t>913.82</w:t>
      </w:r>
      <w:r>
        <w:rPr>
          <w:rFonts w:hint="eastAsia" w:ascii="宋体" w:hAnsi="宋体" w:eastAsia="宋体" w:cs="宋体"/>
          <w:sz w:val="32"/>
          <w:szCs w:val="32"/>
        </w:rPr>
        <w:t>万元，占</w:t>
      </w:r>
      <w:r>
        <w:rPr>
          <w:rFonts w:ascii="宋体" w:hAnsi="宋体" w:eastAsia="宋体" w:cs="宋体"/>
          <w:sz w:val="32"/>
          <w:szCs w:val="32"/>
        </w:rPr>
        <w:t>72%</w:t>
      </w:r>
      <w:r>
        <w:rPr>
          <w:rFonts w:hint="eastAsia" w:ascii="宋体" w:hAnsi="宋体" w:eastAsia="宋体" w:cs="宋体"/>
          <w:sz w:val="32"/>
          <w:szCs w:val="32"/>
        </w:rPr>
        <w:t>；项目支出</w:t>
      </w:r>
      <w:r>
        <w:rPr>
          <w:rFonts w:ascii="宋体" w:hAnsi="宋体" w:eastAsia="宋体" w:cs="宋体"/>
          <w:sz w:val="32"/>
          <w:szCs w:val="32"/>
        </w:rPr>
        <w:t>352</w:t>
      </w:r>
      <w:r>
        <w:rPr>
          <w:rFonts w:hint="eastAsia" w:ascii="宋体" w:hAnsi="宋体" w:eastAsia="宋体" w:cs="宋体"/>
          <w:sz w:val="32"/>
          <w:szCs w:val="32"/>
        </w:rPr>
        <w:t>万元，占</w:t>
      </w:r>
      <w:r>
        <w:rPr>
          <w:rFonts w:ascii="宋体" w:hAnsi="宋体" w:eastAsia="宋体" w:cs="宋体"/>
          <w:sz w:val="32"/>
          <w:szCs w:val="32"/>
        </w:rPr>
        <w:t>28%</w:t>
      </w:r>
      <w:r>
        <w:rPr>
          <w:rFonts w:hint="eastAsia" w:ascii="宋体" w:hAnsi="宋体" w:eastAsia="宋体" w:cs="宋体"/>
          <w:sz w:val="32"/>
          <w:szCs w:val="32"/>
        </w:rPr>
        <w:t>；上缴上级支出</w:t>
      </w:r>
      <w:r>
        <w:rPr>
          <w:rFonts w:ascii="宋体" w:hAnsi="宋体" w:eastAsia="宋体" w:cs="宋体"/>
          <w:sz w:val="32"/>
          <w:szCs w:val="32"/>
        </w:rPr>
        <w:t>0</w:t>
      </w:r>
      <w:r>
        <w:rPr>
          <w:rFonts w:hint="eastAsia" w:ascii="宋体" w:hAnsi="宋体" w:eastAsia="宋体" w:cs="宋体"/>
          <w:sz w:val="32"/>
          <w:szCs w:val="32"/>
        </w:rPr>
        <w:t>万元，占</w:t>
      </w:r>
      <w:r>
        <w:rPr>
          <w:rFonts w:ascii="宋体" w:hAnsi="宋体" w:eastAsia="宋体" w:cs="宋体"/>
          <w:sz w:val="32"/>
          <w:szCs w:val="32"/>
        </w:rPr>
        <w:t>0%</w:t>
      </w:r>
      <w:r>
        <w:rPr>
          <w:rFonts w:hint="eastAsia" w:ascii="宋体" w:hAnsi="宋体" w:eastAsia="宋体" w:cs="宋体"/>
          <w:sz w:val="32"/>
          <w:szCs w:val="32"/>
        </w:rPr>
        <w:t>；经营支出</w:t>
      </w:r>
      <w:r>
        <w:rPr>
          <w:rFonts w:ascii="宋体" w:hAnsi="宋体" w:eastAsia="宋体" w:cs="宋体"/>
          <w:sz w:val="32"/>
          <w:szCs w:val="32"/>
        </w:rPr>
        <w:t>0</w:t>
      </w:r>
      <w:r>
        <w:rPr>
          <w:rFonts w:hint="eastAsia" w:ascii="宋体" w:hAnsi="宋体" w:eastAsia="宋体" w:cs="宋体"/>
          <w:sz w:val="32"/>
          <w:szCs w:val="32"/>
        </w:rPr>
        <w:t>万元，占</w:t>
      </w:r>
      <w:r>
        <w:rPr>
          <w:rFonts w:ascii="宋体" w:hAnsi="宋体" w:eastAsia="宋体" w:cs="宋体"/>
          <w:sz w:val="32"/>
          <w:szCs w:val="32"/>
        </w:rPr>
        <w:t>0%</w:t>
      </w:r>
      <w:r>
        <w:rPr>
          <w:rFonts w:hint="eastAsia" w:ascii="宋体" w:hAnsi="宋体" w:eastAsia="宋体" w:cs="宋体"/>
          <w:sz w:val="32"/>
          <w:szCs w:val="32"/>
        </w:rPr>
        <w:t>；对附属单位补助支出</w:t>
      </w:r>
      <w:r>
        <w:rPr>
          <w:rFonts w:ascii="宋体" w:hAnsi="宋体" w:eastAsia="宋体" w:cs="宋体"/>
          <w:sz w:val="32"/>
          <w:szCs w:val="32"/>
        </w:rPr>
        <w:t>0</w:t>
      </w:r>
      <w:r>
        <w:rPr>
          <w:rFonts w:hint="eastAsia" w:ascii="宋体" w:hAnsi="宋体" w:eastAsia="宋体" w:cs="宋体"/>
          <w:sz w:val="32"/>
          <w:szCs w:val="32"/>
        </w:rPr>
        <w:t>万元，占</w:t>
      </w:r>
      <w:r>
        <w:rPr>
          <w:rFonts w:ascii="宋体" w:hAnsi="宋体" w:eastAsia="宋体" w:cs="宋体"/>
          <w:sz w:val="32"/>
          <w:szCs w:val="32"/>
        </w:rPr>
        <w:t>0%</w:t>
      </w:r>
      <w:r>
        <w:rPr>
          <w:rFonts w:hint="eastAsia" w:ascii="宋体" w:hAnsi="宋体" w:eastAsia="宋体" w:cs="宋体"/>
          <w:sz w:val="32"/>
          <w:szCs w:val="32"/>
        </w:rPr>
        <w:t>。</w:t>
      </w:r>
    </w:p>
    <w:p>
      <w:pPr>
        <w:pStyle w:val="13"/>
        <w:rPr>
          <w:rFonts w:hAnsi="黑体" w:cs="Times New Roman"/>
          <w:b/>
          <w:bCs/>
          <w:sz w:val="32"/>
          <w:szCs w:val="32"/>
        </w:rPr>
      </w:pPr>
      <w:r>
        <w:rPr>
          <w:rFonts w:hint="eastAsia" w:hAnsi="黑体"/>
          <w:b/>
          <w:bCs/>
          <w:sz w:val="32"/>
          <w:szCs w:val="32"/>
        </w:rPr>
        <w:t>四、财政拨款收入支出决算总体情况说明</w:t>
      </w:r>
    </w:p>
    <w:p>
      <w:pPr>
        <w:pStyle w:val="13"/>
        <w:ind w:firstLine="640"/>
        <w:rPr>
          <w:rFonts w:ascii="宋体" w:hAnsi="宋体" w:eastAsia="宋体" w:cs="Times New Roman"/>
          <w:sz w:val="32"/>
          <w:szCs w:val="32"/>
        </w:rPr>
      </w:pPr>
      <w:r>
        <w:rPr>
          <w:rFonts w:ascii="宋体" w:hAnsi="宋体" w:eastAsia="宋体" w:cs="宋体"/>
          <w:sz w:val="32"/>
          <w:szCs w:val="32"/>
        </w:rPr>
        <w:t>2021</w:t>
      </w:r>
      <w:r>
        <w:rPr>
          <w:rFonts w:hint="eastAsia" w:ascii="宋体" w:hAnsi="宋体" w:eastAsia="宋体" w:cs="宋体"/>
          <w:sz w:val="32"/>
          <w:szCs w:val="32"/>
        </w:rPr>
        <w:t>年度财政拨款收、支总计</w:t>
      </w:r>
      <w:r>
        <w:rPr>
          <w:rFonts w:ascii="宋体" w:hAnsi="宋体" w:eastAsia="宋体" w:cs="宋体"/>
          <w:sz w:val="32"/>
          <w:szCs w:val="32"/>
        </w:rPr>
        <w:t>1265.82</w:t>
      </w:r>
      <w:r>
        <w:rPr>
          <w:rFonts w:hint="eastAsia" w:ascii="宋体" w:hAnsi="宋体" w:eastAsia="宋体" w:cs="宋体"/>
          <w:sz w:val="32"/>
          <w:szCs w:val="32"/>
        </w:rPr>
        <w:t>万元，与上年相比，减少</w:t>
      </w:r>
      <w:r>
        <w:rPr>
          <w:rFonts w:ascii="宋体" w:hAnsi="宋体" w:eastAsia="宋体" w:cs="宋体"/>
          <w:sz w:val="32"/>
          <w:szCs w:val="32"/>
        </w:rPr>
        <w:t>291.28</w:t>
      </w:r>
      <w:r>
        <w:rPr>
          <w:rFonts w:hint="eastAsia" w:ascii="宋体" w:hAnsi="宋体" w:eastAsia="宋体" w:cs="宋体"/>
          <w:sz w:val="32"/>
          <w:szCs w:val="32"/>
        </w:rPr>
        <w:t>万元，减少</w:t>
      </w:r>
      <w:r>
        <w:rPr>
          <w:rFonts w:ascii="宋体" w:hAnsi="宋体" w:eastAsia="宋体" w:cs="宋体"/>
          <w:sz w:val="32"/>
          <w:szCs w:val="32"/>
        </w:rPr>
        <w:t>19%</w:t>
      </w:r>
      <w:r>
        <w:rPr>
          <w:rFonts w:hint="eastAsia" w:ascii="宋体" w:hAnsi="宋体" w:eastAsia="宋体" w:cs="宋体"/>
          <w:sz w:val="32"/>
          <w:szCs w:val="32"/>
        </w:rPr>
        <w:t>，主要是因为创国卫新建市场工程项目款减少。</w:t>
      </w:r>
    </w:p>
    <w:p>
      <w:pPr>
        <w:pStyle w:val="13"/>
        <w:ind w:firstLine="640"/>
        <w:rPr>
          <w:rFonts w:hAnsi="黑体" w:cs="Times New Roman"/>
          <w:b/>
          <w:bCs/>
          <w:sz w:val="32"/>
          <w:szCs w:val="32"/>
        </w:rPr>
      </w:pPr>
      <w:r>
        <w:rPr>
          <w:rFonts w:hint="eastAsia" w:hAnsi="黑体"/>
          <w:b/>
          <w:bCs/>
          <w:sz w:val="32"/>
          <w:szCs w:val="32"/>
        </w:rPr>
        <w:t>五、一般公共预算财政拨款支出决算情况说明</w:t>
      </w:r>
    </w:p>
    <w:p>
      <w:pPr>
        <w:pStyle w:val="13"/>
        <w:ind w:firstLine="640" w:firstLineChars="200"/>
        <w:rPr>
          <w:rFonts w:ascii="宋体" w:hAnsi="宋体" w:eastAsia="宋体" w:cs="Times New Roman"/>
          <w:b/>
          <w:bCs/>
          <w:sz w:val="32"/>
          <w:szCs w:val="32"/>
        </w:rPr>
      </w:pPr>
      <w:r>
        <w:rPr>
          <w:rFonts w:hint="eastAsia" w:ascii="宋体" w:hAnsi="宋体" w:eastAsia="宋体" w:cs="宋体"/>
          <w:b/>
          <w:bCs/>
          <w:sz w:val="32"/>
          <w:szCs w:val="32"/>
        </w:rPr>
        <w:t>（一）财政拨款支出决算总体情况</w:t>
      </w:r>
    </w:p>
    <w:p>
      <w:pPr>
        <w:pStyle w:val="13"/>
        <w:ind w:firstLine="640"/>
        <w:rPr>
          <w:rFonts w:ascii="宋体" w:hAnsi="宋体" w:eastAsia="宋体" w:cs="Times New Roman"/>
          <w:sz w:val="32"/>
          <w:szCs w:val="32"/>
        </w:rPr>
      </w:pPr>
      <w:r>
        <w:rPr>
          <w:rFonts w:ascii="宋体" w:hAnsi="宋体" w:eastAsia="宋体" w:cs="宋体"/>
          <w:sz w:val="32"/>
          <w:szCs w:val="32"/>
        </w:rPr>
        <w:t>2021</w:t>
      </w:r>
      <w:r>
        <w:rPr>
          <w:rFonts w:hint="eastAsia" w:ascii="宋体" w:hAnsi="宋体" w:eastAsia="宋体" w:cs="宋体"/>
          <w:sz w:val="32"/>
          <w:szCs w:val="32"/>
        </w:rPr>
        <w:t>年度财政拨款支出</w:t>
      </w:r>
      <w:r>
        <w:rPr>
          <w:rFonts w:ascii="宋体" w:hAnsi="宋体" w:eastAsia="宋体" w:cs="宋体"/>
          <w:sz w:val="32"/>
          <w:szCs w:val="32"/>
        </w:rPr>
        <w:t>1265.82</w:t>
      </w:r>
      <w:r>
        <w:rPr>
          <w:rFonts w:hint="eastAsia" w:ascii="宋体" w:hAnsi="宋体" w:eastAsia="宋体" w:cs="宋体"/>
          <w:sz w:val="32"/>
          <w:szCs w:val="32"/>
        </w:rPr>
        <w:t>元，占本年支出合计的</w:t>
      </w:r>
      <w:r>
        <w:rPr>
          <w:rFonts w:ascii="宋体" w:hAnsi="宋体" w:eastAsia="宋体" w:cs="宋体"/>
          <w:sz w:val="32"/>
          <w:szCs w:val="32"/>
        </w:rPr>
        <w:t>100%</w:t>
      </w:r>
      <w:r>
        <w:rPr>
          <w:rFonts w:hint="eastAsia" w:ascii="宋体" w:hAnsi="宋体" w:eastAsia="宋体" w:cs="宋体"/>
          <w:sz w:val="32"/>
          <w:szCs w:val="32"/>
        </w:rPr>
        <w:t>，与上年相比，财政拨款支出减少</w:t>
      </w:r>
      <w:r>
        <w:rPr>
          <w:rFonts w:ascii="宋体" w:hAnsi="宋体" w:eastAsia="宋体" w:cs="宋体"/>
          <w:sz w:val="32"/>
          <w:szCs w:val="32"/>
        </w:rPr>
        <w:t>291.28</w:t>
      </w:r>
      <w:r>
        <w:rPr>
          <w:rFonts w:hint="eastAsia" w:ascii="宋体" w:hAnsi="宋体" w:eastAsia="宋体" w:cs="宋体"/>
          <w:sz w:val="32"/>
          <w:szCs w:val="32"/>
        </w:rPr>
        <w:t>万元，减少</w:t>
      </w:r>
      <w:r>
        <w:rPr>
          <w:rFonts w:ascii="宋体" w:hAnsi="宋体" w:eastAsia="宋体" w:cs="宋体"/>
          <w:sz w:val="32"/>
          <w:szCs w:val="32"/>
        </w:rPr>
        <w:t>19%</w:t>
      </w:r>
      <w:r>
        <w:rPr>
          <w:rFonts w:hint="eastAsia" w:ascii="宋体" w:hAnsi="宋体" w:eastAsia="宋体" w:cs="宋体"/>
          <w:sz w:val="32"/>
          <w:szCs w:val="32"/>
        </w:rPr>
        <w:t>，主要是因为创国卫新建市场工程项目款减少。</w:t>
      </w:r>
    </w:p>
    <w:p>
      <w:pPr>
        <w:pStyle w:val="13"/>
        <w:ind w:firstLine="480" w:firstLineChars="150"/>
        <w:rPr>
          <w:rFonts w:ascii="宋体" w:hAnsi="宋体" w:eastAsia="宋体" w:cs="Times New Roman"/>
          <w:b/>
          <w:bCs/>
          <w:sz w:val="32"/>
          <w:szCs w:val="32"/>
        </w:rPr>
      </w:pPr>
      <w:r>
        <w:rPr>
          <w:rFonts w:hint="eastAsia" w:ascii="宋体" w:hAnsi="宋体" w:eastAsia="宋体" w:cs="宋体"/>
          <w:b/>
          <w:bCs/>
          <w:sz w:val="32"/>
          <w:szCs w:val="32"/>
        </w:rPr>
        <w:t>（二）财政拨款支出决算结构情况</w:t>
      </w:r>
    </w:p>
    <w:p>
      <w:pPr>
        <w:pStyle w:val="13"/>
        <w:ind w:firstLine="640" w:firstLineChars="200"/>
        <w:rPr>
          <w:rFonts w:ascii="宋体" w:hAnsi="宋体" w:eastAsia="宋体" w:cs="Times New Roman"/>
          <w:sz w:val="32"/>
          <w:szCs w:val="32"/>
        </w:rPr>
      </w:pPr>
      <w:r>
        <w:rPr>
          <w:rFonts w:ascii="宋体" w:hAnsi="宋体" w:eastAsia="宋体" w:cs="宋体"/>
          <w:sz w:val="32"/>
          <w:szCs w:val="32"/>
        </w:rPr>
        <w:t>2021</w:t>
      </w:r>
      <w:r>
        <w:rPr>
          <w:rFonts w:hint="eastAsia" w:ascii="宋体" w:hAnsi="宋体" w:eastAsia="宋体" w:cs="宋体"/>
          <w:sz w:val="32"/>
          <w:szCs w:val="32"/>
        </w:rPr>
        <w:t>年度财政拨款支出</w:t>
      </w:r>
      <w:r>
        <w:rPr>
          <w:rFonts w:ascii="宋体" w:hAnsi="宋体" w:eastAsia="宋体" w:cs="宋体"/>
          <w:sz w:val="32"/>
          <w:szCs w:val="32"/>
        </w:rPr>
        <w:t>1265.82</w:t>
      </w:r>
      <w:r>
        <w:rPr>
          <w:rFonts w:hint="eastAsia" w:ascii="宋体" w:hAnsi="宋体" w:eastAsia="宋体" w:cs="宋体"/>
          <w:sz w:val="32"/>
          <w:szCs w:val="32"/>
        </w:rPr>
        <w:t>万元，主要用于以下方面：一般公共服务（类）支出</w:t>
      </w:r>
      <w:r>
        <w:rPr>
          <w:rFonts w:ascii="宋体" w:hAnsi="宋体" w:eastAsia="宋体" w:cs="宋体"/>
          <w:sz w:val="32"/>
          <w:szCs w:val="32"/>
        </w:rPr>
        <w:t>651.92</w:t>
      </w:r>
      <w:r>
        <w:rPr>
          <w:rFonts w:hint="eastAsia" w:ascii="宋体" w:hAnsi="宋体" w:eastAsia="宋体" w:cs="宋体"/>
          <w:sz w:val="32"/>
          <w:szCs w:val="32"/>
        </w:rPr>
        <w:t>万元，占</w:t>
      </w:r>
      <w:r>
        <w:rPr>
          <w:rFonts w:ascii="宋体" w:hAnsi="宋体" w:eastAsia="宋体" w:cs="宋体"/>
          <w:sz w:val="32"/>
          <w:szCs w:val="32"/>
        </w:rPr>
        <w:t>51%</w:t>
      </w:r>
      <w:r>
        <w:rPr>
          <w:rFonts w:hint="eastAsia" w:ascii="宋体" w:hAnsi="宋体" w:eastAsia="宋体" w:cs="宋体"/>
          <w:sz w:val="32"/>
          <w:szCs w:val="32"/>
        </w:rPr>
        <w:t>；文化旅游体育与传媒（类）支出</w:t>
      </w:r>
      <w:r>
        <w:rPr>
          <w:rFonts w:ascii="宋体" w:hAnsi="宋体" w:eastAsia="宋体" w:cs="宋体"/>
          <w:sz w:val="32"/>
          <w:szCs w:val="32"/>
        </w:rPr>
        <w:t>261.90</w:t>
      </w:r>
      <w:r>
        <w:rPr>
          <w:rFonts w:hint="eastAsia" w:ascii="宋体" w:hAnsi="宋体" w:eastAsia="宋体" w:cs="宋体"/>
          <w:sz w:val="32"/>
          <w:szCs w:val="32"/>
        </w:rPr>
        <w:t>万元，占</w:t>
      </w:r>
      <w:r>
        <w:rPr>
          <w:rFonts w:ascii="宋体" w:hAnsi="宋体" w:eastAsia="宋体" w:cs="宋体"/>
          <w:sz w:val="32"/>
          <w:szCs w:val="32"/>
        </w:rPr>
        <w:t>21%</w:t>
      </w:r>
      <w:r>
        <w:rPr>
          <w:rFonts w:hint="eastAsia" w:ascii="宋体" w:hAnsi="宋体" w:eastAsia="宋体" w:cs="宋体"/>
          <w:sz w:val="32"/>
          <w:szCs w:val="32"/>
        </w:rPr>
        <w:t>；卫生健康（类）支出</w:t>
      </w:r>
      <w:r>
        <w:rPr>
          <w:rFonts w:ascii="宋体" w:hAnsi="宋体" w:eastAsia="宋体" w:cs="宋体"/>
          <w:sz w:val="32"/>
          <w:szCs w:val="32"/>
        </w:rPr>
        <w:t>352</w:t>
      </w:r>
      <w:r>
        <w:rPr>
          <w:rFonts w:hint="eastAsia" w:ascii="宋体" w:hAnsi="宋体" w:eastAsia="宋体" w:cs="宋体"/>
          <w:sz w:val="32"/>
          <w:szCs w:val="32"/>
        </w:rPr>
        <w:t>万元，占</w:t>
      </w:r>
      <w:r>
        <w:rPr>
          <w:rFonts w:ascii="宋体" w:hAnsi="宋体" w:eastAsia="宋体" w:cs="宋体"/>
          <w:sz w:val="32"/>
          <w:szCs w:val="32"/>
        </w:rPr>
        <w:t>28%</w:t>
      </w:r>
      <w:r>
        <w:rPr>
          <w:rFonts w:hint="eastAsia" w:ascii="宋体" w:hAnsi="宋体" w:eastAsia="宋体" w:cs="宋体"/>
          <w:sz w:val="32"/>
          <w:szCs w:val="32"/>
        </w:rPr>
        <w:t>。</w:t>
      </w:r>
    </w:p>
    <w:p>
      <w:pPr>
        <w:pStyle w:val="13"/>
        <w:ind w:firstLine="800" w:firstLineChars="250"/>
        <w:rPr>
          <w:rFonts w:ascii="宋体" w:hAnsi="宋体" w:eastAsia="宋体" w:cs="Times New Roman"/>
          <w:b/>
          <w:bCs/>
          <w:sz w:val="32"/>
          <w:szCs w:val="32"/>
        </w:rPr>
      </w:pPr>
      <w:r>
        <w:rPr>
          <w:rFonts w:hint="eastAsia" w:ascii="宋体" w:hAnsi="宋体" w:eastAsia="宋体" w:cs="宋体"/>
          <w:b/>
          <w:bCs/>
          <w:sz w:val="32"/>
          <w:szCs w:val="32"/>
        </w:rPr>
        <w:t>（三）财政拨款支出决算具体情况</w:t>
      </w:r>
    </w:p>
    <w:p>
      <w:pPr>
        <w:pStyle w:val="13"/>
        <w:ind w:firstLine="800" w:firstLineChars="250"/>
        <w:rPr>
          <w:rFonts w:ascii="宋体" w:hAnsi="宋体" w:eastAsia="宋体" w:cs="Times New Roman"/>
          <w:sz w:val="32"/>
          <w:szCs w:val="32"/>
        </w:rPr>
      </w:pPr>
      <w:r>
        <w:rPr>
          <w:rFonts w:ascii="宋体" w:hAnsi="宋体" w:eastAsia="宋体" w:cs="宋体"/>
          <w:sz w:val="32"/>
          <w:szCs w:val="32"/>
        </w:rPr>
        <w:t>2021</w:t>
      </w:r>
      <w:r>
        <w:rPr>
          <w:rFonts w:hint="eastAsia" w:ascii="宋体" w:hAnsi="宋体" w:eastAsia="宋体" w:cs="宋体"/>
          <w:sz w:val="32"/>
          <w:szCs w:val="32"/>
        </w:rPr>
        <w:t>年度财政拨款支出年初预算数为</w:t>
      </w:r>
      <w:r>
        <w:rPr>
          <w:rFonts w:ascii="宋体" w:hAnsi="宋体" w:eastAsia="宋体" w:cs="宋体"/>
          <w:sz w:val="32"/>
          <w:szCs w:val="32"/>
        </w:rPr>
        <w:t>789.98</w:t>
      </w:r>
      <w:r>
        <w:rPr>
          <w:rFonts w:hint="eastAsia" w:ascii="宋体" w:hAnsi="宋体" w:eastAsia="宋体" w:cs="宋体"/>
          <w:sz w:val="32"/>
          <w:szCs w:val="32"/>
        </w:rPr>
        <w:t>万元，支出决算数为</w:t>
      </w:r>
      <w:r>
        <w:rPr>
          <w:rFonts w:ascii="宋体" w:hAnsi="宋体" w:eastAsia="宋体" w:cs="宋体"/>
          <w:sz w:val="32"/>
          <w:szCs w:val="32"/>
        </w:rPr>
        <w:t>1265.82</w:t>
      </w:r>
      <w:r>
        <w:rPr>
          <w:rFonts w:hint="eastAsia" w:ascii="宋体" w:hAnsi="宋体" w:eastAsia="宋体" w:cs="宋体"/>
          <w:sz w:val="32"/>
          <w:szCs w:val="32"/>
        </w:rPr>
        <w:t>万元，完成年初预算的</w:t>
      </w:r>
      <w:r>
        <w:rPr>
          <w:rFonts w:ascii="宋体" w:hAnsi="宋体" w:eastAsia="宋体" w:cs="宋体"/>
          <w:sz w:val="32"/>
          <w:szCs w:val="32"/>
        </w:rPr>
        <w:t>160%</w:t>
      </w:r>
      <w:r>
        <w:rPr>
          <w:rFonts w:hint="eastAsia" w:ascii="宋体" w:hAnsi="宋体" w:eastAsia="宋体" w:cs="宋体"/>
          <w:sz w:val="32"/>
          <w:szCs w:val="32"/>
        </w:rPr>
        <w:t>，其中：</w:t>
      </w:r>
    </w:p>
    <w:p>
      <w:pPr>
        <w:pStyle w:val="13"/>
        <w:ind w:firstLine="800" w:firstLineChars="250"/>
        <w:rPr>
          <w:rFonts w:ascii="宋体" w:hAnsi="宋体" w:eastAsia="宋体" w:cs="Times New Roman"/>
          <w:sz w:val="32"/>
          <w:szCs w:val="32"/>
        </w:rPr>
      </w:pPr>
      <w:r>
        <w:rPr>
          <w:rFonts w:ascii="宋体" w:hAnsi="宋体" w:eastAsia="宋体" w:cs="宋体"/>
          <w:sz w:val="32"/>
          <w:szCs w:val="32"/>
        </w:rPr>
        <w:t>1</w:t>
      </w:r>
      <w:r>
        <w:rPr>
          <w:rFonts w:hint="eastAsia" w:ascii="宋体" w:hAnsi="宋体" w:eastAsia="宋体" w:cs="宋体"/>
          <w:sz w:val="32"/>
          <w:szCs w:val="32"/>
        </w:rPr>
        <w:t>、一般公共服务支出（类）政府办公厅（室）及相关机构事务（款）</w:t>
      </w:r>
      <w:r>
        <w:rPr>
          <w:rFonts w:ascii="宋体" w:hAnsi="宋体" w:eastAsia="宋体" w:cs="宋体"/>
          <w:sz w:val="32"/>
          <w:szCs w:val="32"/>
        </w:rPr>
        <w:t xml:space="preserve">  </w:t>
      </w:r>
      <w:r>
        <w:rPr>
          <w:rFonts w:hint="eastAsia" w:ascii="宋体" w:hAnsi="宋体" w:eastAsia="宋体" w:cs="宋体"/>
          <w:sz w:val="32"/>
          <w:szCs w:val="32"/>
        </w:rPr>
        <w:t>事业运行（项）。</w:t>
      </w:r>
    </w:p>
    <w:p>
      <w:pPr>
        <w:pStyle w:val="13"/>
        <w:ind w:firstLine="800" w:firstLineChars="250"/>
        <w:rPr>
          <w:rFonts w:ascii="宋体" w:hAnsi="宋体" w:eastAsia="宋体" w:cs="Times New Roman"/>
          <w:sz w:val="32"/>
          <w:szCs w:val="32"/>
        </w:rPr>
      </w:pPr>
      <w:r>
        <w:rPr>
          <w:rFonts w:hint="eastAsia" w:ascii="宋体" w:hAnsi="宋体" w:eastAsia="宋体" w:cs="宋体"/>
          <w:sz w:val="32"/>
          <w:szCs w:val="32"/>
        </w:rPr>
        <w:t>年初预算为</w:t>
      </w:r>
      <w:r>
        <w:rPr>
          <w:rFonts w:ascii="宋体" w:hAnsi="宋体" w:eastAsia="宋体" w:cs="宋体"/>
          <w:sz w:val="32"/>
          <w:szCs w:val="32"/>
        </w:rPr>
        <w:t>789.98</w:t>
      </w:r>
      <w:r>
        <w:rPr>
          <w:rFonts w:hint="eastAsia" w:ascii="宋体" w:hAnsi="宋体" w:eastAsia="宋体" w:cs="宋体"/>
          <w:sz w:val="32"/>
          <w:szCs w:val="32"/>
        </w:rPr>
        <w:t>万元，支出决算为</w:t>
      </w:r>
      <w:r>
        <w:rPr>
          <w:rFonts w:ascii="宋体" w:hAnsi="宋体" w:eastAsia="宋体" w:cs="宋体"/>
          <w:sz w:val="32"/>
          <w:szCs w:val="32"/>
        </w:rPr>
        <w:t>651.92</w:t>
      </w:r>
      <w:r>
        <w:rPr>
          <w:rFonts w:hint="eastAsia" w:ascii="宋体" w:hAnsi="宋体" w:eastAsia="宋体" w:cs="宋体"/>
          <w:sz w:val="32"/>
          <w:szCs w:val="32"/>
        </w:rPr>
        <w:t>万元，完成年初预算的</w:t>
      </w:r>
      <w:r>
        <w:rPr>
          <w:rFonts w:ascii="宋体" w:hAnsi="宋体" w:eastAsia="宋体" w:cs="宋体"/>
          <w:sz w:val="32"/>
          <w:szCs w:val="32"/>
        </w:rPr>
        <w:t>82%</w:t>
      </w:r>
      <w:r>
        <w:rPr>
          <w:rFonts w:hint="eastAsia" w:ascii="宋体" w:hAnsi="宋体" w:eastAsia="宋体" w:cs="宋体"/>
          <w:sz w:val="32"/>
          <w:szCs w:val="32"/>
        </w:rPr>
        <w:t>，决算数小于年初预算数的主要原因是：预算资金调整。</w:t>
      </w:r>
    </w:p>
    <w:p>
      <w:pPr>
        <w:pStyle w:val="13"/>
        <w:ind w:firstLine="800" w:firstLineChars="250"/>
        <w:rPr>
          <w:rFonts w:ascii="宋体" w:hAnsi="宋体" w:eastAsia="宋体" w:cs="Times New Roman"/>
          <w:sz w:val="32"/>
          <w:szCs w:val="32"/>
        </w:rPr>
      </w:pPr>
      <w:r>
        <w:rPr>
          <w:rFonts w:ascii="宋体" w:hAnsi="宋体" w:eastAsia="宋体" w:cs="宋体"/>
          <w:sz w:val="32"/>
          <w:szCs w:val="32"/>
        </w:rPr>
        <w:t>2</w:t>
      </w:r>
      <w:r>
        <w:rPr>
          <w:rFonts w:hint="eastAsia" w:ascii="宋体" w:hAnsi="宋体" w:eastAsia="宋体" w:cs="宋体"/>
          <w:sz w:val="32"/>
          <w:szCs w:val="32"/>
        </w:rPr>
        <w:t>、文化旅游体育与传媒支出（类）文化和旅游（款）</w:t>
      </w:r>
      <w:r>
        <w:rPr>
          <w:rFonts w:ascii="宋体" w:hAnsi="宋体" w:eastAsia="宋体" w:cs="宋体"/>
          <w:sz w:val="32"/>
          <w:szCs w:val="32"/>
        </w:rPr>
        <w:t xml:space="preserve">  </w:t>
      </w:r>
      <w:r>
        <w:rPr>
          <w:rFonts w:hint="eastAsia" w:ascii="宋体" w:hAnsi="宋体" w:eastAsia="宋体" w:cs="宋体"/>
          <w:sz w:val="32"/>
          <w:szCs w:val="32"/>
        </w:rPr>
        <w:t>其他文化和旅游支出（项）。</w:t>
      </w:r>
    </w:p>
    <w:p>
      <w:pPr>
        <w:pStyle w:val="13"/>
        <w:ind w:firstLine="800" w:firstLineChars="250"/>
        <w:rPr>
          <w:rFonts w:ascii="宋体" w:hAnsi="宋体" w:eastAsia="宋体" w:cs="Times New Roman"/>
          <w:sz w:val="32"/>
          <w:szCs w:val="32"/>
        </w:rPr>
      </w:pPr>
      <w:r>
        <w:rPr>
          <w:rFonts w:hint="eastAsia" w:ascii="宋体" w:hAnsi="宋体" w:eastAsia="宋体" w:cs="宋体"/>
          <w:sz w:val="32"/>
          <w:szCs w:val="32"/>
        </w:rPr>
        <w:t>年初预算为</w:t>
      </w:r>
      <w:r>
        <w:rPr>
          <w:rFonts w:ascii="宋体" w:hAnsi="宋体" w:eastAsia="宋体" w:cs="宋体"/>
          <w:sz w:val="32"/>
          <w:szCs w:val="32"/>
        </w:rPr>
        <w:t>0</w:t>
      </w:r>
      <w:r>
        <w:rPr>
          <w:rFonts w:hint="eastAsia" w:ascii="宋体" w:hAnsi="宋体" w:eastAsia="宋体" w:cs="宋体"/>
          <w:sz w:val="32"/>
          <w:szCs w:val="32"/>
        </w:rPr>
        <w:t>万元，支出决算为</w:t>
      </w:r>
      <w:r>
        <w:rPr>
          <w:rFonts w:ascii="宋体" w:hAnsi="宋体" w:eastAsia="宋体" w:cs="宋体"/>
          <w:sz w:val="32"/>
          <w:szCs w:val="32"/>
        </w:rPr>
        <w:t>261.9</w:t>
      </w:r>
      <w:r>
        <w:rPr>
          <w:rFonts w:hint="eastAsia" w:ascii="宋体" w:hAnsi="宋体" w:eastAsia="宋体" w:cs="宋体"/>
          <w:sz w:val="32"/>
          <w:szCs w:val="32"/>
        </w:rPr>
        <w:t>万元，完成年初预算的</w:t>
      </w:r>
      <w:r>
        <w:rPr>
          <w:rFonts w:ascii="宋体" w:hAnsi="宋体" w:eastAsia="宋体" w:cs="宋体"/>
          <w:sz w:val="32"/>
          <w:szCs w:val="32"/>
        </w:rPr>
        <w:t>0%</w:t>
      </w:r>
      <w:r>
        <w:rPr>
          <w:rFonts w:hint="eastAsia" w:ascii="宋体" w:hAnsi="宋体" w:eastAsia="宋体" w:cs="宋体"/>
          <w:sz w:val="32"/>
          <w:szCs w:val="32"/>
        </w:rPr>
        <w:t>，决算数大于年初预算数的主要原因是：预算资金调整，同时增加预算外资金。</w:t>
      </w:r>
    </w:p>
    <w:p>
      <w:pPr>
        <w:pStyle w:val="13"/>
        <w:ind w:firstLine="800" w:firstLineChars="250"/>
        <w:rPr>
          <w:rFonts w:ascii="宋体" w:hAnsi="宋体" w:eastAsia="宋体" w:cs="Times New Roman"/>
          <w:sz w:val="32"/>
          <w:szCs w:val="32"/>
        </w:rPr>
      </w:pPr>
      <w:r>
        <w:rPr>
          <w:rFonts w:ascii="宋体" w:hAnsi="宋体" w:eastAsia="宋体" w:cs="宋体"/>
          <w:sz w:val="32"/>
          <w:szCs w:val="32"/>
        </w:rPr>
        <w:t>3</w:t>
      </w:r>
      <w:r>
        <w:rPr>
          <w:rFonts w:hint="eastAsia" w:ascii="宋体" w:hAnsi="宋体" w:eastAsia="宋体" w:cs="宋体"/>
          <w:sz w:val="32"/>
          <w:szCs w:val="32"/>
        </w:rPr>
        <w:t>、卫生健康支出（类）公共卫生（款）其他公共卫生支出（项）。</w:t>
      </w:r>
    </w:p>
    <w:p>
      <w:pPr>
        <w:pStyle w:val="13"/>
        <w:ind w:firstLine="800" w:firstLineChars="250"/>
        <w:rPr>
          <w:rFonts w:ascii="宋体" w:hAnsi="宋体" w:eastAsia="宋体" w:cs="Times New Roman"/>
          <w:sz w:val="32"/>
          <w:szCs w:val="32"/>
        </w:rPr>
      </w:pPr>
      <w:r>
        <w:rPr>
          <w:rFonts w:hint="eastAsia" w:ascii="宋体" w:hAnsi="宋体" w:eastAsia="宋体" w:cs="宋体"/>
          <w:sz w:val="32"/>
          <w:szCs w:val="32"/>
        </w:rPr>
        <w:t>年初预算为</w:t>
      </w:r>
      <w:r>
        <w:rPr>
          <w:rFonts w:ascii="宋体" w:hAnsi="宋体" w:eastAsia="宋体" w:cs="宋体"/>
          <w:sz w:val="32"/>
          <w:szCs w:val="32"/>
        </w:rPr>
        <w:t>0</w:t>
      </w:r>
      <w:r>
        <w:rPr>
          <w:rFonts w:hint="eastAsia" w:ascii="宋体" w:hAnsi="宋体" w:eastAsia="宋体" w:cs="宋体"/>
          <w:sz w:val="32"/>
          <w:szCs w:val="32"/>
        </w:rPr>
        <w:t>万元，支出决算为</w:t>
      </w:r>
      <w:r>
        <w:rPr>
          <w:rFonts w:ascii="宋体" w:hAnsi="宋体" w:eastAsia="宋体" w:cs="宋体"/>
          <w:sz w:val="32"/>
          <w:szCs w:val="32"/>
        </w:rPr>
        <w:t>352</w:t>
      </w:r>
      <w:r>
        <w:rPr>
          <w:rFonts w:hint="eastAsia" w:ascii="宋体" w:hAnsi="宋体" w:eastAsia="宋体" w:cs="宋体"/>
          <w:sz w:val="32"/>
          <w:szCs w:val="32"/>
        </w:rPr>
        <w:t>万元，完成年初预算的</w:t>
      </w:r>
      <w:r>
        <w:rPr>
          <w:rFonts w:ascii="宋体" w:hAnsi="宋体" w:eastAsia="宋体" w:cs="宋体"/>
          <w:sz w:val="32"/>
          <w:szCs w:val="32"/>
        </w:rPr>
        <w:t>0%</w:t>
      </w:r>
      <w:r>
        <w:rPr>
          <w:rFonts w:hint="eastAsia" w:ascii="宋体" w:hAnsi="宋体" w:eastAsia="宋体" w:cs="宋体"/>
          <w:sz w:val="32"/>
          <w:szCs w:val="32"/>
        </w:rPr>
        <w:t>，决算数大于年初预算数的主要原因是：创国卫新建市场项目工程款增加预算外资金。</w:t>
      </w:r>
    </w:p>
    <w:p>
      <w:pPr>
        <w:pStyle w:val="13"/>
        <w:ind w:firstLine="800" w:firstLineChars="250"/>
        <w:rPr>
          <w:rFonts w:ascii="宋体" w:hAnsi="宋体" w:eastAsia="宋体" w:cs="Times New Roman"/>
          <w:sz w:val="32"/>
          <w:szCs w:val="32"/>
        </w:rPr>
      </w:pPr>
      <w:r>
        <w:rPr>
          <w:rFonts w:hint="eastAsia" w:ascii="宋体" w:hAnsi="宋体" w:eastAsia="宋体" w:cs="宋体"/>
          <w:i/>
          <w:iCs/>
          <w:color w:val="FF0000"/>
          <w:sz w:val="32"/>
          <w:szCs w:val="32"/>
        </w:rPr>
        <w:t>（可根据实际情况进行增减</w:t>
      </w:r>
      <w:r>
        <w:rPr>
          <w:rFonts w:ascii="宋体" w:hAnsi="宋体" w:eastAsia="宋体" w:cs="宋体"/>
          <w:i/>
          <w:iCs/>
          <w:color w:val="FF0000"/>
          <w:sz w:val="32"/>
          <w:szCs w:val="32"/>
        </w:rPr>
        <w:t>,</w:t>
      </w:r>
      <w:r>
        <w:rPr>
          <w:rFonts w:hint="eastAsia" w:ascii="宋体" w:hAnsi="宋体" w:eastAsia="宋体" w:cs="宋体"/>
          <w:i/>
          <w:iCs/>
          <w:color w:val="FF0000"/>
          <w:sz w:val="32"/>
          <w:szCs w:val="32"/>
        </w:rPr>
        <w:t>要求到项级科目）</w:t>
      </w:r>
    </w:p>
    <w:p>
      <w:pPr>
        <w:pStyle w:val="13"/>
        <w:rPr>
          <w:rFonts w:hAnsi="黑体" w:cs="Times New Roman"/>
          <w:b/>
          <w:bCs/>
          <w:sz w:val="32"/>
          <w:szCs w:val="32"/>
        </w:rPr>
      </w:pPr>
      <w:r>
        <w:rPr>
          <w:rFonts w:hint="eastAsia" w:hAnsi="黑体"/>
          <w:b/>
          <w:bCs/>
          <w:sz w:val="32"/>
          <w:szCs w:val="32"/>
        </w:rPr>
        <w:t>六、一般公共预算财政拨款基本支出决算情况说明</w:t>
      </w:r>
    </w:p>
    <w:p>
      <w:pPr>
        <w:pStyle w:val="13"/>
        <w:ind w:firstLine="640" w:firstLineChars="200"/>
        <w:rPr>
          <w:rFonts w:ascii="宋体" w:hAnsi="宋体" w:eastAsia="宋体" w:cs="Times New Roman"/>
          <w:i/>
          <w:iCs/>
          <w:color w:val="FF0000"/>
          <w:sz w:val="32"/>
          <w:szCs w:val="32"/>
        </w:rPr>
      </w:pPr>
      <w:r>
        <w:rPr>
          <w:rFonts w:ascii="宋体" w:hAnsi="宋体" w:eastAsia="宋体" w:cs="宋体"/>
          <w:sz w:val="32"/>
          <w:szCs w:val="32"/>
        </w:rPr>
        <w:t>2021</w:t>
      </w:r>
      <w:r>
        <w:rPr>
          <w:rFonts w:hint="eastAsia" w:ascii="宋体" w:hAnsi="宋体" w:eastAsia="宋体" w:cs="宋体"/>
          <w:sz w:val="32"/>
          <w:szCs w:val="32"/>
        </w:rPr>
        <w:t>年度财政拨款基本支出</w:t>
      </w:r>
      <w:r>
        <w:rPr>
          <w:rFonts w:ascii="宋体" w:hAnsi="宋体" w:eastAsia="宋体" w:cs="宋体"/>
          <w:sz w:val="32"/>
          <w:szCs w:val="32"/>
        </w:rPr>
        <w:t>913.82</w:t>
      </w:r>
      <w:r>
        <w:rPr>
          <w:rFonts w:hint="eastAsia" w:ascii="宋体" w:hAnsi="宋体" w:eastAsia="宋体" w:cs="宋体"/>
          <w:sz w:val="32"/>
          <w:szCs w:val="32"/>
        </w:rPr>
        <w:t>万元，其中：人员经费</w:t>
      </w:r>
      <w:r>
        <w:rPr>
          <w:rFonts w:ascii="宋体" w:hAnsi="宋体" w:eastAsia="宋体" w:cs="宋体"/>
          <w:sz w:val="32"/>
          <w:szCs w:val="32"/>
        </w:rPr>
        <w:t>651.92</w:t>
      </w:r>
      <w:r>
        <w:rPr>
          <w:rFonts w:hint="eastAsia" w:ascii="宋体" w:hAnsi="宋体" w:eastAsia="宋体" w:cs="宋体"/>
          <w:sz w:val="32"/>
          <w:szCs w:val="32"/>
        </w:rPr>
        <w:t>万元，占基本支出的</w:t>
      </w:r>
      <w:r>
        <w:rPr>
          <w:rFonts w:ascii="宋体" w:hAnsi="宋体" w:eastAsia="宋体" w:cs="宋体"/>
          <w:sz w:val="32"/>
          <w:szCs w:val="32"/>
        </w:rPr>
        <w:t>71%,</w:t>
      </w:r>
      <w:r>
        <w:rPr>
          <w:rFonts w:hint="eastAsia" w:ascii="宋体" w:hAnsi="宋体" w:eastAsia="宋体" w:cs="宋体"/>
          <w:sz w:val="32"/>
          <w:szCs w:val="32"/>
        </w:rPr>
        <w:t>主要包括基本工资、津贴补贴、奖金、伙食补助费、养老保险、职业年金、职工医疗保险、住房公积金等；公用经费</w:t>
      </w:r>
      <w:r>
        <w:rPr>
          <w:rFonts w:ascii="宋体" w:hAnsi="宋体" w:eastAsia="宋体" w:cs="宋体"/>
          <w:sz w:val="32"/>
          <w:szCs w:val="32"/>
        </w:rPr>
        <w:t>261.90</w:t>
      </w:r>
      <w:r>
        <w:rPr>
          <w:rFonts w:hint="eastAsia" w:ascii="宋体" w:hAnsi="宋体" w:eastAsia="宋体" w:cs="宋体"/>
          <w:sz w:val="32"/>
          <w:szCs w:val="32"/>
        </w:rPr>
        <w:t>万元，占基本支出的</w:t>
      </w:r>
      <w:r>
        <w:rPr>
          <w:rFonts w:ascii="宋体" w:hAnsi="宋体" w:eastAsia="宋体" w:cs="宋体"/>
          <w:sz w:val="32"/>
          <w:szCs w:val="32"/>
        </w:rPr>
        <w:t>29%</w:t>
      </w:r>
      <w:r>
        <w:rPr>
          <w:rFonts w:hint="eastAsia" w:ascii="宋体" w:hAnsi="宋体" w:eastAsia="宋体" w:cs="宋体"/>
          <w:sz w:val="32"/>
          <w:szCs w:val="32"/>
        </w:rPr>
        <w:t>，主要包括办公费、印刷费、咨询费、手续费，水费、电费、物业费、维修（护）费、公务接待费、劳务费、工会经费、其他商品和服务支出等。</w:t>
      </w:r>
    </w:p>
    <w:p>
      <w:pPr>
        <w:pStyle w:val="13"/>
        <w:rPr>
          <w:rFonts w:hAnsi="黑体" w:cs="Times New Roman"/>
          <w:b/>
          <w:bCs/>
          <w:sz w:val="32"/>
          <w:szCs w:val="32"/>
        </w:rPr>
      </w:pPr>
      <w:r>
        <w:rPr>
          <w:rFonts w:hint="eastAsia" w:hAnsi="黑体"/>
          <w:b/>
          <w:bCs/>
          <w:sz w:val="32"/>
          <w:szCs w:val="32"/>
        </w:rPr>
        <w:t>七、一般公共预算财政拨款“三公”经费支出决算情况说明</w:t>
      </w:r>
    </w:p>
    <w:p>
      <w:pPr>
        <w:pStyle w:val="13"/>
        <w:ind w:firstLine="640" w:firstLineChars="200"/>
        <w:rPr>
          <w:rFonts w:ascii="宋体" w:hAnsi="宋体" w:eastAsia="宋体" w:cs="Times New Roman"/>
          <w:b/>
          <w:bCs/>
          <w:sz w:val="32"/>
          <w:szCs w:val="32"/>
        </w:rPr>
      </w:pPr>
      <w:r>
        <w:rPr>
          <w:rFonts w:hint="eastAsia" w:ascii="宋体" w:hAnsi="宋体" w:eastAsia="宋体" w:cs="宋体"/>
          <w:b/>
          <w:bCs/>
          <w:sz w:val="32"/>
          <w:szCs w:val="32"/>
        </w:rPr>
        <w:t>（一）“三公”经费财政拨款支出决算总体情况说明</w:t>
      </w:r>
    </w:p>
    <w:p>
      <w:pPr>
        <w:pStyle w:val="13"/>
        <w:ind w:firstLine="800" w:firstLineChars="250"/>
        <w:rPr>
          <w:rFonts w:ascii="宋体" w:hAnsi="宋体" w:eastAsia="宋体" w:cs="Times New Roman"/>
          <w:sz w:val="32"/>
          <w:szCs w:val="32"/>
        </w:rPr>
      </w:pPr>
      <w:r>
        <w:rPr>
          <w:rFonts w:ascii="宋体" w:hAnsi="宋体" w:eastAsia="宋体" w:cs="宋体"/>
          <w:sz w:val="32"/>
          <w:szCs w:val="32"/>
        </w:rPr>
        <w:t>2021</w:t>
      </w:r>
      <w:r>
        <w:rPr>
          <w:rFonts w:hint="eastAsia" w:ascii="宋体" w:hAnsi="宋体" w:eastAsia="宋体" w:cs="宋体"/>
          <w:sz w:val="32"/>
          <w:szCs w:val="32"/>
        </w:rPr>
        <w:t>年度“三公”经费财政拨款支出预算为</w:t>
      </w:r>
      <w:r>
        <w:rPr>
          <w:rFonts w:ascii="宋体" w:hAnsi="宋体" w:eastAsia="宋体" w:cs="宋体"/>
          <w:sz w:val="32"/>
          <w:szCs w:val="32"/>
        </w:rPr>
        <w:t>5</w:t>
      </w:r>
      <w:r>
        <w:rPr>
          <w:rFonts w:hint="eastAsia" w:ascii="宋体" w:hAnsi="宋体" w:eastAsia="宋体" w:cs="宋体"/>
          <w:sz w:val="32"/>
          <w:szCs w:val="32"/>
        </w:rPr>
        <w:t>万元，支出决算为</w:t>
      </w:r>
      <w:r>
        <w:rPr>
          <w:rFonts w:ascii="宋体" w:hAnsi="宋体" w:eastAsia="宋体" w:cs="宋体"/>
          <w:sz w:val="32"/>
          <w:szCs w:val="32"/>
        </w:rPr>
        <w:t>2</w:t>
      </w:r>
      <w:r>
        <w:rPr>
          <w:rFonts w:hint="eastAsia" w:ascii="宋体" w:hAnsi="宋体" w:eastAsia="宋体" w:cs="宋体"/>
          <w:sz w:val="32"/>
          <w:szCs w:val="32"/>
        </w:rPr>
        <w:t>万元，完成预算的</w:t>
      </w:r>
      <w:r>
        <w:rPr>
          <w:rFonts w:ascii="宋体" w:hAnsi="宋体" w:eastAsia="宋体" w:cs="宋体"/>
          <w:sz w:val="32"/>
          <w:szCs w:val="32"/>
        </w:rPr>
        <w:t>40%</w:t>
      </w:r>
      <w:r>
        <w:rPr>
          <w:rFonts w:hint="eastAsia" w:ascii="宋体" w:hAnsi="宋体" w:eastAsia="宋体" w:cs="宋体"/>
          <w:sz w:val="32"/>
          <w:szCs w:val="32"/>
        </w:rPr>
        <w:t>，其中：</w:t>
      </w:r>
    </w:p>
    <w:p>
      <w:pPr>
        <w:pStyle w:val="13"/>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eastAsia="zh-CN"/>
        </w:rPr>
        <w:t>０</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eastAsia="zh-CN"/>
        </w:rPr>
        <w:t>０</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val="en-US" w:eastAsia="zh-CN"/>
        </w:rPr>
        <w:t>，2021年我单位未开展因公出国（境）活动</w:t>
      </w:r>
      <w:r>
        <w:rPr>
          <w:rFonts w:hint="eastAsia" w:asciiTheme="minorEastAsia" w:hAnsiTheme="minorEastAsia" w:eastAsiaTheme="minorEastAsia"/>
          <w:sz w:val="32"/>
          <w:szCs w:val="32"/>
        </w:rPr>
        <w:t>。</w:t>
      </w:r>
    </w:p>
    <w:p>
      <w:pPr>
        <w:pStyle w:val="13"/>
        <w:ind w:firstLine="800" w:firstLineChars="250"/>
        <w:rPr>
          <w:rFonts w:hint="eastAsia" w:ascii="宋体" w:hAnsi="宋体" w:eastAsia="宋体" w:cs="Times New Roman"/>
          <w:sz w:val="32"/>
          <w:szCs w:val="32"/>
          <w:lang w:eastAsia="zh-CN"/>
        </w:rPr>
      </w:pPr>
      <w:r>
        <w:rPr>
          <w:rFonts w:hint="eastAsia" w:ascii="宋体" w:hAnsi="宋体" w:eastAsia="宋体" w:cs="宋体"/>
          <w:sz w:val="32"/>
          <w:szCs w:val="32"/>
        </w:rPr>
        <w:t>公务接待费支出预算为</w:t>
      </w:r>
      <w:r>
        <w:rPr>
          <w:rFonts w:ascii="宋体" w:hAnsi="宋体" w:eastAsia="宋体" w:cs="宋体"/>
          <w:sz w:val="32"/>
          <w:szCs w:val="32"/>
        </w:rPr>
        <w:t>5</w:t>
      </w:r>
      <w:r>
        <w:rPr>
          <w:rFonts w:hint="eastAsia" w:ascii="宋体" w:hAnsi="宋体" w:eastAsia="宋体" w:cs="宋体"/>
          <w:sz w:val="32"/>
          <w:szCs w:val="32"/>
        </w:rPr>
        <w:t>万元，支出决算为</w:t>
      </w:r>
      <w:r>
        <w:rPr>
          <w:rFonts w:ascii="宋体" w:hAnsi="宋体" w:eastAsia="宋体" w:cs="宋体"/>
          <w:sz w:val="32"/>
          <w:szCs w:val="32"/>
        </w:rPr>
        <w:t>2</w:t>
      </w:r>
      <w:r>
        <w:rPr>
          <w:rFonts w:hint="eastAsia" w:ascii="宋体" w:hAnsi="宋体" w:eastAsia="宋体" w:cs="宋体"/>
          <w:sz w:val="32"/>
          <w:szCs w:val="32"/>
        </w:rPr>
        <w:t>万元，完成预算的</w:t>
      </w:r>
      <w:r>
        <w:rPr>
          <w:rFonts w:ascii="宋体" w:hAnsi="宋体" w:eastAsia="宋体" w:cs="宋体"/>
          <w:sz w:val="32"/>
          <w:szCs w:val="32"/>
        </w:rPr>
        <w:t>40%</w:t>
      </w:r>
      <w:r>
        <w:rPr>
          <w:rFonts w:hint="eastAsia" w:ascii="宋体" w:hAnsi="宋体" w:eastAsia="宋体" w:cs="宋体"/>
          <w:sz w:val="32"/>
          <w:szCs w:val="32"/>
        </w:rPr>
        <w:t>，与上年相比减少</w:t>
      </w:r>
      <w:r>
        <w:rPr>
          <w:rFonts w:ascii="宋体" w:hAnsi="宋体" w:eastAsia="宋体" w:cs="宋体"/>
          <w:sz w:val="32"/>
          <w:szCs w:val="32"/>
        </w:rPr>
        <w:t>0.09</w:t>
      </w:r>
      <w:r>
        <w:rPr>
          <w:rFonts w:hint="eastAsia" w:ascii="宋体" w:hAnsi="宋体" w:eastAsia="宋体" w:cs="宋体"/>
          <w:sz w:val="32"/>
          <w:szCs w:val="32"/>
        </w:rPr>
        <w:t>万元，减少</w:t>
      </w:r>
      <w:r>
        <w:rPr>
          <w:rFonts w:ascii="宋体" w:hAnsi="宋体" w:eastAsia="宋体" w:cs="宋体"/>
          <w:sz w:val="32"/>
          <w:szCs w:val="32"/>
        </w:rPr>
        <w:t>0.05%</w:t>
      </w:r>
      <w:r>
        <w:rPr>
          <w:rFonts w:hint="eastAsia" w:ascii="宋体" w:hAnsi="宋体" w:eastAsia="宋体" w:cs="宋体"/>
          <w:sz w:val="32"/>
          <w:szCs w:val="32"/>
          <w:lang w:eastAsia="zh-CN"/>
        </w:rPr>
        <w:t>，主要原因是单位厉行节约。</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w:t>
      </w:r>
      <w:r>
        <w:rPr>
          <w:rFonts w:hint="eastAsia" w:asciiTheme="minorEastAsia" w:hAnsiTheme="minorEastAsia" w:eastAsiaTheme="minorEastAsia"/>
          <w:sz w:val="32"/>
          <w:szCs w:val="32"/>
          <w:lang w:eastAsia="zh-CN"/>
        </w:rPr>
        <w:t>支出预算为</w:t>
      </w:r>
      <w:r>
        <w:rPr>
          <w:rFonts w:hint="eastAsia" w:asciiTheme="minorEastAsia" w:hAnsiTheme="minorEastAsia" w:eastAsiaTheme="minorEastAsia"/>
          <w:sz w:val="32"/>
          <w:szCs w:val="32"/>
          <w:lang w:val="en-US" w:eastAsia="zh-CN"/>
        </w:rPr>
        <w:t>0万元，支出决算为0万元，</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val="en-US" w:eastAsia="zh-CN"/>
        </w:rPr>
        <w:t>，本年无公务用车购置预算。</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w:t>
      </w:r>
      <w:r>
        <w:rPr>
          <w:rFonts w:hint="eastAsia" w:asciiTheme="minorEastAsia" w:hAnsiTheme="minorEastAsia" w:eastAsiaTheme="minorEastAsia"/>
          <w:sz w:val="32"/>
          <w:szCs w:val="32"/>
          <w:lang w:val="en-US" w:eastAsia="zh-CN"/>
        </w:rPr>
        <w:t>当年</w:t>
      </w:r>
      <w:r>
        <w:rPr>
          <w:rFonts w:hint="eastAsia" w:asciiTheme="minorEastAsia" w:hAnsiTheme="minorEastAsia" w:eastAsiaTheme="minorEastAsia"/>
          <w:sz w:val="32"/>
          <w:szCs w:val="32"/>
        </w:rPr>
        <w:t>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当年</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val="en-US" w:eastAsia="zh-CN"/>
        </w:rPr>
        <w:t>，本年本单位无公务用车需要维护。</w:t>
      </w:r>
    </w:p>
    <w:p>
      <w:pPr>
        <w:pStyle w:val="13"/>
        <w:ind w:firstLine="640" w:firstLineChars="200"/>
        <w:rPr>
          <w:rFonts w:ascii="宋体" w:hAnsi="宋体" w:eastAsia="宋体" w:cs="Times New Roman"/>
          <w:b/>
          <w:bCs/>
          <w:sz w:val="32"/>
          <w:szCs w:val="32"/>
        </w:rPr>
      </w:pPr>
      <w:bookmarkStart w:id="3" w:name="_GoBack"/>
      <w:bookmarkEnd w:id="3"/>
      <w:r>
        <w:rPr>
          <w:rFonts w:hint="eastAsia" w:ascii="宋体" w:hAnsi="宋体" w:eastAsia="宋体" w:cs="宋体"/>
          <w:b/>
          <w:bCs/>
          <w:sz w:val="32"/>
          <w:szCs w:val="32"/>
        </w:rPr>
        <w:t>（二）“三公”经费财政拨款支出决算具体情况说明</w:t>
      </w:r>
    </w:p>
    <w:p>
      <w:pPr>
        <w:pStyle w:val="13"/>
        <w:ind w:firstLine="640" w:firstLineChars="200"/>
        <w:rPr>
          <w:rFonts w:ascii="宋体" w:hAnsi="宋体" w:eastAsia="宋体" w:cs="Times New Roman"/>
          <w:sz w:val="32"/>
          <w:szCs w:val="32"/>
        </w:rPr>
      </w:pPr>
      <w:r>
        <w:rPr>
          <w:rFonts w:ascii="宋体" w:hAnsi="宋体" w:eastAsia="宋体" w:cs="宋体"/>
          <w:sz w:val="32"/>
          <w:szCs w:val="32"/>
        </w:rPr>
        <w:t>2021</w:t>
      </w:r>
      <w:r>
        <w:rPr>
          <w:rFonts w:hint="eastAsia" w:ascii="宋体" w:hAnsi="宋体" w:eastAsia="宋体" w:cs="宋体"/>
          <w:sz w:val="32"/>
          <w:szCs w:val="32"/>
        </w:rPr>
        <w:t>年度“三公”经费财政拨款支出决算中，公务接待费支出决算</w:t>
      </w:r>
      <w:r>
        <w:rPr>
          <w:rFonts w:ascii="宋体" w:hAnsi="宋体" w:eastAsia="宋体" w:cs="宋体"/>
          <w:sz w:val="32"/>
          <w:szCs w:val="32"/>
        </w:rPr>
        <w:t>2</w:t>
      </w:r>
      <w:r>
        <w:rPr>
          <w:rFonts w:hint="eastAsia" w:ascii="宋体" w:hAnsi="宋体" w:eastAsia="宋体" w:cs="宋体"/>
          <w:sz w:val="32"/>
          <w:szCs w:val="32"/>
        </w:rPr>
        <w:t>万元，占</w:t>
      </w:r>
      <w:r>
        <w:rPr>
          <w:rFonts w:ascii="宋体" w:hAnsi="宋体" w:eastAsia="宋体" w:cs="宋体"/>
          <w:sz w:val="32"/>
          <w:szCs w:val="32"/>
        </w:rPr>
        <w:t>100%,</w:t>
      </w:r>
      <w:r>
        <w:rPr>
          <w:rFonts w:hint="eastAsia" w:ascii="宋体" w:hAnsi="宋体" w:eastAsia="宋体" w:cs="宋体"/>
          <w:sz w:val="32"/>
          <w:szCs w:val="32"/>
        </w:rPr>
        <w:t>因公出国（境）费支出决算</w:t>
      </w:r>
      <w:r>
        <w:rPr>
          <w:rFonts w:ascii="宋体" w:hAnsi="宋体" w:eastAsia="宋体" w:cs="宋体"/>
          <w:sz w:val="32"/>
          <w:szCs w:val="32"/>
        </w:rPr>
        <w:t>0</w:t>
      </w:r>
      <w:r>
        <w:rPr>
          <w:rFonts w:hint="eastAsia" w:ascii="宋体" w:hAnsi="宋体" w:eastAsia="宋体" w:cs="宋体"/>
          <w:sz w:val="32"/>
          <w:szCs w:val="32"/>
        </w:rPr>
        <w:t>万元，占</w:t>
      </w:r>
      <w:r>
        <w:rPr>
          <w:rFonts w:ascii="宋体" w:hAnsi="宋体" w:eastAsia="宋体" w:cs="宋体"/>
          <w:sz w:val="32"/>
          <w:szCs w:val="32"/>
        </w:rPr>
        <w:t>0%,</w:t>
      </w:r>
      <w:r>
        <w:rPr>
          <w:rFonts w:hint="eastAsia" w:ascii="宋体" w:hAnsi="宋体" w:eastAsia="宋体" w:cs="宋体"/>
          <w:sz w:val="32"/>
          <w:szCs w:val="32"/>
        </w:rPr>
        <w:t>公务用车购置费及运行维护费支出决算</w:t>
      </w:r>
      <w:r>
        <w:rPr>
          <w:rFonts w:ascii="宋体" w:hAnsi="宋体" w:eastAsia="宋体" w:cs="宋体"/>
          <w:sz w:val="32"/>
          <w:szCs w:val="32"/>
        </w:rPr>
        <w:t>0</w:t>
      </w:r>
      <w:r>
        <w:rPr>
          <w:rFonts w:hint="eastAsia" w:ascii="宋体" w:hAnsi="宋体" w:eastAsia="宋体" w:cs="宋体"/>
          <w:sz w:val="32"/>
          <w:szCs w:val="32"/>
        </w:rPr>
        <w:t>万元，占</w:t>
      </w:r>
      <w:r>
        <w:rPr>
          <w:rFonts w:ascii="宋体" w:hAnsi="宋体" w:eastAsia="宋体" w:cs="宋体"/>
          <w:sz w:val="32"/>
          <w:szCs w:val="32"/>
        </w:rPr>
        <w:t>0%</w:t>
      </w:r>
      <w:r>
        <w:rPr>
          <w:rFonts w:hint="eastAsia" w:ascii="宋体" w:hAnsi="宋体" w:eastAsia="宋体" w:cs="宋体"/>
          <w:sz w:val="32"/>
          <w:szCs w:val="32"/>
        </w:rPr>
        <w:t>。其中：</w:t>
      </w:r>
    </w:p>
    <w:p>
      <w:pPr>
        <w:pStyle w:val="13"/>
        <w:ind w:firstLine="800" w:firstLineChars="250"/>
        <w:rPr>
          <w:rFonts w:ascii="宋体" w:hAnsi="宋体" w:eastAsia="宋体" w:cs="Times New Roman"/>
          <w:sz w:val="32"/>
          <w:szCs w:val="32"/>
        </w:rPr>
      </w:pPr>
      <w:r>
        <w:rPr>
          <w:rFonts w:ascii="宋体" w:hAnsi="宋体" w:eastAsia="宋体" w:cs="宋体"/>
          <w:sz w:val="32"/>
          <w:szCs w:val="32"/>
        </w:rPr>
        <w:t>1</w:t>
      </w:r>
      <w:r>
        <w:rPr>
          <w:rFonts w:hint="eastAsia" w:ascii="宋体" w:hAnsi="宋体" w:eastAsia="宋体" w:cs="宋体"/>
          <w:sz w:val="32"/>
          <w:szCs w:val="32"/>
        </w:rPr>
        <w:t>、因公出国（境）费支出决算为</w:t>
      </w:r>
      <w:r>
        <w:rPr>
          <w:rFonts w:ascii="宋体" w:hAnsi="宋体" w:eastAsia="宋体" w:cs="宋体"/>
          <w:sz w:val="32"/>
          <w:szCs w:val="32"/>
        </w:rPr>
        <w:t>0</w:t>
      </w:r>
      <w:r>
        <w:rPr>
          <w:rFonts w:hint="eastAsia" w:ascii="宋体" w:hAnsi="宋体" w:eastAsia="宋体" w:cs="宋体"/>
          <w:sz w:val="32"/>
          <w:szCs w:val="32"/>
        </w:rPr>
        <w:t>万元，</w:t>
      </w:r>
      <w:r>
        <w:rPr>
          <w:rFonts w:ascii="宋体" w:hAnsi="宋体" w:eastAsia="宋体" w:cs="宋体"/>
          <w:sz w:val="32"/>
          <w:szCs w:val="32"/>
        </w:rPr>
        <w:t>2021</w:t>
      </w:r>
      <w:r>
        <w:rPr>
          <w:rFonts w:hint="eastAsia" w:ascii="宋体" w:hAnsi="宋体" w:eastAsia="宋体" w:cs="宋体"/>
          <w:sz w:val="32"/>
          <w:szCs w:val="32"/>
        </w:rPr>
        <w:t>年度我单位未开展因公出国出（境）活动。</w:t>
      </w:r>
    </w:p>
    <w:p>
      <w:pPr>
        <w:pStyle w:val="13"/>
        <w:ind w:firstLine="800" w:firstLineChars="250"/>
        <w:rPr>
          <w:rFonts w:ascii="宋体" w:hAnsi="宋体" w:eastAsia="宋体" w:cs="Times New Roman"/>
          <w:sz w:val="32"/>
          <w:szCs w:val="32"/>
        </w:rPr>
      </w:pPr>
      <w:r>
        <w:rPr>
          <w:rFonts w:ascii="宋体" w:hAnsi="宋体" w:eastAsia="宋体" w:cs="宋体"/>
          <w:sz w:val="32"/>
          <w:szCs w:val="32"/>
        </w:rPr>
        <w:t>2</w:t>
      </w:r>
      <w:r>
        <w:rPr>
          <w:rFonts w:hint="eastAsia" w:ascii="宋体" w:hAnsi="宋体" w:eastAsia="宋体" w:cs="宋体"/>
          <w:sz w:val="32"/>
          <w:szCs w:val="32"/>
        </w:rPr>
        <w:t>、公务接待费支出决算为</w:t>
      </w:r>
      <w:r>
        <w:rPr>
          <w:rFonts w:ascii="宋体" w:hAnsi="宋体" w:eastAsia="宋体" w:cs="宋体"/>
          <w:sz w:val="32"/>
          <w:szCs w:val="32"/>
        </w:rPr>
        <w:t>2</w:t>
      </w:r>
      <w:r>
        <w:rPr>
          <w:rFonts w:hint="eastAsia" w:ascii="宋体" w:hAnsi="宋体" w:eastAsia="宋体" w:cs="宋体"/>
          <w:sz w:val="32"/>
          <w:szCs w:val="32"/>
        </w:rPr>
        <w:t>万元，全年共接待来访团组</w:t>
      </w:r>
      <w:r>
        <w:rPr>
          <w:rFonts w:ascii="宋体" w:hAnsi="宋体" w:eastAsia="宋体" w:cs="宋体"/>
          <w:sz w:val="32"/>
          <w:szCs w:val="32"/>
        </w:rPr>
        <w:t>21</w:t>
      </w:r>
      <w:r>
        <w:rPr>
          <w:rFonts w:hint="eastAsia" w:ascii="宋体" w:hAnsi="宋体" w:eastAsia="宋体" w:cs="宋体"/>
          <w:sz w:val="32"/>
          <w:szCs w:val="32"/>
        </w:rPr>
        <w:t>个、来宾</w:t>
      </w:r>
      <w:r>
        <w:rPr>
          <w:rFonts w:ascii="宋体" w:hAnsi="宋体" w:eastAsia="宋体" w:cs="宋体"/>
          <w:sz w:val="32"/>
          <w:szCs w:val="32"/>
        </w:rPr>
        <w:t>178</w:t>
      </w:r>
      <w:r>
        <w:rPr>
          <w:rFonts w:hint="eastAsia" w:ascii="宋体" w:hAnsi="宋体" w:eastAsia="宋体" w:cs="宋体"/>
          <w:sz w:val="32"/>
          <w:szCs w:val="32"/>
        </w:rPr>
        <w:t>人次，主要是周边县相关单位部门来我中心考察学习交流创国卫和市场规划建设等工作经验发生的接待支出。</w:t>
      </w:r>
    </w:p>
    <w:p>
      <w:pPr>
        <w:ind w:firstLine="800" w:firstLineChars="250"/>
        <w:rPr>
          <w:rFonts w:ascii="宋体" w:cs="Times New Roman"/>
          <w:color w:val="000000"/>
          <w:kern w:val="0"/>
          <w:sz w:val="32"/>
          <w:szCs w:val="32"/>
        </w:rPr>
      </w:pPr>
      <w:r>
        <w:rPr>
          <w:rFonts w:ascii="宋体" w:hAnsi="宋体" w:cs="宋体"/>
          <w:sz w:val="32"/>
          <w:szCs w:val="32"/>
        </w:rPr>
        <w:t>3</w:t>
      </w:r>
      <w:r>
        <w:rPr>
          <w:rFonts w:hint="eastAsia" w:ascii="宋体" w:hAnsi="宋体" w:cs="宋体"/>
          <w:sz w:val="32"/>
          <w:szCs w:val="32"/>
        </w:rPr>
        <w:t>、公务用车购置费及运行维护费支出决算为</w:t>
      </w:r>
      <w:r>
        <w:rPr>
          <w:rFonts w:ascii="宋体" w:cs="宋体"/>
          <w:sz w:val="32"/>
          <w:szCs w:val="32"/>
        </w:rPr>
        <w:t>0</w:t>
      </w:r>
      <w:r>
        <w:rPr>
          <w:rFonts w:hint="eastAsia" w:ascii="宋体" w:hAnsi="宋体" w:cs="宋体"/>
          <w:sz w:val="32"/>
          <w:szCs w:val="32"/>
        </w:rPr>
        <w:t>万元，其中：公务用车购置费</w:t>
      </w:r>
      <w:r>
        <w:rPr>
          <w:rFonts w:ascii="宋体" w:cs="宋体"/>
          <w:sz w:val="32"/>
          <w:szCs w:val="32"/>
        </w:rPr>
        <w:t>0</w:t>
      </w:r>
      <w:r>
        <w:rPr>
          <w:rFonts w:hint="eastAsia" w:ascii="宋体" w:hAnsi="宋体" w:cs="宋体"/>
          <w:sz w:val="32"/>
          <w:szCs w:val="32"/>
        </w:rPr>
        <w:t>万元，公务用车购置</w:t>
      </w:r>
      <w:r>
        <w:rPr>
          <w:rFonts w:ascii="宋体" w:cs="宋体"/>
          <w:sz w:val="32"/>
          <w:szCs w:val="32"/>
        </w:rPr>
        <w:t>0</w:t>
      </w:r>
      <w:r>
        <w:rPr>
          <w:rFonts w:hint="eastAsia" w:ascii="宋体" w:hAnsi="宋体" w:cs="宋体"/>
          <w:sz w:val="32"/>
          <w:szCs w:val="32"/>
        </w:rPr>
        <w:t>辆。公务用车运行维护费</w:t>
      </w:r>
      <w:r>
        <w:rPr>
          <w:rFonts w:ascii="宋体" w:cs="宋体"/>
          <w:sz w:val="32"/>
          <w:szCs w:val="32"/>
        </w:rPr>
        <w:t>0</w:t>
      </w:r>
      <w:r>
        <w:rPr>
          <w:rFonts w:hint="eastAsia" w:ascii="宋体" w:hAnsi="宋体" w:cs="宋体"/>
          <w:sz w:val="32"/>
          <w:szCs w:val="32"/>
        </w:rPr>
        <w:t>万元，主要是公务用车运行维护支出，截止</w:t>
      </w:r>
      <w:r>
        <w:rPr>
          <w:rFonts w:ascii="宋体" w:hAnsi="宋体" w:cs="宋体"/>
          <w:sz w:val="32"/>
          <w:szCs w:val="32"/>
        </w:rPr>
        <w:t>2021</w:t>
      </w:r>
      <w:r>
        <w:rPr>
          <w:rFonts w:hint="eastAsia" w:ascii="宋体" w:hAnsi="宋体" w:cs="宋体"/>
          <w:sz w:val="32"/>
          <w:szCs w:val="32"/>
        </w:rPr>
        <w:t>年</w:t>
      </w:r>
      <w:r>
        <w:rPr>
          <w:rFonts w:ascii="宋体" w:hAnsi="宋体" w:cs="宋体"/>
          <w:sz w:val="32"/>
          <w:szCs w:val="32"/>
        </w:rPr>
        <w:t>12</w:t>
      </w:r>
      <w:r>
        <w:rPr>
          <w:rFonts w:hint="eastAsia" w:ascii="宋体" w:hAnsi="宋体" w:cs="宋体"/>
          <w:sz w:val="32"/>
          <w:szCs w:val="32"/>
        </w:rPr>
        <w:t>月</w:t>
      </w:r>
      <w:r>
        <w:rPr>
          <w:rFonts w:ascii="宋体" w:hAnsi="宋体" w:cs="宋体"/>
          <w:sz w:val="32"/>
          <w:szCs w:val="32"/>
        </w:rPr>
        <w:t>31</w:t>
      </w:r>
      <w:r>
        <w:rPr>
          <w:rFonts w:hint="eastAsia" w:ascii="宋体" w:hAnsi="宋体" w:cs="宋体"/>
          <w:sz w:val="32"/>
          <w:szCs w:val="32"/>
        </w:rPr>
        <w:t>日，我单位开支财政拨款的公务用车保有量为</w:t>
      </w:r>
      <w:r>
        <w:rPr>
          <w:rFonts w:ascii="宋体" w:cs="宋体"/>
          <w:sz w:val="32"/>
          <w:szCs w:val="32"/>
        </w:rPr>
        <w:t>0</w:t>
      </w:r>
      <w:r>
        <w:rPr>
          <w:rFonts w:hint="eastAsia" w:ascii="宋体" w:hAnsi="宋体" w:cs="宋体"/>
          <w:sz w:val="32"/>
          <w:szCs w:val="32"/>
        </w:rPr>
        <w:t>辆。</w:t>
      </w:r>
    </w:p>
    <w:p>
      <w:pPr>
        <w:pStyle w:val="13"/>
        <w:rPr>
          <w:rFonts w:hAnsi="黑体" w:cs="Times New Roman"/>
          <w:b/>
          <w:bCs/>
          <w:sz w:val="32"/>
          <w:szCs w:val="32"/>
        </w:rPr>
      </w:pPr>
      <w:r>
        <w:rPr>
          <w:rFonts w:hint="eastAsia" w:hAnsi="黑体"/>
          <w:b/>
          <w:bCs/>
          <w:sz w:val="32"/>
          <w:szCs w:val="32"/>
        </w:rPr>
        <w:t>八、政府性基金预算收入支出决算情况</w:t>
      </w:r>
    </w:p>
    <w:p>
      <w:pPr>
        <w:pStyle w:val="13"/>
        <w:rPr>
          <w:rFonts w:ascii="宋体" w:hAnsi="宋体" w:eastAsia="宋体" w:cs="Times New Roman"/>
          <w:sz w:val="32"/>
          <w:szCs w:val="32"/>
        </w:rPr>
      </w:pPr>
      <w:r>
        <w:rPr>
          <w:rFonts w:ascii="宋体" w:hAnsi="宋体" w:eastAsia="宋体" w:cs="宋体"/>
          <w:sz w:val="32"/>
          <w:szCs w:val="32"/>
        </w:rPr>
        <w:t xml:space="preserve">     2021</w:t>
      </w:r>
      <w:r>
        <w:rPr>
          <w:rFonts w:hint="eastAsia" w:ascii="宋体" w:hAnsi="宋体" w:eastAsia="宋体" w:cs="宋体"/>
          <w:sz w:val="32"/>
          <w:szCs w:val="32"/>
        </w:rPr>
        <w:t>年度政府性基金预算财政拨款收入</w:t>
      </w:r>
      <w:r>
        <w:rPr>
          <w:rFonts w:ascii="宋体" w:hAnsi="宋体" w:eastAsia="宋体" w:cs="宋体"/>
          <w:sz w:val="32"/>
          <w:szCs w:val="32"/>
        </w:rPr>
        <w:t>0</w:t>
      </w:r>
      <w:r>
        <w:rPr>
          <w:rFonts w:hint="eastAsia" w:ascii="宋体" w:hAnsi="宋体" w:eastAsia="宋体" w:cs="宋体"/>
          <w:sz w:val="32"/>
          <w:szCs w:val="32"/>
        </w:rPr>
        <w:t>万元；年初结转和结余</w:t>
      </w:r>
      <w:r>
        <w:rPr>
          <w:rFonts w:ascii="宋体" w:hAnsi="宋体" w:eastAsia="宋体" w:cs="宋体"/>
          <w:sz w:val="32"/>
          <w:szCs w:val="32"/>
        </w:rPr>
        <w:t>0</w:t>
      </w:r>
      <w:r>
        <w:rPr>
          <w:rFonts w:hint="eastAsia" w:ascii="宋体" w:hAnsi="宋体" w:eastAsia="宋体" w:cs="宋体"/>
          <w:sz w:val="32"/>
          <w:szCs w:val="32"/>
        </w:rPr>
        <w:t>万元；支出</w:t>
      </w:r>
      <w:r>
        <w:rPr>
          <w:rFonts w:ascii="宋体" w:hAnsi="宋体" w:eastAsia="宋体" w:cs="宋体"/>
          <w:sz w:val="32"/>
          <w:szCs w:val="32"/>
        </w:rPr>
        <w:t>0</w:t>
      </w:r>
      <w:r>
        <w:rPr>
          <w:rFonts w:hint="eastAsia" w:ascii="宋体" w:hAnsi="宋体" w:eastAsia="宋体" w:cs="宋体"/>
          <w:sz w:val="32"/>
          <w:szCs w:val="32"/>
        </w:rPr>
        <w:t>万元，其中基本支出</w:t>
      </w:r>
      <w:r>
        <w:rPr>
          <w:rFonts w:ascii="宋体" w:hAnsi="宋体" w:eastAsia="宋体" w:cs="宋体"/>
          <w:sz w:val="32"/>
          <w:szCs w:val="32"/>
        </w:rPr>
        <w:t>0</w:t>
      </w:r>
      <w:r>
        <w:rPr>
          <w:rFonts w:hint="eastAsia" w:ascii="宋体" w:hAnsi="宋体" w:eastAsia="宋体" w:cs="宋体"/>
          <w:sz w:val="32"/>
          <w:szCs w:val="32"/>
        </w:rPr>
        <w:t>万元，项目支出</w:t>
      </w:r>
      <w:r>
        <w:rPr>
          <w:rFonts w:ascii="宋体" w:hAnsi="宋体" w:eastAsia="宋体" w:cs="宋体"/>
          <w:sz w:val="32"/>
          <w:szCs w:val="32"/>
        </w:rPr>
        <w:t>0</w:t>
      </w:r>
      <w:r>
        <w:rPr>
          <w:rFonts w:hint="eastAsia" w:ascii="宋体" w:hAnsi="宋体" w:eastAsia="宋体" w:cs="宋体"/>
          <w:sz w:val="32"/>
          <w:szCs w:val="32"/>
        </w:rPr>
        <w:t>万元；年末结转和结余</w:t>
      </w:r>
      <w:r>
        <w:rPr>
          <w:rFonts w:ascii="宋体" w:hAnsi="宋体" w:eastAsia="宋体" w:cs="宋体"/>
          <w:sz w:val="32"/>
          <w:szCs w:val="32"/>
        </w:rPr>
        <w:t>0</w:t>
      </w:r>
      <w:r>
        <w:rPr>
          <w:rFonts w:hint="eastAsia" w:ascii="宋体" w:hAnsi="宋体" w:eastAsia="宋体" w:cs="宋体"/>
          <w:sz w:val="32"/>
          <w:szCs w:val="32"/>
        </w:rPr>
        <w:t>万元。具体情况如下：</w:t>
      </w:r>
    </w:p>
    <w:p>
      <w:pPr>
        <w:pStyle w:val="13"/>
        <w:ind w:firstLine="640" w:firstLineChars="200"/>
        <w:rPr>
          <w:rFonts w:ascii="宋体" w:hAnsi="宋体" w:eastAsia="宋体" w:cs="Times New Roman"/>
          <w:sz w:val="32"/>
          <w:szCs w:val="32"/>
        </w:rPr>
      </w:pPr>
      <w:r>
        <w:rPr>
          <w:rFonts w:hint="eastAsia" w:ascii="宋体" w:hAnsi="宋体" w:eastAsia="宋体" w:cs="宋体"/>
          <w:sz w:val="32"/>
          <w:szCs w:val="32"/>
        </w:rPr>
        <w:t>本单位无政府性基金预算财政拨款收入。</w:t>
      </w:r>
    </w:p>
    <w:p>
      <w:pPr>
        <w:pStyle w:val="13"/>
        <w:rPr>
          <w:rFonts w:hAnsi="黑体" w:cs="Times New Roman"/>
          <w:b/>
          <w:bCs/>
          <w:sz w:val="32"/>
          <w:szCs w:val="32"/>
        </w:rPr>
      </w:pPr>
      <w:r>
        <w:rPr>
          <w:rFonts w:hint="eastAsia" w:hAnsi="黑体"/>
          <w:b/>
          <w:bCs/>
          <w:sz w:val="32"/>
          <w:szCs w:val="32"/>
        </w:rPr>
        <w:t>九、机关运行经费支出说明</w:t>
      </w:r>
    </w:p>
    <w:p>
      <w:pPr>
        <w:pStyle w:val="13"/>
        <w:ind w:firstLine="640" w:firstLineChars="200"/>
        <w:rPr>
          <w:rFonts w:ascii="宋体" w:hAnsi="宋体" w:eastAsia="宋体" w:cs="Times New Roman"/>
          <w:sz w:val="32"/>
          <w:szCs w:val="32"/>
        </w:rPr>
      </w:pPr>
      <w:r>
        <w:rPr>
          <w:rFonts w:hint="eastAsia" w:ascii="宋体" w:hAnsi="宋体" w:eastAsia="宋体" w:cs="宋体"/>
          <w:sz w:val="32"/>
          <w:szCs w:val="32"/>
        </w:rPr>
        <w:t>本部门</w:t>
      </w:r>
      <w:r>
        <w:rPr>
          <w:rFonts w:ascii="宋体" w:hAnsi="宋体" w:eastAsia="宋体" w:cs="宋体"/>
          <w:sz w:val="32"/>
          <w:szCs w:val="32"/>
        </w:rPr>
        <w:t>2021</w:t>
      </w:r>
      <w:r>
        <w:rPr>
          <w:rFonts w:hint="eastAsia" w:ascii="宋体" w:hAnsi="宋体" w:eastAsia="宋体" w:cs="宋体"/>
          <w:sz w:val="32"/>
          <w:szCs w:val="32"/>
        </w:rPr>
        <w:t>年度机关运行经费支出</w:t>
      </w:r>
      <w:r>
        <w:rPr>
          <w:rFonts w:ascii="宋体" w:hAnsi="宋体" w:eastAsia="宋体" w:cs="宋体"/>
          <w:sz w:val="32"/>
          <w:szCs w:val="32"/>
        </w:rPr>
        <w:t>261.9</w:t>
      </w:r>
      <w:r>
        <w:rPr>
          <w:rFonts w:hint="eastAsia" w:ascii="宋体" w:hAnsi="宋体" w:eastAsia="宋体" w:cs="宋体"/>
          <w:sz w:val="32"/>
          <w:szCs w:val="32"/>
        </w:rPr>
        <w:t>万元，比上年决算数增加</w:t>
      </w:r>
      <w:r>
        <w:rPr>
          <w:rFonts w:ascii="宋体" w:hAnsi="宋体" w:eastAsia="宋体" w:cs="宋体"/>
          <w:sz w:val="32"/>
          <w:szCs w:val="32"/>
        </w:rPr>
        <w:t>72</w:t>
      </w:r>
      <w:r>
        <w:rPr>
          <w:rFonts w:hint="eastAsia" w:ascii="宋体" w:hAnsi="宋体" w:eastAsia="宋体" w:cs="宋体"/>
          <w:sz w:val="32"/>
          <w:szCs w:val="32"/>
        </w:rPr>
        <w:t>万元，增长</w:t>
      </w:r>
      <w:r>
        <w:rPr>
          <w:rFonts w:ascii="宋体" w:hAnsi="宋体" w:eastAsia="宋体" w:cs="宋体"/>
          <w:sz w:val="32"/>
          <w:szCs w:val="32"/>
        </w:rPr>
        <w:t>27%</w:t>
      </w:r>
      <w:r>
        <w:rPr>
          <w:rFonts w:hint="eastAsia" w:ascii="宋体" w:hAnsi="宋体" w:eastAsia="宋体" w:cs="宋体"/>
          <w:sz w:val="32"/>
          <w:szCs w:val="32"/>
        </w:rPr>
        <w:t>。主要原因是：创国卫期间市场内设施维修和改造费用增加。</w:t>
      </w:r>
    </w:p>
    <w:p>
      <w:pPr>
        <w:pStyle w:val="13"/>
        <w:rPr>
          <w:rFonts w:hAnsi="黑体" w:cs="Times New Roman"/>
          <w:b/>
          <w:bCs/>
          <w:sz w:val="32"/>
          <w:szCs w:val="32"/>
        </w:rPr>
      </w:pPr>
      <w:r>
        <w:rPr>
          <w:rFonts w:hint="eastAsia" w:hAnsi="黑体"/>
          <w:b/>
          <w:bCs/>
          <w:sz w:val="32"/>
          <w:szCs w:val="32"/>
        </w:rPr>
        <w:t>十、一般性支出情况说明</w:t>
      </w:r>
    </w:p>
    <w:p>
      <w:pPr>
        <w:pStyle w:val="13"/>
        <w:ind w:firstLine="640" w:firstLineChars="200"/>
        <w:rPr>
          <w:rFonts w:ascii="宋体" w:hAnsi="宋体" w:eastAsia="宋体" w:cs="Times New Roman"/>
          <w:sz w:val="32"/>
          <w:szCs w:val="32"/>
        </w:rPr>
      </w:pPr>
      <w:r>
        <w:rPr>
          <w:rFonts w:ascii="宋体" w:hAnsi="宋体" w:eastAsia="宋体" w:cs="宋体"/>
          <w:sz w:val="32"/>
          <w:szCs w:val="32"/>
        </w:rPr>
        <w:t>2021</w:t>
      </w:r>
      <w:r>
        <w:rPr>
          <w:rFonts w:hint="eastAsia" w:ascii="宋体" w:hAnsi="宋体" w:eastAsia="宋体" w:cs="宋体"/>
          <w:sz w:val="32"/>
          <w:szCs w:val="32"/>
        </w:rPr>
        <w:t>年本部门开支会议费</w:t>
      </w:r>
      <w:r>
        <w:rPr>
          <w:rFonts w:ascii="宋体" w:hAnsi="宋体" w:eastAsia="宋体" w:cs="宋体"/>
          <w:sz w:val="32"/>
          <w:szCs w:val="32"/>
        </w:rPr>
        <w:t>0</w:t>
      </w:r>
      <w:r>
        <w:rPr>
          <w:rFonts w:hint="eastAsia" w:ascii="宋体" w:hAnsi="宋体" w:eastAsia="宋体" w:cs="宋体"/>
          <w:sz w:val="32"/>
          <w:szCs w:val="32"/>
        </w:rPr>
        <w:t>万元，人数</w:t>
      </w:r>
      <w:r>
        <w:rPr>
          <w:rFonts w:ascii="宋体" w:hAnsi="宋体" w:eastAsia="宋体" w:cs="宋体"/>
          <w:sz w:val="32"/>
          <w:szCs w:val="32"/>
        </w:rPr>
        <w:t>0</w:t>
      </w:r>
      <w:r>
        <w:rPr>
          <w:rFonts w:hint="eastAsia" w:ascii="宋体" w:hAnsi="宋体" w:eastAsia="宋体" w:cs="宋体"/>
          <w:sz w:val="32"/>
          <w:szCs w:val="32"/>
        </w:rPr>
        <w:t>人；开支培训费</w:t>
      </w:r>
      <w:r>
        <w:rPr>
          <w:rFonts w:ascii="宋体" w:hAnsi="宋体" w:eastAsia="宋体" w:cs="宋体"/>
          <w:sz w:val="32"/>
          <w:szCs w:val="32"/>
        </w:rPr>
        <w:t>0.59</w:t>
      </w:r>
      <w:r>
        <w:rPr>
          <w:rFonts w:hint="eastAsia" w:ascii="宋体" w:hAnsi="宋体" w:eastAsia="宋体" w:cs="宋体"/>
          <w:sz w:val="32"/>
          <w:szCs w:val="32"/>
        </w:rPr>
        <w:t>万元，用于开展事业单位工作人员在岗培训，人数</w:t>
      </w:r>
      <w:r>
        <w:rPr>
          <w:rFonts w:ascii="宋体" w:hAnsi="宋体" w:eastAsia="宋体" w:cs="宋体"/>
          <w:sz w:val="32"/>
          <w:szCs w:val="32"/>
        </w:rPr>
        <w:t>67</w:t>
      </w:r>
      <w:r>
        <w:rPr>
          <w:rFonts w:hint="eastAsia" w:ascii="宋体" w:hAnsi="宋体" w:eastAsia="宋体" w:cs="宋体"/>
          <w:sz w:val="32"/>
          <w:szCs w:val="32"/>
        </w:rPr>
        <w:t>人，内容为公共科目和专业科目（会计专业）；举办……等节庆、晚会、论坛、赛事活动，开支</w:t>
      </w:r>
      <w:r>
        <w:rPr>
          <w:rFonts w:ascii="宋体" w:hAnsi="宋体" w:eastAsia="宋体" w:cs="宋体"/>
          <w:sz w:val="32"/>
          <w:szCs w:val="32"/>
        </w:rPr>
        <w:t>0</w:t>
      </w:r>
      <w:r>
        <w:rPr>
          <w:rFonts w:hint="eastAsia" w:ascii="宋体" w:hAnsi="宋体" w:eastAsia="宋体" w:cs="宋体"/>
          <w:sz w:val="32"/>
          <w:szCs w:val="32"/>
        </w:rPr>
        <w:t>万元。（注：三类会议、培训活动，节庆、晚会、论坛、赛事等活动，请分项列明活动计划及经费预算情况）</w:t>
      </w:r>
    </w:p>
    <w:p>
      <w:pPr>
        <w:pStyle w:val="13"/>
        <w:rPr>
          <w:rFonts w:hAnsi="黑体" w:cs="Times New Roman"/>
          <w:b/>
          <w:bCs/>
          <w:sz w:val="32"/>
          <w:szCs w:val="32"/>
        </w:rPr>
      </w:pPr>
      <w:r>
        <w:rPr>
          <w:rFonts w:hint="eastAsia" w:hAnsi="黑体"/>
          <w:b/>
          <w:bCs/>
          <w:sz w:val="32"/>
          <w:szCs w:val="32"/>
        </w:rPr>
        <w:t>十一、政府采购支出说明</w:t>
      </w:r>
    </w:p>
    <w:p>
      <w:pPr>
        <w:pStyle w:val="13"/>
        <w:ind w:firstLine="640" w:firstLineChars="200"/>
        <w:rPr>
          <w:rFonts w:ascii="宋体" w:hAnsi="宋体" w:eastAsia="宋体" w:cs="Times New Roman"/>
          <w:sz w:val="32"/>
          <w:szCs w:val="32"/>
        </w:rPr>
      </w:pPr>
      <w:r>
        <w:rPr>
          <w:rFonts w:hint="eastAsia" w:ascii="宋体" w:hAnsi="宋体" w:eastAsia="宋体" w:cs="宋体"/>
          <w:sz w:val="32"/>
          <w:szCs w:val="32"/>
        </w:rPr>
        <w:t>本部门</w:t>
      </w:r>
      <w:r>
        <w:rPr>
          <w:rFonts w:ascii="宋体" w:hAnsi="宋体" w:eastAsia="宋体" w:cs="宋体"/>
          <w:sz w:val="32"/>
          <w:szCs w:val="32"/>
        </w:rPr>
        <w:t>2021</w:t>
      </w:r>
      <w:r>
        <w:rPr>
          <w:rFonts w:hint="eastAsia" w:ascii="宋体" w:hAnsi="宋体" w:eastAsia="宋体" w:cs="宋体"/>
          <w:sz w:val="32"/>
          <w:szCs w:val="32"/>
        </w:rPr>
        <w:t>年度政府采购支出总额</w:t>
      </w:r>
      <w:r>
        <w:rPr>
          <w:rFonts w:ascii="宋体" w:hAnsi="宋体" w:eastAsia="宋体" w:cs="宋体"/>
          <w:sz w:val="32"/>
          <w:szCs w:val="32"/>
        </w:rPr>
        <w:t>463.51</w:t>
      </w:r>
      <w:r>
        <w:rPr>
          <w:rFonts w:hint="eastAsia" w:ascii="宋体" w:hAnsi="宋体" w:eastAsia="宋体" w:cs="宋体"/>
          <w:sz w:val="32"/>
          <w:szCs w:val="32"/>
        </w:rPr>
        <w:t>万元，其中：政府采购货物支出</w:t>
      </w:r>
      <w:r>
        <w:rPr>
          <w:rFonts w:ascii="宋体" w:hAnsi="宋体" w:eastAsia="宋体" w:cs="宋体"/>
          <w:sz w:val="32"/>
          <w:szCs w:val="32"/>
        </w:rPr>
        <w:t>39.03</w:t>
      </w:r>
      <w:r>
        <w:rPr>
          <w:rFonts w:hint="eastAsia" w:ascii="宋体" w:hAnsi="宋体" w:eastAsia="宋体" w:cs="宋体"/>
          <w:sz w:val="32"/>
          <w:szCs w:val="32"/>
        </w:rPr>
        <w:t>万元、政府采购工程支出</w:t>
      </w:r>
      <w:r>
        <w:rPr>
          <w:rFonts w:ascii="宋体" w:hAnsi="宋体" w:eastAsia="宋体" w:cs="宋体"/>
          <w:sz w:val="32"/>
          <w:szCs w:val="32"/>
        </w:rPr>
        <w:t>352</w:t>
      </w:r>
      <w:r>
        <w:rPr>
          <w:rFonts w:hint="eastAsia" w:ascii="宋体" w:hAnsi="宋体" w:eastAsia="宋体" w:cs="宋体"/>
          <w:sz w:val="32"/>
          <w:szCs w:val="32"/>
        </w:rPr>
        <w:t>万元、政府采购服务支出</w:t>
      </w:r>
      <w:r>
        <w:rPr>
          <w:rFonts w:ascii="宋体" w:hAnsi="宋体" w:eastAsia="宋体" w:cs="宋体"/>
          <w:sz w:val="32"/>
          <w:szCs w:val="32"/>
        </w:rPr>
        <w:t>72.48</w:t>
      </w:r>
      <w:r>
        <w:rPr>
          <w:rFonts w:hint="eastAsia" w:ascii="宋体" w:hAnsi="宋体" w:eastAsia="宋体" w:cs="宋体"/>
          <w:sz w:val="32"/>
          <w:szCs w:val="32"/>
        </w:rPr>
        <w:t>万元。授予中小企业合同金额</w:t>
      </w:r>
      <w:r>
        <w:rPr>
          <w:rFonts w:ascii="宋体" w:hAnsi="宋体" w:eastAsia="宋体" w:cs="宋体"/>
          <w:sz w:val="32"/>
          <w:szCs w:val="32"/>
        </w:rPr>
        <w:t>463.51</w:t>
      </w:r>
      <w:r>
        <w:rPr>
          <w:rFonts w:hint="eastAsia" w:ascii="宋体" w:hAnsi="宋体" w:eastAsia="宋体" w:cs="宋体"/>
          <w:sz w:val="32"/>
          <w:szCs w:val="32"/>
        </w:rPr>
        <w:t>万元。</w:t>
      </w:r>
    </w:p>
    <w:p>
      <w:pPr>
        <w:pStyle w:val="13"/>
        <w:rPr>
          <w:rFonts w:hAnsi="黑体" w:cs="Times New Roman"/>
          <w:b/>
          <w:bCs/>
          <w:sz w:val="32"/>
          <w:szCs w:val="32"/>
        </w:rPr>
      </w:pPr>
      <w:r>
        <w:rPr>
          <w:rFonts w:hint="eastAsia" w:hAnsi="黑体"/>
          <w:b/>
          <w:bCs/>
          <w:sz w:val="32"/>
          <w:szCs w:val="32"/>
        </w:rPr>
        <w:t>十二、国有资产占用情况说明</w:t>
      </w:r>
    </w:p>
    <w:p>
      <w:pPr>
        <w:pStyle w:val="13"/>
        <w:ind w:firstLine="640" w:firstLineChars="200"/>
        <w:rPr>
          <w:rFonts w:ascii="宋体" w:hAnsi="宋体" w:eastAsia="宋体" w:cs="Times New Roman"/>
          <w:sz w:val="32"/>
          <w:szCs w:val="32"/>
        </w:rPr>
      </w:pPr>
      <w:r>
        <w:rPr>
          <w:rFonts w:hint="eastAsia" w:ascii="宋体" w:hAnsi="宋体" w:eastAsia="宋体" w:cs="宋体"/>
          <w:sz w:val="32"/>
          <w:szCs w:val="32"/>
        </w:rPr>
        <w:t>截至</w:t>
      </w:r>
      <w:r>
        <w:rPr>
          <w:rFonts w:ascii="宋体" w:hAnsi="宋体" w:eastAsia="宋体" w:cs="宋体"/>
          <w:sz w:val="32"/>
          <w:szCs w:val="32"/>
        </w:rPr>
        <w:t>2021</w:t>
      </w:r>
      <w:r>
        <w:rPr>
          <w:rFonts w:hint="eastAsia" w:ascii="宋体" w:hAnsi="宋体" w:eastAsia="宋体" w:cs="宋体"/>
          <w:sz w:val="32"/>
          <w:szCs w:val="32"/>
        </w:rPr>
        <w:t>年</w:t>
      </w:r>
      <w:r>
        <w:rPr>
          <w:rFonts w:ascii="宋体" w:hAnsi="宋体" w:eastAsia="宋体" w:cs="宋体"/>
          <w:sz w:val="32"/>
          <w:szCs w:val="32"/>
        </w:rPr>
        <w:t>12</w:t>
      </w:r>
      <w:r>
        <w:rPr>
          <w:rFonts w:hint="eastAsia" w:ascii="宋体" w:hAnsi="宋体" w:eastAsia="宋体" w:cs="宋体"/>
          <w:sz w:val="32"/>
          <w:szCs w:val="32"/>
        </w:rPr>
        <w:t>月</w:t>
      </w:r>
      <w:r>
        <w:rPr>
          <w:rFonts w:ascii="宋体" w:hAnsi="宋体" w:eastAsia="宋体" w:cs="宋体"/>
          <w:sz w:val="32"/>
          <w:szCs w:val="32"/>
        </w:rPr>
        <w:t>31</w:t>
      </w:r>
      <w:r>
        <w:rPr>
          <w:rFonts w:hint="eastAsia" w:ascii="宋体" w:hAnsi="宋体" w:eastAsia="宋体" w:cs="宋体"/>
          <w:sz w:val="32"/>
          <w:szCs w:val="32"/>
        </w:rPr>
        <w:t>日，本单位共有车辆</w:t>
      </w:r>
      <w:r>
        <w:rPr>
          <w:rFonts w:ascii="宋体" w:hAnsi="宋体" w:eastAsia="宋体" w:cs="宋体"/>
          <w:sz w:val="32"/>
          <w:szCs w:val="32"/>
        </w:rPr>
        <w:t>0</w:t>
      </w:r>
      <w:r>
        <w:rPr>
          <w:rFonts w:hint="eastAsia" w:ascii="宋体" w:hAnsi="宋体" w:eastAsia="宋体" w:cs="宋体"/>
          <w:sz w:val="32"/>
          <w:szCs w:val="32"/>
        </w:rPr>
        <w:t>辆，均为一般公务用车。单位价值</w:t>
      </w:r>
      <w:r>
        <w:rPr>
          <w:rFonts w:ascii="宋体" w:hAnsi="宋体" w:eastAsia="宋体" w:cs="宋体"/>
          <w:sz w:val="32"/>
          <w:szCs w:val="32"/>
        </w:rPr>
        <w:t>50</w:t>
      </w:r>
      <w:r>
        <w:rPr>
          <w:rFonts w:hint="eastAsia" w:ascii="宋体" w:hAnsi="宋体" w:eastAsia="宋体" w:cs="宋体"/>
          <w:sz w:val="32"/>
          <w:szCs w:val="32"/>
        </w:rPr>
        <w:t>万元以上通用设备</w:t>
      </w:r>
      <w:r>
        <w:rPr>
          <w:rFonts w:ascii="宋体" w:hAnsi="宋体" w:eastAsia="宋体" w:cs="宋体"/>
          <w:sz w:val="32"/>
          <w:szCs w:val="32"/>
        </w:rPr>
        <w:t>0</w:t>
      </w:r>
      <w:r>
        <w:rPr>
          <w:rFonts w:hint="eastAsia" w:ascii="宋体" w:hAnsi="宋体" w:eastAsia="宋体" w:cs="宋体"/>
          <w:sz w:val="32"/>
          <w:szCs w:val="32"/>
        </w:rPr>
        <w:t>套；单位价值</w:t>
      </w:r>
      <w:r>
        <w:rPr>
          <w:rFonts w:ascii="宋体" w:hAnsi="宋体" w:eastAsia="宋体" w:cs="宋体"/>
          <w:sz w:val="32"/>
          <w:szCs w:val="32"/>
        </w:rPr>
        <w:t>100</w:t>
      </w:r>
      <w:r>
        <w:rPr>
          <w:rFonts w:hint="eastAsia" w:ascii="宋体" w:hAnsi="宋体" w:eastAsia="宋体" w:cs="宋体"/>
          <w:sz w:val="32"/>
          <w:szCs w:val="32"/>
        </w:rPr>
        <w:t>万元以上专用设备</w:t>
      </w:r>
      <w:r>
        <w:rPr>
          <w:rFonts w:ascii="宋体" w:hAnsi="宋体" w:eastAsia="宋体" w:cs="宋体"/>
          <w:sz w:val="32"/>
          <w:szCs w:val="32"/>
        </w:rPr>
        <w:t>0</w:t>
      </w:r>
      <w:r>
        <w:rPr>
          <w:rFonts w:hint="eastAsia" w:ascii="宋体" w:hAnsi="宋体" w:eastAsia="宋体" w:cs="宋体"/>
          <w:sz w:val="32"/>
          <w:szCs w:val="32"/>
        </w:rPr>
        <w:t>套。</w:t>
      </w:r>
    </w:p>
    <w:p>
      <w:pPr>
        <w:pStyle w:val="13"/>
        <w:rPr>
          <w:rFonts w:hAnsi="黑体" w:cs="Times New Roman"/>
          <w:b/>
          <w:bCs/>
          <w:sz w:val="32"/>
          <w:szCs w:val="32"/>
        </w:rPr>
      </w:pPr>
      <w:r>
        <w:rPr>
          <w:rFonts w:hint="eastAsia" w:hAnsi="黑体"/>
          <w:b/>
          <w:bCs/>
          <w:sz w:val="32"/>
          <w:szCs w:val="32"/>
        </w:rPr>
        <w:t>十三、</w:t>
      </w:r>
      <w:r>
        <w:rPr>
          <w:rFonts w:hAnsi="黑体"/>
          <w:b/>
          <w:bCs/>
          <w:sz w:val="32"/>
          <w:szCs w:val="32"/>
        </w:rPr>
        <w:t>2021</w:t>
      </w:r>
      <w:r>
        <w:rPr>
          <w:rFonts w:hint="eastAsia" w:hAnsi="黑体"/>
          <w:b/>
          <w:bCs/>
          <w:sz w:val="32"/>
          <w:szCs w:val="32"/>
        </w:rPr>
        <w:t>年度预算绩效情况说明</w:t>
      </w:r>
    </w:p>
    <w:p>
      <w:pPr>
        <w:autoSpaceDE w:val="0"/>
        <w:autoSpaceDN w:val="0"/>
        <w:adjustRightInd w:val="0"/>
        <w:ind w:firstLine="640" w:firstLineChars="200"/>
        <w:jc w:val="left"/>
        <w:rPr>
          <w:rFonts w:ascii="宋体" w:cs="Times New Roman"/>
          <w:color w:val="000000"/>
          <w:kern w:val="0"/>
          <w:sz w:val="32"/>
          <w:szCs w:val="32"/>
        </w:rPr>
      </w:pPr>
      <w:r>
        <w:rPr>
          <w:rFonts w:hint="eastAsia" w:ascii="宋体" w:hAnsi="宋体" w:cs="宋体"/>
          <w:b/>
          <w:bCs/>
          <w:color w:val="000000"/>
          <w:kern w:val="0"/>
          <w:sz w:val="32"/>
          <w:szCs w:val="32"/>
        </w:rPr>
        <w:t>（</w:t>
      </w:r>
      <w:r>
        <w:rPr>
          <w:rFonts w:ascii="宋体" w:hAnsi="宋体" w:cs="宋体"/>
          <w:b/>
          <w:bCs/>
          <w:color w:val="000000"/>
          <w:kern w:val="0"/>
          <w:sz w:val="32"/>
          <w:szCs w:val="32"/>
        </w:rPr>
        <w:t>1</w:t>
      </w:r>
      <w:r>
        <w:rPr>
          <w:rFonts w:hint="eastAsia" w:ascii="宋体" w:hAnsi="宋体" w:cs="宋体"/>
          <w:b/>
          <w:bCs/>
          <w:color w:val="000000"/>
          <w:kern w:val="0"/>
          <w:sz w:val="32"/>
          <w:szCs w:val="32"/>
        </w:rPr>
        <w:t>）绩效管理评价工作开展情况</w:t>
      </w:r>
      <w:r>
        <w:rPr>
          <w:rFonts w:hint="eastAsia" w:ascii="宋体" w:hAnsi="宋体" w:cs="宋体"/>
          <w:color w:val="000000"/>
          <w:kern w:val="0"/>
          <w:sz w:val="32"/>
          <w:szCs w:val="32"/>
        </w:rPr>
        <w:t>。</w:t>
      </w:r>
    </w:p>
    <w:p>
      <w:pPr>
        <w:autoSpaceDE w:val="0"/>
        <w:autoSpaceDN w:val="0"/>
        <w:adjustRightInd w:val="0"/>
        <w:ind w:firstLine="640" w:firstLineChars="200"/>
        <w:jc w:val="left"/>
        <w:rPr>
          <w:rFonts w:ascii="宋体" w:cs="Times New Roman"/>
          <w:color w:val="000000"/>
          <w:kern w:val="0"/>
          <w:sz w:val="32"/>
          <w:szCs w:val="32"/>
        </w:rPr>
      </w:pPr>
      <w:r>
        <w:rPr>
          <w:rFonts w:hint="eastAsia" w:ascii="宋体" w:hAnsi="宋体" w:cs="宋体"/>
          <w:color w:val="000000"/>
          <w:kern w:val="0"/>
          <w:sz w:val="32"/>
          <w:szCs w:val="32"/>
        </w:rPr>
        <w:t>根据预算绩效管理要求，我部门组织对</w:t>
      </w:r>
      <w:r>
        <w:rPr>
          <w:rFonts w:ascii="宋体" w:hAnsi="宋体" w:cs="宋体"/>
          <w:color w:val="000000"/>
          <w:kern w:val="0"/>
          <w:sz w:val="32"/>
          <w:szCs w:val="32"/>
        </w:rPr>
        <w:t xml:space="preserve">2021 </w:t>
      </w:r>
      <w:r>
        <w:rPr>
          <w:rFonts w:hint="eastAsia" w:ascii="宋体" w:hAnsi="宋体" w:cs="宋体"/>
          <w:color w:val="000000"/>
          <w:kern w:val="0"/>
          <w:sz w:val="32"/>
          <w:szCs w:val="32"/>
        </w:rPr>
        <w:t>年度一般公共预算项目支出全面开展绩效自评，其中，一级项目</w:t>
      </w:r>
      <w:r>
        <w:rPr>
          <w:rFonts w:ascii="宋体" w:cs="宋体"/>
          <w:color w:val="000000"/>
          <w:kern w:val="0"/>
          <w:sz w:val="32"/>
          <w:szCs w:val="32"/>
        </w:rPr>
        <w:t>0</w:t>
      </w:r>
      <w:r>
        <w:rPr>
          <w:rFonts w:hint="eastAsia" w:ascii="宋体" w:hAnsi="宋体" w:cs="宋体"/>
          <w:color w:val="000000"/>
          <w:kern w:val="0"/>
          <w:sz w:val="32"/>
          <w:szCs w:val="32"/>
        </w:rPr>
        <w:t>个，二级项目</w:t>
      </w:r>
      <w:r>
        <w:rPr>
          <w:rFonts w:ascii="宋体" w:hAnsi="宋体" w:cs="宋体"/>
          <w:color w:val="000000"/>
          <w:kern w:val="0"/>
          <w:sz w:val="32"/>
          <w:szCs w:val="32"/>
        </w:rPr>
        <w:t>2</w:t>
      </w:r>
      <w:r>
        <w:rPr>
          <w:rFonts w:hint="eastAsia" w:ascii="宋体" w:hAnsi="宋体" w:cs="宋体"/>
          <w:color w:val="000000"/>
          <w:kern w:val="0"/>
          <w:sz w:val="32"/>
          <w:szCs w:val="32"/>
        </w:rPr>
        <w:t>个，共涉及资金</w:t>
      </w:r>
      <w:r>
        <w:rPr>
          <w:rFonts w:ascii="宋体" w:hAnsi="宋体" w:cs="宋体"/>
          <w:color w:val="000000"/>
          <w:kern w:val="0"/>
          <w:sz w:val="32"/>
          <w:szCs w:val="32"/>
        </w:rPr>
        <w:t>352</w:t>
      </w:r>
      <w:r>
        <w:rPr>
          <w:rFonts w:hint="eastAsia" w:ascii="宋体" w:hAnsi="宋体" w:cs="宋体"/>
          <w:color w:val="000000"/>
          <w:kern w:val="0"/>
          <w:sz w:val="32"/>
          <w:szCs w:val="32"/>
        </w:rPr>
        <w:t>万元，占一般公共预算项目支出总额的</w:t>
      </w:r>
      <w:r>
        <w:rPr>
          <w:rFonts w:ascii="宋体" w:hAnsi="宋体" w:cs="宋体"/>
          <w:color w:val="000000"/>
          <w:kern w:val="0"/>
          <w:sz w:val="32"/>
          <w:szCs w:val="32"/>
        </w:rPr>
        <w:t>100%</w:t>
      </w:r>
      <w:r>
        <w:rPr>
          <w:rFonts w:hint="eastAsia" w:ascii="宋体" w:hAnsi="宋体" w:cs="宋体"/>
          <w:color w:val="000000"/>
          <w:kern w:val="0"/>
          <w:sz w:val="32"/>
          <w:szCs w:val="32"/>
        </w:rPr>
        <w:t>。</w:t>
      </w:r>
      <w:r>
        <w:rPr>
          <w:rFonts w:ascii="宋体" w:hAnsi="宋体" w:cs="宋体"/>
          <w:color w:val="000000"/>
          <w:kern w:val="0"/>
          <w:sz w:val="32"/>
          <w:szCs w:val="32"/>
        </w:rPr>
        <w:t>2021</w:t>
      </w:r>
      <w:r>
        <w:rPr>
          <w:rFonts w:hint="eastAsia" w:ascii="宋体" w:hAnsi="宋体" w:cs="宋体"/>
          <w:color w:val="000000"/>
          <w:kern w:val="0"/>
          <w:sz w:val="32"/>
          <w:szCs w:val="32"/>
        </w:rPr>
        <w:t>年度无政府性基金预算项目支出。</w:t>
      </w:r>
      <w:r>
        <w:rPr>
          <w:rFonts w:ascii="宋体" w:hAnsi="宋体" w:cs="宋体"/>
          <w:color w:val="000000"/>
          <w:kern w:val="0"/>
          <w:sz w:val="32"/>
          <w:szCs w:val="32"/>
        </w:rPr>
        <w:t xml:space="preserve">2021 </w:t>
      </w:r>
      <w:r>
        <w:rPr>
          <w:rFonts w:hint="eastAsia" w:ascii="宋体" w:hAnsi="宋体" w:cs="宋体"/>
          <w:color w:val="000000"/>
          <w:kern w:val="0"/>
          <w:sz w:val="32"/>
          <w:szCs w:val="32"/>
        </w:rPr>
        <w:t>年度无国有资本经营预算项目支出。</w:t>
      </w:r>
    </w:p>
    <w:p>
      <w:pPr>
        <w:spacing w:line="500" w:lineRule="exact"/>
        <w:ind w:firstLine="640" w:firstLineChars="200"/>
        <w:rPr>
          <w:rFonts w:ascii="仿宋" w:hAnsi="仿宋" w:eastAsia="仿宋" w:cs="Times New Roman"/>
          <w:sz w:val="32"/>
          <w:szCs w:val="32"/>
        </w:rPr>
      </w:pPr>
      <w:r>
        <w:rPr>
          <w:rFonts w:hint="eastAsia" w:ascii="宋体" w:hAnsi="宋体" w:cs="宋体"/>
          <w:color w:val="000000"/>
          <w:kern w:val="0"/>
          <w:sz w:val="32"/>
          <w:szCs w:val="32"/>
        </w:rPr>
        <w:t>组织对“道县富园市场”“道县家禽批发市场”</w:t>
      </w:r>
      <w:r>
        <w:rPr>
          <w:rFonts w:ascii="宋体" w:hAnsi="宋体" w:cs="宋体"/>
          <w:color w:val="000000"/>
          <w:kern w:val="0"/>
          <w:sz w:val="32"/>
          <w:szCs w:val="32"/>
        </w:rPr>
        <w:t>2</w:t>
      </w:r>
      <w:r>
        <w:rPr>
          <w:rFonts w:hint="eastAsia" w:ascii="宋体" w:hAnsi="宋体" w:cs="宋体"/>
          <w:color w:val="000000"/>
          <w:kern w:val="0"/>
          <w:sz w:val="32"/>
          <w:szCs w:val="32"/>
        </w:rPr>
        <w:t>个项目开展了部门评价，涉及一般公共预算支出</w:t>
      </w:r>
      <w:r>
        <w:rPr>
          <w:rFonts w:ascii="宋体" w:hAnsi="宋体" w:cs="宋体"/>
          <w:color w:val="000000"/>
          <w:kern w:val="0"/>
          <w:sz w:val="32"/>
          <w:szCs w:val="32"/>
        </w:rPr>
        <w:t>352</w:t>
      </w:r>
      <w:r>
        <w:rPr>
          <w:rFonts w:hint="eastAsia" w:ascii="宋体" w:hAnsi="宋体" w:cs="宋体"/>
          <w:color w:val="000000"/>
          <w:kern w:val="0"/>
          <w:sz w:val="32"/>
          <w:szCs w:val="32"/>
        </w:rPr>
        <w:t>万元，政府性基金预算支出</w:t>
      </w:r>
      <w:r>
        <w:rPr>
          <w:rFonts w:ascii="宋体" w:cs="宋体"/>
          <w:color w:val="000000"/>
          <w:kern w:val="0"/>
          <w:sz w:val="32"/>
          <w:szCs w:val="32"/>
        </w:rPr>
        <w:t>0</w:t>
      </w:r>
      <w:r>
        <w:rPr>
          <w:rFonts w:hint="eastAsia" w:ascii="宋体" w:hAnsi="宋体" w:cs="宋体"/>
          <w:color w:val="000000"/>
          <w:kern w:val="0"/>
          <w:sz w:val="32"/>
          <w:szCs w:val="32"/>
        </w:rPr>
        <w:t>万元，国有资本经营预算支出</w:t>
      </w:r>
      <w:r>
        <w:rPr>
          <w:rFonts w:ascii="宋体" w:cs="宋体"/>
          <w:color w:val="000000"/>
          <w:kern w:val="0"/>
          <w:sz w:val="32"/>
          <w:szCs w:val="32"/>
        </w:rPr>
        <w:t>0</w:t>
      </w:r>
      <w:r>
        <w:rPr>
          <w:rFonts w:hint="eastAsia" w:ascii="宋体" w:hAnsi="宋体" w:cs="宋体"/>
          <w:color w:val="000000"/>
          <w:kern w:val="0"/>
          <w:sz w:val="32"/>
          <w:szCs w:val="32"/>
        </w:rPr>
        <w:t>万元。从评价情况来看，</w:t>
      </w:r>
      <w:r>
        <w:rPr>
          <w:rFonts w:hint="eastAsia" w:ascii="仿宋" w:hAnsi="仿宋" w:eastAsia="仿宋" w:cs="仿宋"/>
          <w:sz w:val="32"/>
          <w:szCs w:val="32"/>
        </w:rPr>
        <w:t>富园市场、家禽批发市场完成标准化改造建设后，大大促进人流、商品流、信息流的集聚，提高我县小城镇建设品味，增强发展潜力，带动附近相关产业的发展。两个市场建设后，市场各项服务设施得到极大改善，能使市场管理及服务水平得到较大提升，能更好地为广大市民提供高质量的生活服务。同时，能增加就业岗位</w:t>
      </w:r>
      <w:r>
        <w:rPr>
          <w:rFonts w:ascii="仿宋" w:hAnsi="仿宋" w:eastAsia="仿宋" w:cs="仿宋"/>
          <w:sz w:val="32"/>
          <w:szCs w:val="32"/>
        </w:rPr>
        <w:t>700</w:t>
      </w:r>
      <w:r>
        <w:rPr>
          <w:rFonts w:hint="eastAsia" w:ascii="仿宋" w:hAnsi="仿宋" w:eastAsia="仿宋" w:cs="仿宋"/>
          <w:sz w:val="32"/>
          <w:szCs w:val="32"/>
        </w:rPr>
        <w:t>余个，解决农副产品集中销售。</w:t>
      </w:r>
      <w:r>
        <w:rPr>
          <w:rFonts w:ascii="仿宋" w:hAnsi="仿宋" w:eastAsia="仿宋" w:cs="仿宋"/>
          <w:sz w:val="32"/>
          <w:szCs w:val="32"/>
        </w:rPr>
        <w:t xml:space="preserve"> </w:t>
      </w:r>
      <w:r>
        <w:rPr>
          <w:rFonts w:hint="eastAsia" w:ascii="仿宋" w:hAnsi="仿宋" w:eastAsia="仿宋" w:cs="仿宋"/>
          <w:sz w:val="32"/>
          <w:szCs w:val="32"/>
        </w:rPr>
        <w:t>为加强农贸市场日常管理工作，市场整洁、安全、有序，社会各界反映十分满意，深受广大群众的一致好评。通过对农贸市场的标准化改造，彻底改变了市场的“脏、乱、差”现象，提升了城市面貌，提高资源使用效率，对于维护人居环境和食品安全具有重要的意义。</w:t>
      </w:r>
    </w:p>
    <w:p>
      <w:pPr>
        <w:adjustRightInd w:val="0"/>
        <w:snapToGrid w:val="0"/>
        <w:spacing w:line="600" w:lineRule="exact"/>
        <w:ind w:firstLine="640" w:firstLineChars="200"/>
        <w:rPr>
          <w:rFonts w:ascii="宋体" w:cs="Times New Roman"/>
          <w:color w:val="000000"/>
          <w:kern w:val="0"/>
          <w:sz w:val="32"/>
          <w:szCs w:val="32"/>
        </w:rPr>
      </w:pPr>
      <w:r>
        <w:rPr>
          <w:rFonts w:hint="eastAsia" w:ascii="宋体" w:hAnsi="宋体" w:cs="宋体"/>
          <w:color w:val="000000"/>
          <w:kern w:val="0"/>
          <w:sz w:val="32"/>
          <w:szCs w:val="32"/>
        </w:rPr>
        <w:t>组织对“道县市场服务中心”</w:t>
      </w:r>
      <w:r>
        <w:rPr>
          <w:rFonts w:ascii="宋体" w:hAnsi="宋体" w:cs="宋体"/>
          <w:color w:val="000000"/>
          <w:kern w:val="0"/>
          <w:sz w:val="32"/>
          <w:szCs w:val="32"/>
        </w:rPr>
        <w:t>1</w:t>
      </w:r>
      <w:r>
        <w:rPr>
          <w:rFonts w:hint="eastAsia" w:ascii="宋体" w:hAnsi="宋体" w:cs="宋体"/>
          <w:color w:val="000000"/>
          <w:kern w:val="0"/>
          <w:sz w:val="32"/>
          <w:szCs w:val="32"/>
        </w:rPr>
        <w:t>个单位开展整体支出绩效评价，涉及一般公共预算支出</w:t>
      </w:r>
      <w:r>
        <w:rPr>
          <w:rFonts w:ascii="宋体" w:hAnsi="宋体" w:cs="宋体"/>
          <w:color w:val="000000"/>
          <w:kern w:val="0"/>
          <w:sz w:val="32"/>
          <w:szCs w:val="32"/>
        </w:rPr>
        <w:t>1265.82</w:t>
      </w:r>
      <w:r>
        <w:rPr>
          <w:rFonts w:hint="eastAsia" w:ascii="宋体" w:hAnsi="宋体" w:cs="宋体"/>
          <w:color w:val="000000"/>
          <w:kern w:val="0"/>
          <w:sz w:val="32"/>
          <w:szCs w:val="32"/>
        </w:rPr>
        <w:t>万元，政府性基金预算支出</w:t>
      </w:r>
      <w:r>
        <w:rPr>
          <w:rFonts w:ascii="宋体" w:cs="宋体"/>
          <w:color w:val="000000"/>
          <w:kern w:val="0"/>
          <w:sz w:val="32"/>
          <w:szCs w:val="32"/>
        </w:rPr>
        <w:t>0</w:t>
      </w:r>
      <w:r>
        <w:rPr>
          <w:rFonts w:hint="eastAsia" w:ascii="宋体" w:hAnsi="宋体" w:cs="宋体"/>
          <w:color w:val="000000"/>
          <w:kern w:val="0"/>
          <w:sz w:val="32"/>
          <w:szCs w:val="32"/>
        </w:rPr>
        <w:t>万元。从评价情况来看：</w:t>
      </w:r>
    </w:p>
    <w:p>
      <w:pPr>
        <w:adjustRightInd w:val="0"/>
        <w:snapToGrid w:val="0"/>
        <w:spacing w:line="600" w:lineRule="exact"/>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、确保了干部职工工资、社保金正常发放、缴纳和单位的正常运转，有利于维护社会稳定。</w:t>
      </w:r>
    </w:p>
    <w:p>
      <w:pPr>
        <w:adjustRightInd w:val="0"/>
        <w:snapToGrid w:val="0"/>
        <w:spacing w:line="600" w:lineRule="exact"/>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、每月每季都按时完成了党建工作、学习和活动。</w:t>
      </w:r>
    </w:p>
    <w:p>
      <w:pPr>
        <w:adjustRightInd w:val="0"/>
        <w:snapToGrid w:val="0"/>
        <w:spacing w:line="600" w:lineRule="exact"/>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、作为创国卫、创省文的重点责任单位，认真做好市场秩序和环境卫生，每天有专职人员负责清理打扫和清运垃圾，改善了交易环境，顺利通过上级的考核验收。</w:t>
      </w:r>
    </w:p>
    <w:p>
      <w:pPr>
        <w:adjustRightInd w:val="0"/>
        <w:snapToGrid w:val="0"/>
        <w:spacing w:line="600" w:lineRule="exact"/>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、配合相关职能部门抓好农贸市场食品安全的监管工作，没有发生食品安全事件，保证了市民的“菜篮子”“米袋子”安全。</w:t>
      </w:r>
    </w:p>
    <w:p>
      <w:pPr>
        <w:adjustRightInd w:val="0"/>
        <w:snapToGrid w:val="0"/>
        <w:spacing w:line="600" w:lineRule="exact"/>
        <w:ind w:firstLine="480" w:firstLineChars="150"/>
        <w:rPr>
          <w:rFonts w:ascii="仿宋" w:hAnsi="仿宋" w:eastAsia="仿宋" w:cs="Times New Roman"/>
          <w:color w:val="000000"/>
          <w:sz w:val="32"/>
          <w:szCs w:val="32"/>
        </w:rPr>
      </w:pPr>
      <w:r>
        <w:rPr>
          <w:rFonts w:ascii="仿宋" w:hAnsi="仿宋" w:eastAsia="仿宋" w:cs="仿宋"/>
          <w:color w:val="000000"/>
          <w:sz w:val="32"/>
          <w:szCs w:val="32"/>
        </w:rPr>
        <w:t xml:space="preserve"> 5</w:t>
      </w:r>
      <w:r>
        <w:rPr>
          <w:rFonts w:hint="eastAsia" w:ascii="仿宋" w:hAnsi="仿宋" w:eastAsia="仿宋" w:cs="仿宋"/>
          <w:color w:val="000000"/>
          <w:sz w:val="32"/>
          <w:szCs w:val="32"/>
        </w:rPr>
        <w:t>、购置了消除器材，每月对市场的安全生产工作进行了巡查，发现问题及时整改，对一些损坏的市场设施及时进行了维修和维护，没有发现安全生产事故。</w:t>
      </w:r>
    </w:p>
    <w:p>
      <w:pPr>
        <w:adjustRightInd w:val="0"/>
        <w:snapToGrid w:val="0"/>
        <w:spacing w:line="600" w:lineRule="exact"/>
        <w:ind w:firstLine="480" w:firstLineChars="150"/>
        <w:rPr>
          <w:rFonts w:ascii="仿宋" w:hAnsi="仿宋" w:eastAsia="仿宋" w:cs="Times New Roman"/>
          <w:color w:val="000000"/>
          <w:sz w:val="32"/>
          <w:szCs w:val="32"/>
        </w:rPr>
      </w:pPr>
      <w:r>
        <w:rPr>
          <w:rFonts w:ascii="仿宋" w:hAnsi="仿宋" w:eastAsia="仿宋" w:cs="仿宋"/>
          <w:color w:val="000000"/>
          <w:sz w:val="32"/>
          <w:szCs w:val="32"/>
        </w:rPr>
        <w:t>6</w:t>
      </w:r>
      <w:r>
        <w:rPr>
          <w:rFonts w:hint="eastAsia" w:ascii="仿宋" w:hAnsi="仿宋" w:eastAsia="仿宋" w:cs="仿宋"/>
          <w:color w:val="000000"/>
          <w:sz w:val="32"/>
          <w:szCs w:val="32"/>
        </w:rPr>
        <w:t>、认真完成县委、县政府安排的扶贫、防汛抗旱等中心工作。</w:t>
      </w:r>
    </w:p>
    <w:p>
      <w:pPr>
        <w:autoSpaceDE w:val="0"/>
        <w:autoSpaceDN w:val="0"/>
        <w:adjustRightInd w:val="0"/>
        <w:ind w:firstLine="640" w:firstLineChars="200"/>
        <w:jc w:val="left"/>
        <w:rPr>
          <w:rFonts w:ascii="宋体" w:cs="Times New Roman"/>
          <w:b/>
          <w:bCs/>
          <w:color w:val="000000"/>
          <w:kern w:val="0"/>
          <w:sz w:val="32"/>
          <w:szCs w:val="32"/>
        </w:rPr>
      </w:pPr>
      <w:r>
        <w:rPr>
          <w:rFonts w:hint="eastAsia" w:ascii="宋体" w:hAnsi="宋体" w:cs="宋体"/>
          <w:b/>
          <w:bCs/>
          <w:color w:val="000000"/>
          <w:kern w:val="0"/>
          <w:sz w:val="32"/>
          <w:szCs w:val="32"/>
        </w:rPr>
        <w:t>（</w:t>
      </w:r>
      <w:r>
        <w:rPr>
          <w:rFonts w:ascii="宋体" w:hAnsi="宋体" w:cs="宋体"/>
          <w:b/>
          <w:bCs/>
          <w:color w:val="000000"/>
          <w:kern w:val="0"/>
          <w:sz w:val="32"/>
          <w:szCs w:val="32"/>
        </w:rPr>
        <w:t>2</w:t>
      </w:r>
      <w:r>
        <w:rPr>
          <w:rFonts w:hint="eastAsia" w:ascii="宋体" w:hAnsi="宋体" w:cs="宋体"/>
          <w:b/>
          <w:bCs/>
          <w:color w:val="000000"/>
          <w:kern w:val="0"/>
          <w:sz w:val="32"/>
          <w:szCs w:val="32"/>
        </w:rPr>
        <w:t>）部门决算中项目绩效自评结果（如有）。</w:t>
      </w:r>
    </w:p>
    <w:p>
      <w:pPr>
        <w:spacing w:line="500" w:lineRule="exact"/>
        <w:ind w:firstLine="640" w:firstLineChars="200"/>
        <w:rPr>
          <w:rFonts w:ascii="楷体_GB2312" w:hAnsi="楷体_GB2312" w:eastAsia="楷体_GB2312" w:cs="Times New Roman"/>
          <w:b/>
          <w:bCs/>
          <w:sz w:val="32"/>
          <w:szCs w:val="32"/>
        </w:rPr>
      </w:pPr>
      <w:r>
        <w:rPr>
          <w:rFonts w:hint="eastAsia" w:ascii="宋体" w:hAnsi="宋体" w:cs="宋体"/>
          <w:color w:val="000000"/>
          <w:kern w:val="0"/>
          <w:sz w:val="32"/>
          <w:szCs w:val="32"/>
        </w:rPr>
        <w:t>道县富园市场建设项目绩效自评综述：根据年初设定的绩效目标，项目绩效自评得分为</w:t>
      </w:r>
      <w:r>
        <w:rPr>
          <w:rFonts w:ascii="宋体" w:hAnsi="宋体" w:cs="宋体"/>
          <w:color w:val="000000"/>
          <w:kern w:val="0"/>
          <w:sz w:val="32"/>
          <w:szCs w:val="32"/>
        </w:rPr>
        <w:t>95.9</w:t>
      </w:r>
      <w:r>
        <w:rPr>
          <w:rFonts w:hint="eastAsia" w:ascii="宋体" w:hAnsi="宋体" w:cs="宋体"/>
          <w:color w:val="000000"/>
          <w:kern w:val="0"/>
          <w:sz w:val="32"/>
          <w:szCs w:val="32"/>
        </w:rPr>
        <w:t>分。项目全年预算数为</w:t>
      </w:r>
      <w:r>
        <w:rPr>
          <w:rFonts w:ascii="宋体" w:cs="宋体"/>
          <w:color w:val="000000"/>
          <w:kern w:val="0"/>
          <w:sz w:val="32"/>
          <w:szCs w:val="32"/>
        </w:rPr>
        <w:t>0</w:t>
      </w:r>
      <w:r>
        <w:rPr>
          <w:rFonts w:hint="eastAsia" w:ascii="宋体" w:hAnsi="宋体" w:cs="宋体"/>
          <w:color w:val="000000"/>
          <w:kern w:val="0"/>
          <w:sz w:val="32"/>
          <w:szCs w:val="32"/>
        </w:rPr>
        <w:t>万元，执行数为</w:t>
      </w:r>
      <w:r>
        <w:rPr>
          <w:rFonts w:ascii="宋体" w:hAnsi="宋体" w:cs="宋体"/>
          <w:color w:val="000000"/>
          <w:kern w:val="0"/>
          <w:sz w:val="32"/>
          <w:szCs w:val="32"/>
        </w:rPr>
        <w:t>116</w:t>
      </w:r>
      <w:r>
        <w:rPr>
          <w:rFonts w:hint="eastAsia" w:ascii="宋体" w:hAnsi="宋体" w:cs="宋体"/>
          <w:color w:val="000000"/>
          <w:kern w:val="0"/>
          <w:sz w:val="32"/>
          <w:szCs w:val="32"/>
        </w:rPr>
        <w:t>万元，完成预算的</w:t>
      </w:r>
      <w:r>
        <w:rPr>
          <w:rFonts w:ascii="宋体" w:hAnsi="宋体" w:cs="宋体"/>
          <w:color w:val="000000"/>
          <w:kern w:val="0"/>
          <w:sz w:val="32"/>
          <w:szCs w:val="32"/>
        </w:rPr>
        <w:t>100%</w:t>
      </w:r>
      <w:r>
        <w:rPr>
          <w:rFonts w:hint="eastAsia" w:ascii="宋体" w:hAnsi="宋体" w:cs="宋体"/>
          <w:color w:val="000000"/>
          <w:kern w:val="0"/>
          <w:sz w:val="32"/>
          <w:szCs w:val="32"/>
        </w:rPr>
        <w:t>。项目绩效目标完成情况：</w:t>
      </w:r>
    </w:p>
    <w:p>
      <w:pPr>
        <w:spacing w:line="500" w:lineRule="exact"/>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、钢结构交易厂棚、消防设施、装饰工程、水电工程、暖通工程、弱电、电子监控等项目。</w:t>
      </w:r>
    </w:p>
    <w:p>
      <w:pPr>
        <w:spacing w:line="500" w:lineRule="exact"/>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、地面和道路：市场为水磨石地面，四周道路为水泥地面。市场南边建绿化带。</w:t>
      </w:r>
    </w:p>
    <w:p>
      <w:pPr>
        <w:spacing w:line="500" w:lineRule="exact"/>
        <w:ind w:firstLine="640" w:firstLineChars="200"/>
        <w:rPr>
          <w:rFonts w:ascii="仿宋" w:hAnsi="仿宋" w:eastAsia="仿宋" w:cs="Times New Roman"/>
          <w:i/>
          <w:iCs/>
          <w:sz w:val="32"/>
          <w:szCs w:val="32"/>
        </w:rPr>
      </w:pPr>
      <w:r>
        <w:rPr>
          <w:rFonts w:ascii="仿宋" w:hAnsi="仿宋" w:eastAsia="仿宋" w:cs="仿宋"/>
          <w:sz w:val="32"/>
          <w:szCs w:val="32"/>
        </w:rPr>
        <w:t>3</w:t>
      </w:r>
      <w:r>
        <w:rPr>
          <w:rFonts w:hint="eastAsia" w:ascii="仿宋" w:hAnsi="仿宋" w:eastAsia="仿宋" w:cs="仿宋"/>
          <w:sz w:val="32"/>
          <w:szCs w:val="32"/>
        </w:rPr>
        <w:t>、水电设施：市场内每户安装一个智能水、电表，铺面前铺设不锈钢明沟，室内设置带滤网地漏，下水通过暗沟排放。室内用电管线桥架铺设，电线穿管铺设，智能电表集中管理，每个摊位设置带底线低压电源插座，配备电风扇、灭蚊灯、指示灯等设施。</w:t>
      </w:r>
    </w:p>
    <w:p>
      <w:pPr>
        <w:spacing w:line="500" w:lineRule="exact"/>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、环卫改造：市场建设一座公厕和一座垃圾中转站</w:t>
      </w:r>
      <w:r>
        <w:rPr>
          <w:rFonts w:ascii="仿宋" w:hAnsi="仿宋" w:eastAsia="仿宋" w:cs="仿宋"/>
          <w:sz w:val="32"/>
          <w:szCs w:val="32"/>
        </w:rPr>
        <w:t>,</w:t>
      </w:r>
      <w:r>
        <w:rPr>
          <w:rFonts w:hint="eastAsia" w:ascii="仿宋" w:hAnsi="仿宋" w:eastAsia="仿宋" w:cs="仿宋"/>
          <w:sz w:val="32"/>
          <w:szCs w:val="32"/>
        </w:rPr>
        <w:t>市场内设置足够的标准垃圾桶、垃圾箱。</w:t>
      </w:r>
    </w:p>
    <w:p>
      <w:pPr>
        <w:spacing w:line="500" w:lineRule="exact"/>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、市场管理办公室建设：市场内建设市场管理办公室，配备专职人员，建立健全了治安、消防、卫生、市场精细化管理等制度。</w:t>
      </w:r>
    </w:p>
    <w:p>
      <w:pPr>
        <w:spacing w:line="500" w:lineRule="exact"/>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、市场建设农药残留检测室：在市场内建设农药残留自检室，配备专职人员，并配有导购图、广告牌、公示宣传栏、公平秤、电子监控、饮用水供应处、食品卫生检测等设备。</w:t>
      </w:r>
    </w:p>
    <w:p>
      <w:pPr>
        <w:spacing w:line="500" w:lineRule="exact"/>
        <w:ind w:firstLine="640" w:firstLineChars="200"/>
        <w:rPr>
          <w:rFonts w:ascii="宋体" w:cs="Times New Roman"/>
          <w:color w:val="000000"/>
          <w:kern w:val="0"/>
          <w:sz w:val="32"/>
          <w:szCs w:val="32"/>
        </w:rPr>
      </w:pPr>
      <w:r>
        <w:rPr>
          <w:rFonts w:hint="eastAsia" w:ascii="宋体" w:hAnsi="宋体" w:cs="宋体"/>
          <w:color w:val="000000"/>
          <w:kern w:val="0"/>
          <w:sz w:val="32"/>
          <w:szCs w:val="32"/>
        </w:rPr>
        <w:t>道县家禽批发市场建设项目绩效自评综述：</w:t>
      </w:r>
    </w:p>
    <w:p>
      <w:pPr>
        <w:spacing w:line="500" w:lineRule="exact"/>
        <w:ind w:firstLine="640" w:firstLineChars="200"/>
        <w:rPr>
          <w:rFonts w:ascii="楷体_GB2312" w:hAnsi="楷体_GB2312" w:eastAsia="楷体_GB2312" w:cs="Times New Roman"/>
          <w:b/>
          <w:bCs/>
          <w:sz w:val="32"/>
          <w:szCs w:val="32"/>
        </w:rPr>
      </w:pPr>
      <w:r>
        <w:rPr>
          <w:rFonts w:hint="eastAsia" w:ascii="宋体" w:hAnsi="宋体" w:cs="宋体"/>
          <w:color w:val="000000"/>
          <w:kern w:val="0"/>
          <w:sz w:val="32"/>
          <w:szCs w:val="32"/>
        </w:rPr>
        <w:t>根据年初设定的绩效目标，项目绩效自评得分为</w:t>
      </w:r>
      <w:r>
        <w:rPr>
          <w:rFonts w:ascii="宋体" w:hAnsi="宋体" w:cs="宋体"/>
          <w:color w:val="000000"/>
          <w:kern w:val="0"/>
          <w:sz w:val="32"/>
          <w:szCs w:val="32"/>
        </w:rPr>
        <w:t>95.9</w:t>
      </w:r>
      <w:r>
        <w:rPr>
          <w:rFonts w:hint="eastAsia" w:ascii="宋体" w:hAnsi="宋体" w:cs="宋体"/>
          <w:color w:val="000000"/>
          <w:kern w:val="0"/>
          <w:sz w:val="32"/>
          <w:szCs w:val="32"/>
        </w:rPr>
        <w:t>分。项目全年预算数为</w:t>
      </w:r>
      <w:r>
        <w:rPr>
          <w:rFonts w:ascii="宋体" w:cs="宋体"/>
          <w:color w:val="000000"/>
          <w:kern w:val="0"/>
          <w:sz w:val="32"/>
          <w:szCs w:val="32"/>
        </w:rPr>
        <w:t>0</w:t>
      </w:r>
      <w:r>
        <w:rPr>
          <w:rFonts w:hint="eastAsia" w:ascii="宋体" w:hAnsi="宋体" w:cs="宋体"/>
          <w:color w:val="000000"/>
          <w:kern w:val="0"/>
          <w:sz w:val="32"/>
          <w:szCs w:val="32"/>
        </w:rPr>
        <w:t>万元，执行数为</w:t>
      </w:r>
      <w:r>
        <w:rPr>
          <w:rFonts w:ascii="宋体" w:hAnsi="宋体" w:cs="宋体"/>
          <w:color w:val="000000"/>
          <w:kern w:val="0"/>
          <w:sz w:val="32"/>
          <w:szCs w:val="32"/>
        </w:rPr>
        <w:t>236</w:t>
      </w:r>
      <w:r>
        <w:rPr>
          <w:rFonts w:hint="eastAsia" w:ascii="宋体" w:hAnsi="宋体" w:cs="宋体"/>
          <w:color w:val="000000"/>
          <w:kern w:val="0"/>
          <w:sz w:val="32"/>
          <w:szCs w:val="32"/>
        </w:rPr>
        <w:t>万元，完成预算的</w:t>
      </w:r>
      <w:r>
        <w:rPr>
          <w:rFonts w:ascii="宋体" w:hAnsi="宋体" w:cs="宋体"/>
          <w:color w:val="000000"/>
          <w:kern w:val="0"/>
          <w:sz w:val="32"/>
          <w:szCs w:val="32"/>
        </w:rPr>
        <w:t>100%</w:t>
      </w:r>
      <w:r>
        <w:rPr>
          <w:rFonts w:hint="eastAsia" w:ascii="宋体" w:hAnsi="宋体" w:cs="宋体"/>
          <w:color w:val="000000"/>
          <w:kern w:val="0"/>
          <w:sz w:val="32"/>
          <w:szCs w:val="32"/>
        </w:rPr>
        <w:t>。项目绩效目标完成情况：</w:t>
      </w:r>
    </w:p>
    <w:p>
      <w:pPr>
        <w:spacing w:line="500" w:lineRule="exact"/>
        <w:ind w:firstLine="480" w:firstLineChars="15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、钢结构交易厂棚</w:t>
      </w:r>
      <w:r>
        <w:rPr>
          <w:rFonts w:ascii="仿宋" w:hAnsi="仿宋" w:eastAsia="仿宋" w:cs="仿宋"/>
          <w:sz w:val="32"/>
          <w:szCs w:val="32"/>
        </w:rPr>
        <w:t>5</w:t>
      </w:r>
      <w:r>
        <w:rPr>
          <w:rFonts w:hint="eastAsia" w:ascii="仿宋" w:hAnsi="仿宋" w:eastAsia="仿宋" w:cs="仿宋"/>
          <w:sz w:val="32"/>
          <w:szCs w:val="32"/>
        </w:rPr>
        <w:t>栋，办公房</w:t>
      </w:r>
      <w:r>
        <w:rPr>
          <w:rFonts w:ascii="仿宋" w:hAnsi="仿宋" w:eastAsia="仿宋" w:cs="仿宋"/>
          <w:sz w:val="32"/>
          <w:szCs w:val="32"/>
        </w:rPr>
        <w:t>,</w:t>
      </w:r>
      <w:r>
        <w:rPr>
          <w:rFonts w:hint="eastAsia" w:ascii="仿宋" w:hAnsi="仿宋" w:eastAsia="仿宋" w:cs="仿宋"/>
          <w:sz w:val="32"/>
          <w:szCs w:val="32"/>
        </w:rPr>
        <w:t>消防设施、装饰工程、水电工程、暖通工程、弱电、电子监控等项目。</w:t>
      </w:r>
    </w:p>
    <w:p>
      <w:pPr>
        <w:spacing w:line="500" w:lineRule="exact"/>
        <w:ind w:firstLine="480" w:firstLineChars="15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、室内地面为地砖地面，道路扩宽</w:t>
      </w:r>
      <w:r>
        <w:rPr>
          <w:rFonts w:ascii="仿宋" w:hAnsi="仿宋" w:eastAsia="仿宋" w:cs="仿宋"/>
          <w:sz w:val="32"/>
          <w:szCs w:val="32"/>
        </w:rPr>
        <w:t>,</w:t>
      </w:r>
      <w:r>
        <w:rPr>
          <w:rFonts w:hint="eastAsia" w:ascii="仿宋" w:hAnsi="仿宋" w:eastAsia="仿宋" w:cs="仿宋"/>
          <w:sz w:val="32"/>
          <w:szCs w:val="32"/>
        </w:rPr>
        <w:t>市场四周道路硬化，停车场水泥地面、四周绿化。</w:t>
      </w:r>
    </w:p>
    <w:p>
      <w:pPr>
        <w:spacing w:line="500" w:lineRule="exact"/>
        <w:ind w:firstLine="480" w:firstLineChars="15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、场内每户安装一个智能水、电表，铺面前铺设水泥明沟，室内设置带滤网地漏，下水通过暗沟排放。</w:t>
      </w:r>
    </w:p>
    <w:p>
      <w:pPr>
        <w:spacing w:line="500" w:lineRule="exact"/>
        <w:ind w:firstLine="480" w:firstLineChars="15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、环卫改造：室内设置足够的标准垃圾桶、垃圾箱，市场建设标准化公厕一座。</w:t>
      </w:r>
    </w:p>
    <w:p>
      <w:pPr>
        <w:spacing w:line="500" w:lineRule="exact"/>
        <w:ind w:firstLine="480" w:firstLineChars="150"/>
        <w:rPr>
          <w:rFonts w:ascii="仿宋" w:hAnsi="仿宋" w:eastAsia="仿宋" w:cs="Times New Roman"/>
          <w:i/>
          <w:iCs/>
          <w:sz w:val="32"/>
          <w:szCs w:val="32"/>
        </w:rPr>
      </w:pPr>
      <w:r>
        <w:rPr>
          <w:rFonts w:ascii="仿宋" w:hAnsi="仿宋" w:eastAsia="仿宋" w:cs="仿宋"/>
          <w:sz w:val="32"/>
          <w:szCs w:val="32"/>
        </w:rPr>
        <w:t>5</w:t>
      </w:r>
      <w:r>
        <w:rPr>
          <w:rFonts w:hint="eastAsia" w:ascii="仿宋" w:hAnsi="仿宋" w:eastAsia="仿宋" w:cs="仿宋"/>
          <w:sz w:val="32"/>
          <w:szCs w:val="32"/>
        </w:rPr>
        <w:t>、水电设施：市场内每户安装一个智能水、电表，铺面前铺设水泥明沟，室内设置带滤网地漏，下水通过暗沟排放。室内用电管线桥架铺设，电线穿管铺设，智能电表集中管理，每个摊位设置带底线低压电源插座。</w:t>
      </w:r>
    </w:p>
    <w:p>
      <w:pPr>
        <w:spacing w:line="500" w:lineRule="exact"/>
        <w:ind w:firstLine="480" w:firstLineChars="15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、市场管理办公室建设：市场内建设市场管理办公室，配备专职人员，建立健全了治安、消防、卫生、市场精细化管理等制度。</w:t>
      </w:r>
    </w:p>
    <w:p>
      <w:pPr>
        <w:autoSpaceDE w:val="0"/>
        <w:autoSpaceDN w:val="0"/>
        <w:adjustRightInd w:val="0"/>
        <w:ind w:firstLine="640" w:firstLineChars="200"/>
        <w:jc w:val="left"/>
        <w:rPr>
          <w:rFonts w:ascii="宋体" w:cs="Times New Roman"/>
          <w:color w:val="000000"/>
          <w:kern w:val="0"/>
          <w:sz w:val="32"/>
          <w:szCs w:val="32"/>
        </w:rPr>
      </w:pPr>
      <w:r>
        <w:rPr>
          <w:rFonts w:hint="eastAsia" w:ascii="宋体" w:hAnsi="宋体" w:cs="宋体"/>
          <w:b/>
          <w:bCs/>
          <w:color w:val="000000"/>
          <w:kern w:val="0"/>
          <w:sz w:val="32"/>
          <w:szCs w:val="32"/>
        </w:rPr>
        <w:t>（</w:t>
      </w:r>
      <w:r>
        <w:rPr>
          <w:rFonts w:ascii="宋体" w:hAnsi="宋体" w:cs="宋体"/>
          <w:b/>
          <w:bCs/>
          <w:color w:val="000000"/>
          <w:kern w:val="0"/>
          <w:sz w:val="32"/>
          <w:szCs w:val="32"/>
        </w:rPr>
        <w:t>3</w:t>
      </w:r>
      <w:r>
        <w:rPr>
          <w:rFonts w:hint="eastAsia" w:ascii="宋体" w:hAnsi="宋体" w:cs="宋体"/>
          <w:b/>
          <w:bCs/>
          <w:color w:val="000000"/>
          <w:kern w:val="0"/>
          <w:sz w:val="32"/>
          <w:szCs w:val="32"/>
        </w:rPr>
        <w:t>）部门评价项目绩效评价结果。</w:t>
      </w:r>
    </w:p>
    <w:p>
      <w:pPr>
        <w:autoSpaceDE w:val="0"/>
        <w:autoSpaceDN w:val="0"/>
        <w:adjustRightInd w:val="0"/>
        <w:ind w:firstLine="640" w:firstLineChars="200"/>
        <w:jc w:val="left"/>
        <w:rPr>
          <w:rFonts w:cs="Times New Roman"/>
          <w:sz w:val="72"/>
          <w:szCs w:val="72"/>
        </w:rPr>
      </w:pPr>
      <w:r>
        <w:rPr>
          <w:rFonts w:hint="eastAsia" w:ascii="宋体" w:hAnsi="宋体" w:cs="宋体"/>
          <w:color w:val="000000"/>
          <w:kern w:val="0"/>
          <w:sz w:val="32"/>
          <w:szCs w:val="32"/>
        </w:rPr>
        <w:t>“道县富园市场”“道县家禽批发市场”</w:t>
      </w:r>
      <w:r>
        <w:rPr>
          <w:rFonts w:ascii="宋体" w:hAnsi="宋体" w:cs="宋体"/>
          <w:color w:val="000000"/>
          <w:kern w:val="0"/>
          <w:sz w:val="32"/>
          <w:szCs w:val="32"/>
        </w:rPr>
        <w:t>2</w:t>
      </w:r>
      <w:r>
        <w:rPr>
          <w:rFonts w:hint="eastAsia" w:ascii="宋体" w:hAnsi="宋体" w:cs="宋体"/>
          <w:color w:val="000000"/>
          <w:kern w:val="0"/>
          <w:sz w:val="32"/>
          <w:szCs w:val="32"/>
        </w:rPr>
        <w:t>个项目根据《项目支出绩效评价办法》（财预〔</w:t>
      </w:r>
      <w:r>
        <w:rPr>
          <w:rFonts w:ascii="宋体" w:hAnsi="宋体" w:cs="宋体"/>
          <w:color w:val="000000"/>
          <w:kern w:val="0"/>
          <w:sz w:val="32"/>
          <w:szCs w:val="32"/>
        </w:rPr>
        <w:t>2020</w:t>
      </w:r>
      <w:r>
        <w:rPr>
          <w:rFonts w:hint="eastAsia" w:ascii="宋体" w:hAnsi="宋体" w:cs="宋体"/>
          <w:color w:val="000000"/>
          <w:kern w:val="0"/>
          <w:sz w:val="32"/>
          <w:szCs w:val="32"/>
        </w:rPr>
        <w:t>〕</w:t>
      </w:r>
      <w:r>
        <w:rPr>
          <w:rFonts w:ascii="宋体" w:hAnsi="宋体" w:cs="宋体"/>
          <w:color w:val="000000"/>
          <w:kern w:val="0"/>
          <w:sz w:val="32"/>
          <w:szCs w:val="32"/>
        </w:rPr>
        <w:t xml:space="preserve">10 </w:t>
      </w:r>
      <w:r>
        <w:rPr>
          <w:rFonts w:hint="eastAsia" w:ascii="宋体" w:hAnsi="宋体" w:cs="宋体"/>
          <w:color w:val="000000"/>
          <w:kern w:val="0"/>
          <w:sz w:val="32"/>
          <w:szCs w:val="32"/>
        </w:rPr>
        <w:t>号）中《项目支出绩效评价报告（参考提纲）》、《湖南省预算支出绩效评价管理办法》（湘财绩〔</w:t>
      </w:r>
      <w:r>
        <w:rPr>
          <w:rFonts w:ascii="宋体" w:hAnsi="宋体" w:cs="宋体"/>
          <w:color w:val="000000"/>
          <w:kern w:val="0"/>
          <w:sz w:val="32"/>
          <w:szCs w:val="32"/>
        </w:rPr>
        <w:t>2020</w:t>
      </w:r>
      <w:r>
        <w:rPr>
          <w:rFonts w:hint="eastAsia" w:ascii="宋体" w:hAnsi="宋体" w:cs="宋体"/>
          <w:color w:val="000000"/>
          <w:kern w:val="0"/>
          <w:sz w:val="32"/>
          <w:szCs w:val="32"/>
        </w:rPr>
        <w:t>〕</w:t>
      </w:r>
      <w:r>
        <w:rPr>
          <w:rFonts w:ascii="宋体" w:hAnsi="宋体" w:cs="宋体"/>
          <w:color w:val="000000"/>
          <w:kern w:val="0"/>
          <w:sz w:val="32"/>
          <w:szCs w:val="32"/>
        </w:rPr>
        <w:t>7</w:t>
      </w:r>
      <w:r>
        <w:rPr>
          <w:rFonts w:hint="eastAsia" w:ascii="宋体" w:hAnsi="宋体" w:cs="宋体"/>
          <w:color w:val="000000"/>
          <w:kern w:val="0"/>
          <w:sz w:val="32"/>
          <w:szCs w:val="32"/>
        </w:rPr>
        <w:t>号）要求，按规定时间内将</w:t>
      </w:r>
      <w:r>
        <w:rPr>
          <w:rFonts w:ascii="宋体" w:hAnsi="宋体" w:cs="宋体"/>
          <w:color w:val="000000"/>
          <w:kern w:val="0"/>
          <w:sz w:val="32"/>
          <w:szCs w:val="32"/>
        </w:rPr>
        <w:t>2021</w:t>
      </w:r>
      <w:r>
        <w:rPr>
          <w:rFonts w:hint="eastAsia" w:ascii="宋体" w:hAnsi="宋体" w:cs="宋体"/>
          <w:color w:val="000000"/>
          <w:kern w:val="0"/>
          <w:sz w:val="32"/>
          <w:szCs w:val="32"/>
        </w:rPr>
        <w:t>年度专项资金绩效自评报告、整体部门支出绩效自评报告在门户网站公开，并接受社会监督。</w:t>
      </w: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rPr>
          <w:rFonts w:cs="Times New Roman"/>
          <w:sz w:val="72"/>
          <w:szCs w:val="72"/>
        </w:rPr>
      </w:pPr>
    </w:p>
    <w:p>
      <w:pPr>
        <w:pStyle w:val="13"/>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r>
        <w:rPr>
          <w:rFonts w:hint="eastAsia"/>
          <w:sz w:val="72"/>
          <w:szCs w:val="72"/>
        </w:rPr>
        <w:t>第四部分</w:t>
      </w:r>
    </w:p>
    <w:p>
      <w:pPr>
        <w:jc w:val="center"/>
        <w:rPr>
          <w:rFonts w:ascii="黑体" w:eastAsia="黑体" w:cs="Times New Roman"/>
          <w:color w:val="000000"/>
          <w:kern w:val="0"/>
          <w:sz w:val="70"/>
          <w:szCs w:val="70"/>
        </w:rPr>
      </w:pPr>
    </w:p>
    <w:p>
      <w:pPr>
        <w:jc w:val="center"/>
        <w:rPr>
          <w:rFonts w:ascii="黑体" w:eastAsia="黑体" w:cs="Times New Roman"/>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Times New Roman"/>
          <w:color w:val="000000"/>
          <w:kern w:val="0"/>
          <w:sz w:val="70"/>
          <w:szCs w:val="70"/>
        </w:rPr>
      </w:pPr>
      <w:r>
        <w:rPr>
          <w:rFonts w:ascii="黑体" w:eastAsia="黑体" w:cs="Times New Roman"/>
          <w:color w:val="000000"/>
          <w:kern w:val="0"/>
          <w:sz w:val="70"/>
          <w:szCs w:val="70"/>
        </w:rPr>
        <w:br w:type="page"/>
      </w:r>
    </w:p>
    <w:p>
      <w:pPr>
        <w:ind w:firstLine="640" w:firstLineChars="200"/>
        <w:jc w:val="left"/>
        <w:rPr>
          <w:rFonts w:ascii="宋体" w:cs="Times New Roman"/>
          <w:color w:val="000000"/>
          <w:kern w:val="0"/>
          <w:sz w:val="32"/>
          <w:szCs w:val="32"/>
        </w:rPr>
      </w:pPr>
    </w:p>
    <w:p>
      <w:pPr>
        <w:widowControl/>
        <w:spacing w:after="2" w:line="336" w:lineRule="atLeast"/>
        <w:ind w:firstLine="643"/>
        <w:rPr>
          <w:rFonts w:ascii="仿宋" w:hAnsi="仿宋" w:eastAsia="仿宋" w:cs="Times New Roman"/>
          <w:kern w:val="0"/>
        </w:rPr>
      </w:pPr>
      <w:r>
        <w:rPr>
          <w:rFonts w:hint="eastAsia" w:ascii="宋体" w:hAnsi="宋体" w:cs="宋体"/>
          <w:b/>
          <w:bCs/>
          <w:color w:val="000000"/>
          <w:kern w:val="0"/>
          <w:sz w:val="32"/>
          <w:szCs w:val="32"/>
        </w:rPr>
        <w:t>一、“三公”经费</w:t>
      </w:r>
      <w:r>
        <w:rPr>
          <w:rFonts w:hint="eastAsia" w:ascii="宋体" w:hAnsi="宋体" w:cs="宋体"/>
          <w:color w:val="000000"/>
          <w:kern w:val="0"/>
          <w:sz w:val="32"/>
          <w:szCs w:val="32"/>
        </w:rPr>
        <w:t>：</w:t>
      </w:r>
      <w:r>
        <w:rPr>
          <w:rFonts w:hint="eastAsia" w:ascii="仿宋" w:hAnsi="仿宋" w:eastAsia="仿宋" w:cs="仿宋"/>
          <w:color w:val="000000"/>
          <w:kern w:val="0"/>
          <w:sz w:val="32"/>
          <w:szCs w:val="32"/>
        </w:rPr>
        <w:t>按照党中央、国务院有关文件及部门预算管理有关规定，“三公”经费包括因公出国（境）费、公务用车购置及运行费和公务接待费。（</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）因公出国（境）费，指单位工作人员公务出国（境）的住宿费、旅费、伙食补助费、杂费、培训费等支出。（</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）公务用车购置及运行费，指单位公务用车购置费（含车辆购置税）及租用费、燃料费、维修费、过路过桥费、保险费等支出。（</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）公务接待费，指单位按规定开支的各类公务接待（含外宾接待）支出。</w:t>
      </w:r>
    </w:p>
    <w:p>
      <w:pPr>
        <w:widowControl/>
        <w:spacing w:after="2" w:line="336" w:lineRule="atLeast"/>
        <w:ind w:firstLine="643"/>
        <w:rPr>
          <w:rFonts w:ascii="宋体" w:cs="Times New Roman"/>
          <w:color w:val="000000"/>
          <w:kern w:val="0"/>
          <w:sz w:val="32"/>
          <w:szCs w:val="32"/>
        </w:rPr>
      </w:pPr>
      <w:r>
        <w:rPr>
          <w:rFonts w:hint="eastAsia" w:ascii="宋体" w:hAnsi="宋体" w:cs="宋体"/>
          <w:b/>
          <w:bCs/>
          <w:color w:val="000000"/>
          <w:kern w:val="0"/>
          <w:sz w:val="32"/>
          <w:szCs w:val="32"/>
        </w:rPr>
        <w:t>二、机关运行经费</w:t>
      </w:r>
      <w:r>
        <w:rPr>
          <w:rFonts w:hint="eastAsia" w:ascii="宋体" w:hAnsi="宋体" w:cs="宋体"/>
          <w:color w:val="000000"/>
          <w:kern w:val="0"/>
          <w:sz w:val="32"/>
          <w:szCs w:val="32"/>
        </w:rPr>
        <w:t>：</w:t>
      </w:r>
      <w:r>
        <w:rPr>
          <w:rFonts w:hint="eastAsia" w:ascii="仿宋" w:hAnsi="仿宋" w:eastAsia="仿宋" w:cs="仿宋"/>
          <w:color w:val="000000"/>
          <w:kern w:val="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widowControl/>
        <w:jc w:val="left"/>
        <w:rPr>
          <w:rFonts w:ascii="宋体" w:hAnsi="宋体" w:eastAsia="黑体" w:cs="Times New Roman"/>
          <w:color w:val="000000"/>
          <w:kern w:val="0"/>
          <w:sz w:val="28"/>
          <w:szCs w:val="28"/>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p>
    <w:p>
      <w:pPr>
        <w:pStyle w:val="13"/>
        <w:jc w:val="center"/>
        <w:rPr>
          <w:rFonts w:cs="Times New Roman"/>
          <w:sz w:val="72"/>
          <w:szCs w:val="72"/>
        </w:rPr>
      </w:pPr>
      <w:r>
        <w:rPr>
          <w:rFonts w:hint="eastAsia"/>
          <w:sz w:val="72"/>
          <w:szCs w:val="72"/>
        </w:rPr>
        <w:t>第五部分</w:t>
      </w:r>
    </w:p>
    <w:p>
      <w:pPr>
        <w:jc w:val="center"/>
        <w:rPr>
          <w:rFonts w:ascii="黑体" w:eastAsia="黑体" w:cs="Times New Roman"/>
          <w:color w:val="000000"/>
          <w:kern w:val="0"/>
          <w:sz w:val="70"/>
          <w:szCs w:val="70"/>
        </w:rPr>
      </w:pPr>
    </w:p>
    <w:p>
      <w:pPr>
        <w:jc w:val="center"/>
        <w:rPr>
          <w:rFonts w:ascii="黑体" w:eastAsia="黑体" w:cs="Times New Roman"/>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Times New Roman"/>
          <w:color w:val="000000"/>
          <w:kern w:val="0"/>
          <w:sz w:val="70"/>
          <w:szCs w:val="70"/>
        </w:rPr>
      </w:pPr>
      <w:r>
        <w:rPr>
          <w:rFonts w:ascii="黑体" w:eastAsia="黑体" w:cs="Times New Roman"/>
          <w:color w:val="000000"/>
          <w:kern w:val="0"/>
          <w:sz w:val="70"/>
          <w:szCs w:val="70"/>
        </w:rPr>
        <w:br w:type="page"/>
      </w:r>
    </w:p>
    <w:p>
      <w:pPr>
        <w:jc w:val="center"/>
        <w:rPr>
          <w:rFonts w:ascii="黑体" w:eastAsia="黑体" w:cs="Times New Roman"/>
          <w:color w:val="000000"/>
          <w:kern w:val="0"/>
          <w:sz w:val="70"/>
          <w:szCs w:val="70"/>
        </w:rPr>
      </w:pPr>
    </w:p>
    <w:p>
      <w:pPr>
        <w:ind w:firstLine="880" w:firstLineChars="200"/>
        <w:jc w:val="center"/>
        <w:rPr>
          <w:rFonts w:ascii="宋体" w:cs="Times New Roman"/>
          <w:b/>
          <w:bCs/>
          <w:color w:val="000000"/>
          <w:kern w:val="0"/>
          <w:sz w:val="44"/>
          <w:szCs w:val="44"/>
        </w:rPr>
      </w:pPr>
      <w:r>
        <w:rPr>
          <w:rFonts w:hint="eastAsia" w:ascii="宋体" w:hAnsi="宋体" w:cs="宋体"/>
          <w:b/>
          <w:bCs/>
          <w:color w:val="000000"/>
          <w:kern w:val="0"/>
          <w:sz w:val="44"/>
          <w:szCs w:val="44"/>
        </w:rPr>
        <w:t>道县市场服务中心</w:t>
      </w:r>
    </w:p>
    <w:p>
      <w:pPr>
        <w:ind w:firstLine="880" w:firstLineChars="200"/>
        <w:jc w:val="center"/>
        <w:rPr>
          <w:rFonts w:ascii="宋体" w:cs="Times New Roman"/>
          <w:b/>
          <w:bCs/>
          <w:color w:val="000000"/>
          <w:kern w:val="0"/>
          <w:sz w:val="44"/>
          <w:szCs w:val="44"/>
        </w:rPr>
      </w:pPr>
      <w:r>
        <w:rPr>
          <w:rFonts w:ascii="宋体" w:hAnsi="宋体" w:cs="宋体"/>
          <w:b/>
          <w:bCs/>
          <w:color w:val="000000"/>
          <w:kern w:val="0"/>
          <w:sz w:val="44"/>
          <w:szCs w:val="44"/>
        </w:rPr>
        <w:t>2021</w:t>
      </w:r>
      <w:r>
        <w:rPr>
          <w:rFonts w:hint="eastAsia" w:ascii="宋体" w:hAnsi="宋体" w:cs="宋体"/>
          <w:b/>
          <w:bCs/>
          <w:color w:val="000000"/>
          <w:kern w:val="0"/>
          <w:sz w:val="44"/>
          <w:szCs w:val="44"/>
        </w:rPr>
        <w:t>年度部门整体支出绩效评价报告</w:t>
      </w:r>
    </w:p>
    <w:p>
      <w:pPr>
        <w:ind w:firstLine="880" w:firstLineChars="200"/>
        <w:jc w:val="center"/>
        <w:rPr>
          <w:rFonts w:ascii="宋体" w:cs="Times New Roman"/>
          <w:b/>
          <w:bCs/>
          <w:color w:val="000000"/>
          <w:kern w:val="0"/>
          <w:sz w:val="44"/>
          <w:szCs w:val="44"/>
        </w:rPr>
      </w:pPr>
    </w:p>
    <w:p>
      <w:pPr>
        <w:adjustRightInd w:val="0"/>
        <w:snapToGrid w:val="0"/>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一、基本情况</w:t>
      </w:r>
    </w:p>
    <w:p>
      <w:pPr>
        <w:adjustRightInd w:val="0"/>
        <w:snapToGrid w:val="0"/>
        <w:spacing w:line="600" w:lineRule="exact"/>
        <w:ind w:firstLine="640" w:firstLineChars="200"/>
        <w:rPr>
          <w:rFonts w:ascii="楷体_GB2312" w:hAnsi="楷体_GB2312" w:eastAsia="楷体_GB2312" w:cs="Times New Roman"/>
          <w:b/>
          <w:bCs/>
          <w:sz w:val="32"/>
          <w:szCs w:val="32"/>
        </w:rPr>
      </w:pPr>
      <w:r>
        <w:rPr>
          <w:rFonts w:hint="eastAsia" w:ascii="楷体_GB2312" w:hAnsi="楷体_GB2312" w:eastAsia="楷体_GB2312" w:cs="楷体_GB2312"/>
          <w:b/>
          <w:bCs/>
          <w:sz w:val="32"/>
          <w:szCs w:val="32"/>
        </w:rPr>
        <w:t>（一）部门基本情况</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w:t>
      </w:r>
      <w:r>
        <w:rPr>
          <w:rFonts w:ascii="仿宋" w:hAnsi="仿宋" w:eastAsia="仿宋" w:cs="仿宋"/>
          <w:sz w:val="32"/>
          <w:szCs w:val="32"/>
        </w:rPr>
        <w:t>2019</w:t>
      </w:r>
      <w:r>
        <w:rPr>
          <w:rFonts w:hint="eastAsia" w:ascii="仿宋" w:hAnsi="仿宋" w:eastAsia="仿宋" w:cs="仿宋"/>
          <w:sz w:val="32"/>
          <w:szCs w:val="32"/>
        </w:rPr>
        <w:t>年县委深化机构改革领导小组办公室发出的《关于道县机构改革有关单位调整的通知》（道机改办发〔</w:t>
      </w:r>
      <w:r>
        <w:rPr>
          <w:rFonts w:ascii="仿宋" w:hAnsi="仿宋" w:eastAsia="仿宋" w:cs="仿宋"/>
          <w:sz w:val="32"/>
          <w:szCs w:val="32"/>
        </w:rPr>
        <w:t>2019</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号）文件精神，道县市场服务中心调整为县商务局所属副科级公益类事业单位。目前，新的三定方案县委、政府还未行文下发，市场服务中心暂仍按原有机制运行。中心原有人员编制</w:t>
      </w:r>
      <w:r>
        <w:rPr>
          <w:rFonts w:ascii="仿宋" w:hAnsi="仿宋" w:eastAsia="仿宋" w:cs="仿宋"/>
          <w:sz w:val="32"/>
          <w:szCs w:val="32"/>
        </w:rPr>
        <w:t>134</w:t>
      </w:r>
      <w:r>
        <w:rPr>
          <w:rFonts w:hint="eastAsia" w:ascii="仿宋" w:hAnsi="仿宋" w:eastAsia="仿宋" w:cs="仿宋"/>
          <w:sz w:val="32"/>
          <w:szCs w:val="32"/>
        </w:rPr>
        <w:t>人，现实有职工总人数</w:t>
      </w:r>
      <w:r>
        <w:rPr>
          <w:rFonts w:ascii="仿宋" w:hAnsi="仿宋" w:eastAsia="仿宋" w:cs="仿宋"/>
          <w:sz w:val="32"/>
          <w:szCs w:val="32"/>
        </w:rPr>
        <w:t>99</w:t>
      </w:r>
      <w:r>
        <w:rPr>
          <w:rFonts w:hint="eastAsia" w:ascii="仿宋" w:hAnsi="仿宋" w:eastAsia="仿宋" w:cs="仿宋"/>
          <w:sz w:val="32"/>
          <w:szCs w:val="32"/>
        </w:rPr>
        <w:t>人，其中退休</w:t>
      </w:r>
      <w:r>
        <w:rPr>
          <w:rFonts w:ascii="仿宋" w:hAnsi="仿宋" w:eastAsia="仿宋" w:cs="仿宋"/>
          <w:sz w:val="32"/>
          <w:szCs w:val="32"/>
        </w:rPr>
        <w:t>22</w:t>
      </w:r>
      <w:r>
        <w:rPr>
          <w:rFonts w:hint="eastAsia" w:ascii="仿宋" w:hAnsi="仿宋" w:eastAsia="仿宋" w:cs="仿宋"/>
          <w:sz w:val="32"/>
          <w:szCs w:val="32"/>
        </w:rPr>
        <w:t>人，在编在岗</w:t>
      </w:r>
      <w:r>
        <w:rPr>
          <w:rFonts w:ascii="仿宋" w:hAnsi="仿宋" w:eastAsia="仿宋" w:cs="仿宋"/>
          <w:sz w:val="32"/>
          <w:szCs w:val="32"/>
        </w:rPr>
        <w:t>67</w:t>
      </w:r>
      <w:r>
        <w:rPr>
          <w:rFonts w:hint="eastAsia" w:ascii="仿宋" w:hAnsi="仿宋" w:eastAsia="仿宋" w:cs="仿宋"/>
          <w:sz w:val="32"/>
          <w:szCs w:val="32"/>
        </w:rPr>
        <w:t>人，外出创业</w:t>
      </w:r>
      <w:r>
        <w:rPr>
          <w:rFonts w:ascii="仿宋" w:hAnsi="仿宋" w:eastAsia="仿宋" w:cs="仿宋"/>
          <w:sz w:val="32"/>
          <w:szCs w:val="32"/>
        </w:rPr>
        <w:t>10</w:t>
      </w:r>
      <w:r>
        <w:rPr>
          <w:rFonts w:hint="eastAsia" w:ascii="仿宋" w:hAnsi="仿宋" w:eastAsia="仿宋" w:cs="仿宋"/>
          <w:sz w:val="32"/>
          <w:szCs w:val="32"/>
        </w:rPr>
        <w:t>人，临聘人员</w:t>
      </w:r>
      <w:r>
        <w:rPr>
          <w:rFonts w:ascii="仿宋" w:hAnsi="仿宋" w:eastAsia="仿宋" w:cs="仿宋"/>
          <w:sz w:val="32"/>
          <w:szCs w:val="32"/>
        </w:rPr>
        <w:t>3</w:t>
      </w:r>
      <w:r>
        <w:rPr>
          <w:rFonts w:hint="eastAsia" w:ascii="仿宋" w:hAnsi="仿宋" w:eastAsia="仿宋" w:cs="仿宋"/>
          <w:sz w:val="32"/>
          <w:szCs w:val="32"/>
        </w:rPr>
        <w:t>人。</w:t>
      </w:r>
      <w:r>
        <w:rPr>
          <w:rFonts w:ascii="仿宋" w:hAnsi="仿宋" w:eastAsia="仿宋" w:cs="仿宋"/>
          <w:sz w:val="32"/>
          <w:szCs w:val="32"/>
        </w:rPr>
        <w:t xml:space="preserve">  </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主要职责：经营管理县城区内国有农贸市场；负责市场内的物业管理、市场规划、市场开发和维修；负责市场内治安、消防、卫生等日常服务；提供交易场所和服务设施，开展代储、代运、信息咨询和其他服务；收取市场设施租赁、交易手续和其他符合国家和省规定的有偿服务费。目前，中心机关设“四股一室”即：政工股、市场经营股、市场建设规划股、治安消防股和办公室，下设“五所”即：城北市场交易服务所、城南市场交易服务所、工业园市场交易服务所（暂定）、濂溪市场交易服务所（暂定）、家禽批发市场交易服务所（暂定）。摊位总共</w:t>
      </w:r>
      <w:r>
        <w:rPr>
          <w:rFonts w:ascii="仿宋" w:hAnsi="仿宋" w:eastAsia="仿宋" w:cs="仿宋"/>
          <w:sz w:val="32"/>
          <w:szCs w:val="32"/>
        </w:rPr>
        <w:t>650</w:t>
      </w:r>
      <w:r>
        <w:rPr>
          <w:rFonts w:hint="eastAsia" w:ascii="仿宋" w:hAnsi="仿宋" w:eastAsia="仿宋" w:cs="仿宋"/>
          <w:sz w:val="32"/>
          <w:szCs w:val="32"/>
        </w:rPr>
        <w:t>个</w:t>
      </w:r>
      <w:r>
        <w:rPr>
          <w:rFonts w:ascii="仿宋" w:hAnsi="仿宋" w:eastAsia="仿宋" w:cs="仿宋"/>
          <w:sz w:val="32"/>
          <w:szCs w:val="32"/>
        </w:rPr>
        <w:t>,2021</w:t>
      </w:r>
      <w:r>
        <w:rPr>
          <w:rFonts w:hint="eastAsia" w:ascii="仿宋" w:hAnsi="仿宋" w:eastAsia="仿宋" w:cs="仿宋"/>
          <w:sz w:val="32"/>
          <w:szCs w:val="32"/>
        </w:rPr>
        <w:t>上缴非税收入</w:t>
      </w:r>
      <w:r>
        <w:rPr>
          <w:rFonts w:ascii="仿宋" w:hAnsi="仿宋" w:eastAsia="仿宋" w:cs="仿宋"/>
          <w:sz w:val="32"/>
          <w:szCs w:val="32"/>
        </w:rPr>
        <w:t>494.44</w:t>
      </w:r>
      <w:r>
        <w:rPr>
          <w:rFonts w:hint="eastAsia" w:ascii="仿宋" w:hAnsi="仿宋" w:eastAsia="仿宋" w:cs="仿宋"/>
          <w:sz w:val="32"/>
          <w:szCs w:val="32"/>
        </w:rPr>
        <w:t>万元。</w:t>
      </w:r>
      <w:r>
        <w:rPr>
          <w:rFonts w:ascii="仿宋" w:hAnsi="仿宋" w:eastAsia="仿宋" w:cs="仿宋"/>
          <w:sz w:val="32"/>
          <w:szCs w:val="32"/>
        </w:rPr>
        <w:t>2016</w:t>
      </w:r>
      <w:r>
        <w:rPr>
          <w:rFonts w:hint="eastAsia" w:ascii="仿宋" w:hAnsi="仿宋" w:eastAsia="仿宋" w:cs="仿宋"/>
          <w:sz w:val="32"/>
          <w:szCs w:val="32"/>
        </w:rPr>
        <w:t>年单位的湘</w:t>
      </w:r>
      <w:r>
        <w:rPr>
          <w:rFonts w:ascii="仿宋" w:hAnsi="仿宋" w:eastAsia="仿宋" w:cs="仿宋"/>
          <w:sz w:val="32"/>
          <w:szCs w:val="32"/>
        </w:rPr>
        <w:t>M31869</w:t>
      </w:r>
      <w:r>
        <w:rPr>
          <w:rFonts w:hint="eastAsia" w:ascii="仿宋" w:hAnsi="仿宋" w:eastAsia="仿宋" w:cs="仿宋"/>
          <w:sz w:val="32"/>
          <w:szCs w:val="32"/>
        </w:rPr>
        <w:t>桑塔纳小车报废后，单位未再购置公车，现无公车。</w:t>
      </w:r>
    </w:p>
    <w:p>
      <w:pPr>
        <w:adjustRightInd w:val="0"/>
        <w:snapToGrid w:val="0"/>
        <w:spacing w:line="600" w:lineRule="exact"/>
        <w:ind w:firstLine="640" w:firstLineChars="200"/>
        <w:rPr>
          <w:rFonts w:ascii="楷体_GB2312" w:hAnsi="楷体_GB2312" w:eastAsia="楷体_GB2312" w:cs="Times New Roman"/>
          <w:b/>
          <w:bCs/>
          <w:sz w:val="32"/>
          <w:szCs w:val="32"/>
        </w:rPr>
      </w:pPr>
      <w:r>
        <w:rPr>
          <w:rFonts w:hint="eastAsia" w:ascii="楷体_GB2312" w:hAnsi="楷体_GB2312" w:eastAsia="楷体_GB2312" w:cs="楷体_GB2312"/>
          <w:b/>
          <w:bCs/>
          <w:sz w:val="32"/>
          <w:szCs w:val="32"/>
        </w:rPr>
        <w:t>（二）部门</w:t>
      </w:r>
      <w:r>
        <w:rPr>
          <w:rFonts w:ascii="楷体_GB2312" w:hAnsi="楷体_GB2312" w:eastAsia="楷体_GB2312" w:cs="楷体_GB2312"/>
          <w:b/>
          <w:bCs/>
          <w:sz w:val="32"/>
          <w:szCs w:val="32"/>
        </w:rPr>
        <w:t>2021</w:t>
      </w:r>
      <w:r>
        <w:rPr>
          <w:rFonts w:hint="eastAsia" w:ascii="楷体_GB2312" w:hAnsi="楷体_GB2312" w:eastAsia="楷体_GB2312" w:cs="楷体_GB2312"/>
          <w:b/>
          <w:bCs/>
          <w:sz w:val="32"/>
          <w:szCs w:val="32"/>
        </w:rPr>
        <w:t>年度整体支出绩效目标。</w:t>
      </w:r>
    </w:p>
    <w:p>
      <w:pPr>
        <w:adjustRightInd w:val="0"/>
        <w:snapToGrid w:val="0"/>
        <w:spacing w:line="600" w:lineRule="exact"/>
        <w:rPr>
          <w:rFonts w:ascii="仿宋" w:hAnsi="仿宋" w:eastAsia="仿宋" w:cs="Times New Roman"/>
          <w:sz w:val="32"/>
          <w:szCs w:val="32"/>
        </w:rPr>
      </w:pPr>
      <w:r>
        <w:rPr>
          <w:rFonts w:ascii="仿宋" w:hAnsi="仿宋" w:eastAsia="仿宋" w:cs="仿宋"/>
          <w:sz w:val="32"/>
          <w:szCs w:val="32"/>
        </w:rPr>
        <w:t>2021</w:t>
      </w:r>
      <w:r>
        <w:rPr>
          <w:rFonts w:hint="eastAsia" w:ascii="仿宋" w:hAnsi="仿宋" w:eastAsia="仿宋" w:cs="仿宋"/>
          <w:sz w:val="32"/>
          <w:szCs w:val="32"/>
        </w:rPr>
        <w:t>年市场服务中心整体支出绩效目标，基本支出</w:t>
      </w:r>
      <w:r>
        <w:rPr>
          <w:rFonts w:ascii="仿宋" w:hAnsi="仿宋" w:eastAsia="仿宋" w:cs="仿宋"/>
          <w:sz w:val="32"/>
          <w:szCs w:val="32"/>
        </w:rPr>
        <w:t>789.98</w:t>
      </w:r>
      <w:r>
        <w:rPr>
          <w:rFonts w:hint="eastAsia" w:ascii="仿宋" w:hAnsi="仿宋" w:eastAsia="仿宋" w:cs="仿宋"/>
          <w:sz w:val="32"/>
          <w:szCs w:val="32"/>
        </w:rPr>
        <w:t>万元。</w:t>
      </w:r>
    </w:p>
    <w:p>
      <w:pPr>
        <w:adjustRightInd w:val="0"/>
        <w:snapToGrid w:val="0"/>
        <w:spacing w:line="600" w:lineRule="exact"/>
        <w:ind w:firstLine="640" w:firstLineChars="200"/>
        <w:rPr>
          <w:rFonts w:ascii="仿宋" w:hAnsi="仿宋" w:eastAsia="仿宋" w:cs="Times New Roman"/>
          <w:sz w:val="32"/>
          <w:szCs w:val="32"/>
        </w:rPr>
      </w:pPr>
      <w:r>
        <w:rPr>
          <w:rFonts w:hint="eastAsia" w:ascii="黑体" w:hAnsi="黑体" w:eastAsia="黑体" w:cs="黑体"/>
          <w:sz w:val="32"/>
          <w:szCs w:val="32"/>
        </w:rPr>
        <w:t>二、一般公共预算支出情况</w:t>
      </w:r>
    </w:p>
    <w:p>
      <w:pPr>
        <w:adjustRightInd w:val="0"/>
        <w:snapToGrid w:val="0"/>
        <w:spacing w:line="600" w:lineRule="exact"/>
        <w:ind w:firstLine="640" w:firstLineChars="200"/>
        <w:rPr>
          <w:rFonts w:ascii="仿宋" w:hAnsi="仿宋" w:eastAsia="仿宋" w:cs="Times New Roman"/>
          <w:sz w:val="32"/>
          <w:szCs w:val="32"/>
        </w:rPr>
      </w:pPr>
      <w:r>
        <w:rPr>
          <w:rFonts w:hint="eastAsia" w:ascii="楷体_GB2312" w:hAnsi="楷体_GB2312" w:eastAsia="楷体_GB2312" w:cs="楷体_GB2312"/>
          <w:b/>
          <w:bCs/>
          <w:sz w:val="32"/>
          <w:szCs w:val="32"/>
        </w:rPr>
        <w:t>（一）基本支出</w:t>
      </w:r>
      <w:r>
        <w:rPr>
          <w:rFonts w:ascii="楷体_GB2312" w:hAnsi="楷体_GB2312" w:eastAsia="楷体_GB2312" w:cs="楷体_GB2312"/>
          <w:b/>
          <w:bCs/>
          <w:color w:val="000000"/>
          <w:sz w:val="32"/>
          <w:szCs w:val="32"/>
        </w:rPr>
        <w:t>1265.82</w:t>
      </w:r>
      <w:r>
        <w:rPr>
          <w:rFonts w:hint="eastAsia" w:ascii="楷体_GB2312" w:hAnsi="楷体_GB2312" w:eastAsia="楷体_GB2312" w:cs="楷体_GB2312"/>
          <w:b/>
          <w:bCs/>
          <w:sz w:val="32"/>
          <w:szCs w:val="32"/>
        </w:rPr>
        <w:t>万元</w:t>
      </w:r>
    </w:p>
    <w:p>
      <w:pPr>
        <w:ind w:firstLine="755" w:firstLineChars="236"/>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2021</w:t>
      </w:r>
      <w:r>
        <w:rPr>
          <w:rFonts w:hint="eastAsia" w:ascii="仿宋" w:hAnsi="仿宋" w:eastAsia="仿宋" w:cs="仿宋"/>
          <w:sz w:val="32"/>
          <w:szCs w:val="32"/>
        </w:rPr>
        <w:t>年人员支出</w:t>
      </w:r>
      <w:r>
        <w:rPr>
          <w:rFonts w:ascii="仿宋" w:hAnsi="仿宋" w:eastAsia="仿宋" w:cs="仿宋"/>
          <w:sz w:val="32"/>
          <w:szCs w:val="32"/>
        </w:rPr>
        <w:t>649.96</w:t>
      </w:r>
      <w:r>
        <w:rPr>
          <w:rFonts w:hint="eastAsia" w:ascii="仿宋" w:hAnsi="仿宋" w:eastAsia="仿宋" w:cs="仿宋"/>
          <w:sz w:val="32"/>
          <w:szCs w:val="32"/>
        </w:rPr>
        <w:t>万元。其中基本工资</w:t>
      </w:r>
      <w:r>
        <w:rPr>
          <w:rFonts w:ascii="仿宋" w:hAnsi="仿宋" w:eastAsia="仿宋" w:cs="仿宋"/>
          <w:sz w:val="32"/>
          <w:szCs w:val="32"/>
        </w:rPr>
        <w:t>241.77</w:t>
      </w:r>
      <w:r>
        <w:rPr>
          <w:rFonts w:hint="eastAsia" w:ascii="仿宋" w:hAnsi="仿宋" w:eastAsia="仿宋" w:cs="仿宋"/>
          <w:sz w:val="32"/>
          <w:szCs w:val="32"/>
        </w:rPr>
        <w:t>万元、津贴补贴</w:t>
      </w:r>
      <w:r>
        <w:rPr>
          <w:rFonts w:ascii="仿宋" w:hAnsi="仿宋" w:eastAsia="仿宋" w:cs="仿宋"/>
          <w:sz w:val="32"/>
          <w:szCs w:val="32"/>
        </w:rPr>
        <w:t>2.52</w:t>
      </w:r>
      <w:r>
        <w:rPr>
          <w:rFonts w:hint="eastAsia" w:ascii="仿宋" w:hAnsi="仿宋" w:eastAsia="仿宋" w:cs="仿宋"/>
          <w:sz w:val="32"/>
          <w:szCs w:val="32"/>
        </w:rPr>
        <w:t>万元、奖金</w:t>
      </w:r>
      <w:r>
        <w:rPr>
          <w:rFonts w:ascii="仿宋" w:hAnsi="仿宋" w:eastAsia="仿宋" w:cs="仿宋"/>
          <w:sz w:val="32"/>
          <w:szCs w:val="32"/>
        </w:rPr>
        <w:t>71.17</w:t>
      </w:r>
      <w:r>
        <w:rPr>
          <w:rFonts w:hint="eastAsia" w:ascii="仿宋" w:hAnsi="仿宋" w:eastAsia="仿宋" w:cs="仿宋"/>
          <w:sz w:val="32"/>
          <w:szCs w:val="32"/>
        </w:rPr>
        <w:t>万元、伙食补助费</w:t>
      </w:r>
      <w:r>
        <w:rPr>
          <w:rFonts w:ascii="仿宋" w:hAnsi="仿宋" w:eastAsia="仿宋" w:cs="仿宋"/>
          <w:sz w:val="32"/>
          <w:szCs w:val="32"/>
        </w:rPr>
        <w:t>1.84</w:t>
      </w:r>
      <w:r>
        <w:rPr>
          <w:rFonts w:hint="eastAsia" w:ascii="仿宋" w:hAnsi="仿宋" w:eastAsia="仿宋" w:cs="仿宋"/>
          <w:sz w:val="32"/>
          <w:szCs w:val="32"/>
        </w:rPr>
        <w:t>万元、绩效工资</w:t>
      </w:r>
      <w:r>
        <w:rPr>
          <w:rFonts w:ascii="仿宋" w:hAnsi="仿宋" w:eastAsia="仿宋" w:cs="仿宋"/>
          <w:sz w:val="32"/>
          <w:szCs w:val="32"/>
        </w:rPr>
        <w:t>151.88</w:t>
      </w:r>
      <w:r>
        <w:rPr>
          <w:rFonts w:hint="eastAsia" w:ascii="仿宋" w:hAnsi="仿宋" w:eastAsia="仿宋" w:cs="仿宋"/>
          <w:sz w:val="32"/>
          <w:szCs w:val="32"/>
        </w:rPr>
        <w:t>万元、基本养老保险缴费</w:t>
      </w:r>
      <w:r>
        <w:rPr>
          <w:rFonts w:ascii="仿宋" w:hAnsi="仿宋" w:eastAsia="仿宋" w:cs="仿宋"/>
          <w:sz w:val="32"/>
          <w:szCs w:val="32"/>
        </w:rPr>
        <w:t>55.83</w:t>
      </w:r>
      <w:r>
        <w:rPr>
          <w:rFonts w:hint="eastAsia" w:ascii="仿宋" w:hAnsi="仿宋" w:eastAsia="仿宋" w:cs="仿宋"/>
          <w:sz w:val="32"/>
          <w:szCs w:val="32"/>
        </w:rPr>
        <w:t>万元、职业年金缴费</w:t>
      </w:r>
      <w:r>
        <w:rPr>
          <w:rFonts w:ascii="仿宋" w:hAnsi="仿宋" w:eastAsia="仿宋" w:cs="仿宋"/>
          <w:sz w:val="32"/>
          <w:szCs w:val="32"/>
        </w:rPr>
        <w:t>27.39</w:t>
      </w:r>
      <w:r>
        <w:rPr>
          <w:rFonts w:hint="eastAsia" w:ascii="仿宋" w:hAnsi="仿宋" w:eastAsia="仿宋" w:cs="仿宋"/>
          <w:sz w:val="32"/>
          <w:szCs w:val="32"/>
        </w:rPr>
        <w:t>万元、基本医疗保险缴费</w:t>
      </w:r>
      <w:r>
        <w:rPr>
          <w:rFonts w:ascii="仿宋" w:hAnsi="仿宋" w:eastAsia="仿宋" w:cs="仿宋"/>
          <w:sz w:val="32"/>
          <w:szCs w:val="32"/>
        </w:rPr>
        <w:t>33.25</w:t>
      </w:r>
      <w:r>
        <w:rPr>
          <w:rFonts w:hint="eastAsia" w:ascii="仿宋" w:hAnsi="仿宋" w:eastAsia="仿宋" w:cs="仿宋"/>
          <w:sz w:val="32"/>
          <w:szCs w:val="32"/>
        </w:rPr>
        <w:t>万元、其他工资福利支出</w:t>
      </w:r>
      <w:r>
        <w:rPr>
          <w:rFonts w:ascii="仿宋" w:hAnsi="仿宋" w:eastAsia="仿宋" w:cs="仿宋"/>
          <w:sz w:val="32"/>
          <w:szCs w:val="32"/>
        </w:rPr>
        <w:t>64.31</w:t>
      </w:r>
      <w:r>
        <w:rPr>
          <w:rFonts w:hint="eastAsia" w:ascii="仿宋" w:hAnsi="仿宋" w:eastAsia="仿宋" w:cs="仿宋"/>
          <w:sz w:val="32"/>
          <w:szCs w:val="32"/>
        </w:rPr>
        <w:t>万元</w:t>
      </w:r>
      <w:r>
        <w:rPr>
          <w:rFonts w:hint="eastAsia" w:ascii="仿宋" w:hAnsi="仿宋" w:eastAsia="仿宋" w:cs="仿宋"/>
          <w:b/>
          <w:bCs/>
          <w:sz w:val="32"/>
          <w:szCs w:val="32"/>
        </w:rPr>
        <w:t>。</w:t>
      </w:r>
    </w:p>
    <w:p>
      <w:pPr>
        <w:numPr>
          <w:ilvl w:val="0"/>
          <w:numId w:val="2"/>
        </w:numPr>
        <w:ind w:firstLine="750"/>
        <w:rPr>
          <w:rFonts w:ascii="仿宋" w:hAnsi="仿宋" w:eastAsia="仿宋" w:cs="Times New Roman"/>
          <w:sz w:val="32"/>
          <w:szCs w:val="32"/>
        </w:rPr>
      </w:pPr>
      <w:r>
        <w:rPr>
          <w:rFonts w:hint="eastAsia" w:ascii="仿宋" w:hAnsi="仿宋" w:eastAsia="仿宋" w:cs="仿宋"/>
          <w:sz w:val="32"/>
          <w:szCs w:val="32"/>
        </w:rPr>
        <w:t>单位运行支出</w:t>
      </w:r>
      <w:r>
        <w:rPr>
          <w:rFonts w:ascii="仿宋" w:hAnsi="仿宋" w:eastAsia="仿宋" w:cs="仿宋"/>
          <w:sz w:val="32"/>
          <w:szCs w:val="32"/>
        </w:rPr>
        <w:t>261.90</w:t>
      </w:r>
      <w:r>
        <w:rPr>
          <w:rFonts w:hint="eastAsia" w:ascii="仿宋" w:hAnsi="仿宋" w:eastAsia="仿宋" w:cs="仿宋"/>
          <w:sz w:val="32"/>
          <w:szCs w:val="32"/>
        </w:rPr>
        <w:t>万元。其中：办公费</w:t>
      </w:r>
      <w:r>
        <w:rPr>
          <w:rFonts w:ascii="仿宋" w:hAnsi="仿宋" w:eastAsia="仿宋" w:cs="仿宋"/>
          <w:sz w:val="32"/>
          <w:szCs w:val="32"/>
        </w:rPr>
        <w:t>7.09</w:t>
      </w:r>
      <w:r>
        <w:rPr>
          <w:rFonts w:hint="eastAsia" w:ascii="仿宋" w:hAnsi="仿宋" w:eastAsia="仿宋" w:cs="仿宋"/>
          <w:sz w:val="32"/>
          <w:szCs w:val="32"/>
        </w:rPr>
        <w:t>万元、印刷费</w:t>
      </w:r>
      <w:r>
        <w:rPr>
          <w:rFonts w:ascii="仿宋" w:hAnsi="仿宋" w:eastAsia="仿宋" w:cs="仿宋"/>
          <w:sz w:val="32"/>
          <w:szCs w:val="32"/>
        </w:rPr>
        <w:t>3.68</w:t>
      </w:r>
      <w:r>
        <w:rPr>
          <w:rFonts w:hint="eastAsia" w:ascii="仿宋" w:hAnsi="仿宋" w:eastAsia="仿宋" w:cs="仿宋"/>
          <w:sz w:val="32"/>
          <w:szCs w:val="32"/>
        </w:rPr>
        <w:t>万元、咨询费</w:t>
      </w:r>
      <w:r>
        <w:rPr>
          <w:rFonts w:ascii="仿宋" w:hAnsi="仿宋" w:eastAsia="仿宋" w:cs="仿宋"/>
          <w:sz w:val="32"/>
          <w:szCs w:val="32"/>
        </w:rPr>
        <w:t>1.1</w:t>
      </w:r>
      <w:r>
        <w:rPr>
          <w:rFonts w:hint="eastAsia" w:ascii="仿宋" w:hAnsi="仿宋" w:eastAsia="仿宋" w:cs="仿宋"/>
          <w:sz w:val="32"/>
          <w:szCs w:val="32"/>
        </w:rPr>
        <w:t>万元、水费</w:t>
      </w:r>
      <w:r>
        <w:rPr>
          <w:rFonts w:ascii="仿宋" w:hAnsi="仿宋" w:eastAsia="仿宋" w:cs="仿宋"/>
          <w:sz w:val="32"/>
          <w:szCs w:val="32"/>
        </w:rPr>
        <w:t>9.69</w:t>
      </w:r>
      <w:r>
        <w:rPr>
          <w:rFonts w:hint="eastAsia" w:ascii="仿宋" w:hAnsi="仿宋" w:eastAsia="仿宋" w:cs="仿宋"/>
          <w:sz w:val="32"/>
          <w:szCs w:val="32"/>
        </w:rPr>
        <w:t>万元、电费</w:t>
      </w:r>
      <w:r>
        <w:rPr>
          <w:rFonts w:ascii="仿宋" w:hAnsi="仿宋" w:eastAsia="仿宋" w:cs="仿宋"/>
          <w:sz w:val="32"/>
          <w:szCs w:val="32"/>
        </w:rPr>
        <w:t>17.63</w:t>
      </w:r>
      <w:r>
        <w:rPr>
          <w:rFonts w:hint="eastAsia" w:ascii="仿宋" w:hAnsi="仿宋" w:eastAsia="仿宋" w:cs="仿宋"/>
          <w:sz w:val="32"/>
          <w:szCs w:val="32"/>
        </w:rPr>
        <w:t>万元、邮电费</w:t>
      </w:r>
      <w:r>
        <w:rPr>
          <w:rFonts w:ascii="仿宋" w:hAnsi="仿宋" w:eastAsia="仿宋" w:cs="仿宋"/>
          <w:sz w:val="32"/>
          <w:szCs w:val="32"/>
        </w:rPr>
        <w:t>0.8</w:t>
      </w:r>
      <w:r>
        <w:rPr>
          <w:rFonts w:hint="eastAsia" w:ascii="仿宋" w:hAnsi="仿宋" w:eastAsia="仿宋" w:cs="仿宋"/>
          <w:sz w:val="32"/>
          <w:szCs w:val="32"/>
        </w:rPr>
        <w:t>万元、物业管理费</w:t>
      </w:r>
      <w:r>
        <w:rPr>
          <w:rFonts w:ascii="仿宋" w:hAnsi="仿宋" w:eastAsia="仿宋" w:cs="仿宋"/>
          <w:sz w:val="32"/>
          <w:szCs w:val="32"/>
        </w:rPr>
        <w:t>72.49</w:t>
      </w:r>
      <w:r>
        <w:rPr>
          <w:rFonts w:hint="eastAsia" w:ascii="仿宋" w:hAnsi="仿宋" w:eastAsia="仿宋" w:cs="仿宋"/>
          <w:sz w:val="32"/>
          <w:szCs w:val="32"/>
        </w:rPr>
        <w:t>万元、差旅费</w:t>
      </w:r>
      <w:r>
        <w:rPr>
          <w:rFonts w:ascii="仿宋" w:hAnsi="仿宋" w:eastAsia="仿宋" w:cs="仿宋"/>
          <w:sz w:val="32"/>
          <w:szCs w:val="32"/>
        </w:rPr>
        <w:t>0.18</w:t>
      </w:r>
      <w:r>
        <w:rPr>
          <w:rFonts w:hint="eastAsia" w:ascii="仿宋" w:hAnsi="仿宋" w:eastAsia="仿宋" w:cs="仿宋"/>
          <w:sz w:val="32"/>
          <w:szCs w:val="32"/>
        </w:rPr>
        <w:t>万元、维修（护）费</w:t>
      </w:r>
      <w:r>
        <w:rPr>
          <w:rFonts w:ascii="仿宋" w:hAnsi="仿宋" w:eastAsia="仿宋" w:cs="仿宋"/>
          <w:sz w:val="32"/>
          <w:szCs w:val="32"/>
        </w:rPr>
        <w:t>26.93</w:t>
      </w:r>
      <w:r>
        <w:rPr>
          <w:rFonts w:hint="eastAsia" w:ascii="仿宋" w:hAnsi="仿宋" w:eastAsia="仿宋" w:cs="仿宋"/>
          <w:sz w:val="32"/>
          <w:szCs w:val="32"/>
        </w:rPr>
        <w:t>万元、租赁费</w:t>
      </w:r>
      <w:r>
        <w:rPr>
          <w:rFonts w:ascii="仿宋" w:hAnsi="仿宋" w:eastAsia="仿宋" w:cs="仿宋"/>
          <w:sz w:val="32"/>
          <w:szCs w:val="32"/>
        </w:rPr>
        <w:t>0.07</w:t>
      </w:r>
      <w:r>
        <w:rPr>
          <w:rFonts w:hint="eastAsia" w:ascii="仿宋" w:hAnsi="仿宋" w:eastAsia="仿宋" w:cs="仿宋"/>
          <w:sz w:val="32"/>
          <w:szCs w:val="32"/>
        </w:rPr>
        <w:t>万元、培训费</w:t>
      </w:r>
      <w:r>
        <w:rPr>
          <w:rFonts w:ascii="仿宋" w:hAnsi="仿宋" w:eastAsia="仿宋" w:cs="仿宋"/>
          <w:sz w:val="32"/>
          <w:szCs w:val="32"/>
        </w:rPr>
        <w:t>0.59</w:t>
      </w:r>
      <w:r>
        <w:rPr>
          <w:rFonts w:hint="eastAsia" w:ascii="仿宋" w:hAnsi="仿宋" w:eastAsia="仿宋" w:cs="仿宋"/>
          <w:sz w:val="32"/>
          <w:szCs w:val="32"/>
        </w:rPr>
        <w:t>、公务接待费</w:t>
      </w:r>
      <w:r>
        <w:rPr>
          <w:rFonts w:ascii="仿宋" w:hAnsi="仿宋" w:eastAsia="仿宋" w:cs="仿宋"/>
          <w:sz w:val="32"/>
          <w:szCs w:val="32"/>
        </w:rPr>
        <w:t>2</w:t>
      </w:r>
      <w:r>
        <w:rPr>
          <w:rFonts w:hint="eastAsia" w:ascii="仿宋" w:hAnsi="仿宋" w:eastAsia="仿宋" w:cs="仿宋"/>
          <w:sz w:val="32"/>
          <w:szCs w:val="32"/>
        </w:rPr>
        <w:t>万元、劳务费</w:t>
      </w:r>
      <w:r>
        <w:rPr>
          <w:rFonts w:ascii="仿宋" w:hAnsi="仿宋" w:eastAsia="仿宋" w:cs="仿宋"/>
          <w:sz w:val="32"/>
          <w:szCs w:val="32"/>
        </w:rPr>
        <w:t>38.63</w:t>
      </w:r>
      <w:r>
        <w:rPr>
          <w:rFonts w:hint="eastAsia" w:ascii="仿宋" w:hAnsi="仿宋" w:eastAsia="仿宋" w:cs="仿宋"/>
          <w:sz w:val="32"/>
          <w:szCs w:val="32"/>
        </w:rPr>
        <w:t>万元、工会经费</w:t>
      </w:r>
      <w:r>
        <w:rPr>
          <w:rFonts w:ascii="仿宋" w:hAnsi="仿宋" w:eastAsia="仿宋" w:cs="仿宋"/>
          <w:sz w:val="32"/>
          <w:szCs w:val="32"/>
        </w:rPr>
        <w:t>20.22</w:t>
      </w:r>
      <w:r>
        <w:rPr>
          <w:rFonts w:hint="eastAsia" w:ascii="仿宋" w:hAnsi="仿宋" w:eastAsia="仿宋" w:cs="仿宋"/>
          <w:sz w:val="32"/>
          <w:szCs w:val="32"/>
        </w:rPr>
        <w:t>万元、福利费</w:t>
      </w:r>
      <w:r>
        <w:rPr>
          <w:rFonts w:ascii="仿宋" w:hAnsi="仿宋" w:eastAsia="仿宋" w:cs="仿宋"/>
          <w:sz w:val="32"/>
          <w:szCs w:val="32"/>
        </w:rPr>
        <w:t>10.87</w:t>
      </w:r>
      <w:r>
        <w:rPr>
          <w:rFonts w:hint="eastAsia" w:ascii="仿宋" w:hAnsi="仿宋" w:eastAsia="仿宋" w:cs="仿宋"/>
          <w:sz w:val="32"/>
          <w:szCs w:val="32"/>
        </w:rPr>
        <w:t>万元、其他交通费用</w:t>
      </w:r>
      <w:r>
        <w:rPr>
          <w:rFonts w:ascii="仿宋" w:hAnsi="仿宋" w:eastAsia="仿宋" w:cs="仿宋"/>
          <w:sz w:val="32"/>
          <w:szCs w:val="32"/>
        </w:rPr>
        <w:t>10.90</w:t>
      </w:r>
      <w:r>
        <w:rPr>
          <w:rFonts w:hint="eastAsia" w:ascii="仿宋" w:hAnsi="仿宋" w:eastAsia="仿宋" w:cs="仿宋"/>
          <w:sz w:val="32"/>
          <w:szCs w:val="32"/>
        </w:rPr>
        <w:t>万元、其他商品服务支出</w:t>
      </w:r>
      <w:r>
        <w:rPr>
          <w:rFonts w:ascii="仿宋" w:hAnsi="仿宋" w:eastAsia="仿宋" w:cs="仿宋"/>
          <w:sz w:val="32"/>
          <w:szCs w:val="32"/>
        </w:rPr>
        <w:t>39.03</w:t>
      </w:r>
      <w:r>
        <w:rPr>
          <w:rFonts w:hint="eastAsia" w:ascii="仿宋" w:hAnsi="仿宋" w:eastAsia="仿宋" w:cs="仿宋"/>
          <w:sz w:val="32"/>
          <w:szCs w:val="32"/>
        </w:rPr>
        <w:t>万元。</w:t>
      </w:r>
    </w:p>
    <w:p>
      <w:pPr>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w:t>
      </w:r>
      <w:r>
        <w:rPr>
          <w:rFonts w:ascii="仿宋" w:hAnsi="仿宋" w:eastAsia="仿宋" w:cs="仿宋"/>
          <w:sz w:val="32"/>
          <w:szCs w:val="32"/>
        </w:rPr>
        <w:t>2021</w:t>
      </w:r>
      <w:r>
        <w:rPr>
          <w:rFonts w:hint="eastAsia" w:ascii="仿宋" w:hAnsi="仿宋" w:eastAsia="仿宋" w:cs="仿宋"/>
          <w:sz w:val="32"/>
          <w:szCs w:val="32"/>
        </w:rPr>
        <w:t>年资本性支出</w:t>
      </w:r>
      <w:r>
        <w:rPr>
          <w:rFonts w:ascii="仿宋" w:hAnsi="仿宋" w:eastAsia="仿宋" w:cs="仿宋"/>
          <w:sz w:val="32"/>
          <w:szCs w:val="32"/>
        </w:rPr>
        <w:t>352</w:t>
      </w:r>
      <w:r>
        <w:rPr>
          <w:rFonts w:hint="eastAsia" w:ascii="仿宋" w:hAnsi="仿宋" w:eastAsia="仿宋" w:cs="仿宋"/>
          <w:sz w:val="32"/>
          <w:szCs w:val="32"/>
        </w:rPr>
        <w:t>万元。</w:t>
      </w:r>
    </w:p>
    <w:p>
      <w:pPr>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w:t>
      </w:r>
      <w:r>
        <w:rPr>
          <w:rFonts w:ascii="仿宋" w:hAnsi="仿宋" w:eastAsia="仿宋" w:cs="仿宋"/>
          <w:sz w:val="32"/>
          <w:szCs w:val="32"/>
        </w:rPr>
        <w:t>2021</w:t>
      </w:r>
      <w:r>
        <w:rPr>
          <w:rFonts w:hint="eastAsia" w:ascii="仿宋" w:hAnsi="仿宋" w:eastAsia="仿宋" w:cs="仿宋"/>
          <w:sz w:val="32"/>
          <w:szCs w:val="32"/>
        </w:rPr>
        <w:t>年“三公经费”实际支出</w:t>
      </w:r>
      <w:r>
        <w:rPr>
          <w:rFonts w:ascii="仿宋" w:hAnsi="仿宋" w:eastAsia="仿宋" w:cs="仿宋"/>
          <w:sz w:val="32"/>
          <w:szCs w:val="32"/>
        </w:rPr>
        <w:t>2</w:t>
      </w:r>
      <w:r>
        <w:rPr>
          <w:rFonts w:hint="eastAsia" w:ascii="仿宋" w:hAnsi="仿宋" w:eastAsia="仿宋" w:cs="仿宋"/>
          <w:sz w:val="32"/>
          <w:szCs w:val="32"/>
        </w:rPr>
        <w:t>万元。其中公务用车运行维护费</w:t>
      </w:r>
      <w:r>
        <w:rPr>
          <w:rFonts w:ascii="仿宋" w:hAnsi="仿宋" w:eastAsia="仿宋" w:cs="仿宋"/>
          <w:sz w:val="32"/>
          <w:szCs w:val="32"/>
        </w:rPr>
        <w:t>0</w:t>
      </w:r>
      <w:r>
        <w:rPr>
          <w:rFonts w:hint="eastAsia" w:ascii="仿宋" w:hAnsi="仿宋" w:eastAsia="仿宋" w:cs="仿宋"/>
          <w:sz w:val="32"/>
          <w:szCs w:val="32"/>
        </w:rPr>
        <w:t>万元、公务出国（出境）经费</w:t>
      </w:r>
      <w:r>
        <w:rPr>
          <w:rFonts w:ascii="仿宋" w:hAnsi="仿宋" w:eastAsia="仿宋" w:cs="仿宋"/>
          <w:sz w:val="32"/>
          <w:szCs w:val="32"/>
        </w:rPr>
        <w:t>0</w:t>
      </w:r>
      <w:r>
        <w:rPr>
          <w:rFonts w:hint="eastAsia" w:ascii="仿宋" w:hAnsi="仿宋" w:eastAsia="仿宋" w:cs="仿宋"/>
          <w:sz w:val="32"/>
          <w:szCs w:val="32"/>
        </w:rPr>
        <w:t>，公务接待费</w:t>
      </w:r>
      <w:r>
        <w:rPr>
          <w:rFonts w:ascii="仿宋" w:hAnsi="仿宋" w:eastAsia="仿宋" w:cs="仿宋"/>
          <w:sz w:val="32"/>
          <w:szCs w:val="32"/>
        </w:rPr>
        <w:t xml:space="preserve">2 </w:t>
      </w:r>
      <w:r>
        <w:rPr>
          <w:rFonts w:hint="eastAsia" w:ascii="仿宋" w:hAnsi="仿宋" w:eastAsia="仿宋" w:cs="仿宋"/>
          <w:sz w:val="32"/>
          <w:szCs w:val="32"/>
        </w:rPr>
        <w:t>万元。</w:t>
      </w:r>
    </w:p>
    <w:p>
      <w:pPr>
        <w:ind w:firstLine="640" w:firstLineChars="200"/>
        <w:rPr>
          <w:rFonts w:ascii="楷体_GB2312" w:hAnsi="楷体_GB2312" w:eastAsia="楷体_GB2312" w:cs="Times New Roman"/>
          <w:b/>
          <w:bCs/>
          <w:sz w:val="32"/>
          <w:szCs w:val="32"/>
        </w:rPr>
      </w:pPr>
      <w:r>
        <w:rPr>
          <w:rFonts w:hint="eastAsia" w:ascii="楷体_GB2312" w:hAnsi="楷体_GB2312" w:eastAsia="楷体_GB2312" w:cs="楷体_GB2312"/>
          <w:b/>
          <w:bCs/>
          <w:sz w:val="32"/>
          <w:szCs w:val="32"/>
        </w:rPr>
        <w:t>（二）项目支出情况</w:t>
      </w:r>
    </w:p>
    <w:p>
      <w:pPr>
        <w:adjustRightInd w:val="0"/>
        <w:snapToGrid w:val="0"/>
        <w:spacing w:line="600" w:lineRule="exact"/>
        <w:ind w:firstLine="640" w:firstLineChars="200"/>
        <w:rPr>
          <w:rFonts w:ascii="仿宋_GB2312" w:hAnsi="仿宋_GB2312" w:eastAsia="仿宋_GB2312" w:cs="Times New Roman"/>
          <w:color w:val="000000"/>
          <w:sz w:val="32"/>
          <w:szCs w:val="32"/>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年道县富园市场和道县家禽批发市场建设工程项目支出</w:t>
      </w:r>
      <w:r>
        <w:rPr>
          <w:rFonts w:ascii="仿宋_GB2312" w:hAnsi="仿宋_GB2312" w:eastAsia="仿宋_GB2312" w:cs="仿宋_GB2312"/>
          <w:color w:val="000000"/>
          <w:sz w:val="32"/>
          <w:szCs w:val="32"/>
        </w:rPr>
        <w:t>352</w:t>
      </w:r>
      <w:r>
        <w:rPr>
          <w:rFonts w:hint="eastAsia" w:ascii="仿宋_GB2312" w:hAnsi="仿宋_GB2312" w:eastAsia="仿宋_GB2312" w:cs="仿宋_GB2312"/>
          <w:color w:val="000000"/>
          <w:sz w:val="32"/>
          <w:szCs w:val="32"/>
        </w:rPr>
        <w:t>万元。</w:t>
      </w:r>
    </w:p>
    <w:p>
      <w:pPr>
        <w:adjustRightInd w:val="0"/>
        <w:snapToGrid w:val="0"/>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三、政府性基本预算支出情况</w:t>
      </w:r>
    </w:p>
    <w:p>
      <w:pPr>
        <w:adjustRightInd w:val="0"/>
        <w:snapToGrid w:val="0"/>
        <w:spacing w:line="600" w:lineRule="exact"/>
        <w:ind w:left="630"/>
        <w:rPr>
          <w:rFonts w:ascii="仿宋" w:hAnsi="仿宋" w:eastAsia="仿宋" w:cs="Times New Roman"/>
          <w:color w:val="010101"/>
          <w:sz w:val="32"/>
          <w:szCs w:val="32"/>
        </w:rPr>
      </w:pPr>
      <w:r>
        <w:rPr>
          <w:rFonts w:hint="eastAsia" w:ascii="仿宋" w:hAnsi="仿宋" w:eastAsia="仿宋" w:cs="仿宋"/>
          <w:color w:val="010101"/>
          <w:sz w:val="32"/>
          <w:szCs w:val="32"/>
        </w:rPr>
        <w:t>道县市场服务中心</w:t>
      </w:r>
      <w:r>
        <w:rPr>
          <w:rFonts w:ascii="仿宋" w:hAnsi="仿宋" w:eastAsia="仿宋" w:cs="仿宋"/>
          <w:color w:val="010101"/>
          <w:sz w:val="32"/>
          <w:szCs w:val="32"/>
        </w:rPr>
        <w:t>2021</w:t>
      </w:r>
      <w:r>
        <w:rPr>
          <w:rFonts w:hint="eastAsia" w:ascii="仿宋" w:hAnsi="仿宋" w:eastAsia="仿宋" w:cs="仿宋"/>
          <w:color w:val="010101"/>
          <w:sz w:val="32"/>
          <w:szCs w:val="32"/>
        </w:rPr>
        <w:t>年无政府性基金预算。</w:t>
      </w:r>
    </w:p>
    <w:p>
      <w:pPr>
        <w:adjustRightInd w:val="0"/>
        <w:snapToGrid w:val="0"/>
        <w:spacing w:line="600" w:lineRule="exact"/>
        <w:ind w:left="630"/>
        <w:rPr>
          <w:rFonts w:ascii="黑体" w:hAnsi="黑体" w:eastAsia="黑体" w:cs="Times New Roman"/>
          <w:sz w:val="32"/>
          <w:szCs w:val="32"/>
        </w:rPr>
      </w:pPr>
      <w:r>
        <w:rPr>
          <w:rFonts w:hint="eastAsia" w:ascii="黑体" w:hAnsi="黑体" w:eastAsia="黑体" w:cs="黑体"/>
          <w:sz w:val="32"/>
          <w:szCs w:val="32"/>
        </w:rPr>
        <w:t>四、国有资本经营预算支出情况</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
          <w:color w:val="010101"/>
          <w:sz w:val="32"/>
          <w:szCs w:val="32"/>
        </w:rPr>
        <w:t>道县市场服务中心</w:t>
      </w:r>
      <w:r>
        <w:rPr>
          <w:rFonts w:ascii="仿宋" w:hAnsi="仿宋" w:eastAsia="仿宋" w:cs="仿宋"/>
          <w:color w:val="010101"/>
          <w:sz w:val="32"/>
          <w:szCs w:val="32"/>
        </w:rPr>
        <w:t>2021</w:t>
      </w:r>
      <w:r>
        <w:rPr>
          <w:rFonts w:hint="eastAsia" w:ascii="仿宋" w:hAnsi="仿宋" w:eastAsia="仿宋" w:cs="仿宋"/>
          <w:color w:val="010101"/>
          <w:sz w:val="32"/>
          <w:szCs w:val="32"/>
        </w:rPr>
        <w:t>年无国有资本经营预算支出。</w:t>
      </w:r>
    </w:p>
    <w:p>
      <w:pPr>
        <w:adjustRightInd w:val="0"/>
        <w:snapToGrid w:val="0"/>
        <w:spacing w:line="600" w:lineRule="exact"/>
        <w:ind w:left="630"/>
        <w:rPr>
          <w:rFonts w:ascii="仿宋" w:hAnsi="仿宋" w:eastAsia="仿宋" w:cs="Times New Roman"/>
          <w:sz w:val="32"/>
          <w:szCs w:val="32"/>
        </w:rPr>
      </w:pPr>
      <w:r>
        <w:rPr>
          <w:rFonts w:hint="eastAsia" w:ascii="黑体" w:hAnsi="黑体" w:eastAsia="黑体" w:cs="黑体"/>
          <w:sz w:val="32"/>
          <w:szCs w:val="32"/>
        </w:rPr>
        <w:t>五、社会保险基金预算支出情况</w:t>
      </w:r>
    </w:p>
    <w:p>
      <w:pPr>
        <w:adjustRightInd w:val="0"/>
        <w:snapToGrid w:val="0"/>
        <w:spacing w:line="600" w:lineRule="exact"/>
        <w:ind w:left="630"/>
        <w:rPr>
          <w:rFonts w:ascii="仿宋" w:hAnsi="仿宋" w:eastAsia="仿宋" w:cs="Times New Roman"/>
          <w:sz w:val="32"/>
          <w:szCs w:val="32"/>
        </w:rPr>
      </w:pPr>
      <w:r>
        <w:rPr>
          <w:rFonts w:hint="eastAsia" w:ascii="仿宋" w:hAnsi="仿宋" w:eastAsia="仿宋" w:cs="仿宋"/>
          <w:color w:val="010101"/>
          <w:sz w:val="32"/>
          <w:szCs w:val="32"/>
        </w:rPr>
        <w:t>道县市场服务中心</w:t>
      </w:r>
      <w:r>
        <w:rPr>
          <w:rFonts w:ascii="仿宋" w:hAnsi="仿宋" w:eastAsia="仿宋" w:cs="仿宋"/>
          <w:color w:val="010101"/>
          <w:sz w:val="32"/>
          <w:szCs w:val="32"/>
        </w:rPr>
        <w:t>2021</w:t>
      </w:r>
      <w:r>
        <w:rPr>
          <w:rFonts w:hint="eastAsia" w:ascii="仿宋" w:hAnsi="仿宋" w:eastAsia="仿宋" w:cs="仿宋"/>
          <w:color w:val="010101"/>
          <w:sz w:val="32"/>
          <w:szCs w:val="32"/>
        </w:rPr>
        <w:t>年无社会保险基金预算支出。</w:t>
      </w:r>
    </w:p>
    <w:p>
      <w:pPr>
        <w:adjustRightInd w:val="0"/>
        <w:snapToGrid w:val="0"/>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六、部门整体支出绩效情况</w:t>
      </w:r>
    </w:p>
    <w:p>
      <w:pPr>
        <w:adjustRightInd w:val="0"/>
        <w:snapToGrid w:val="0"/>
        <w:spacing w:line="600" w:lineRule="exact"/>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、确保了干部职工工资、社保金正常发放、缴纳和单位的正常运转，有利于维护社会稳定。</w:t>
      </w:r>
    </w:p>
    <w:p>
      <w:pPr>
        <w:adjustRightInd w:val="0"/>
        <w:snapToGrid w:val="0"/>
        <w:spacing w:line="600" w:lineRule="exact"/>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、每月每季都按时完成了党建工作、学习和活动。</w:t>
      </w:r>
    </w:p>
    <w:p>
      <w:pPr>
        <w:adjustRightInd w:val="0"/>
        <w:snapToGrid w:val="0"/>
        <w:spacing w:line="600" w:lineRule="exact"/>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、作为创国卫、创省文的重点责任单位，认真做好市场秩序和环境卫生，每天有专职人员负责清理打扫和清运垃圾，改善了交易环境，顺利通过上级的考核验收。</w:t>
      </w:r>
    </w:p>
    <w:p>
      <w:pPr>
        <w:adjustRightInd w:val="0"/>
        <w:snapToGrid w:val="0"/>
        <w:spacing w:line="600" w:lineRule="exact"/>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、配合相关职能部门抓好农贸市场食品安全的监管工作，没有发生食品安全事件，保证了市民的“菜篮子”“米袋子”安全。</w:t>
      </w:r>
    </w:p>
    <w:p>
      <w:pPr>
        <w:adjustRightInd w:val="0"/>
        <w:snapToGrid w:val="0"/>
        <w:spacing w:line="600" w:lineRule="exact"/>
        <w:ind w:firstLine="480" w:firstLineChars="150"/>
        <w:rPr>
          <w:rFonts w:ascii="仿宋" w:hAnsi="仿宋" w:eastAsia="仿宋" w:cs="Times New Roman"/>
          <w:color w:val="000000"/>
          <w:sz w:val="32"/>
          <w:szCs w:val="32"/>
        </w:rPr>
      </w:pPr>
      <w:r>
        <w:rPr>
          <w:rFonts w:ascii="仿宋" w:hAnsi="仿宋" w:eastAsia="仿宋" w:cs="仿宋"/>
          <w:color w:val="000000"/>
          <w:sz w:val="32"/>
          <w:szCs w:val="32"/>
        </w:rPr>
        <w:t xml:space="preserve"> 5</w:t>
      </w:r>
      <w:r>
        <w:rPr>
          <w:rFonts w:hint="eastAsia" w:ascii="仿宋" w:hAnsi="仿宋" w:eastAsia="仿宋" w:cs="仿宋"/>
          <w:color w:val="000000"/>
          <w:sz w:val="32"/>
          <w:szCs w:val="32"/>
        </w:rPr>
        <w:t>、购置了消除器材，每月对市场的安全生产工作进行了巡查，发现问题及时整改，对一些损坏的市场设施及时进行了维修和维护，没有发现安全生产事故。</w:t>
      </w:r>
    </w:p>
    <w:p>
      <w:pPr>
        <w:adjustRightInd w:val="0"/>
        <w:snapToGrid w:val="0"/>
        <w:spacing w:line="600" w:lineRule="exact"/>
        <w:ind w:firstLine="480" w:firstLineChars="150"/>
        <w:rPr>
          <w:rFonts w:ascii="仿宋" w:hAnsi="仿宋" w:eastAsia="仿宋" w:cs="Times New Roman"/>
          <w:color w:val="000000"/>
          <w:sz w:val="32"/>
          <w:szCs w:val="32"/>
        </w:rPr>
      </w:pPr>
      <w:r>
        <w:rPr>
          <w:rFonts w:ascii="仿宋" w:hAnsi="仿宋" w:eastAsia="仿宋" w:cs="仿宋"/>
          <w:color w:val="000000"/>
          <w:sz w:val="32"/>
          <w:szCs w:val="32"/>
        </w:rPr>
        <w:t>6</w:t>
      </w:r>
      <w:r>
        <w:rPr>
          <w:rFonts w:hint="eastAsia" w:ascii="仿宋" w:hAnsi="仿宋" w:eastAsia="仿宋" w:cs="仿宋"/>
          <w:color w:val="000000"/>
          <w:sz w:val="32"/>
          <w:szCs w:val="32"/>
        </w:rPr>
        <w:t>、认真完成县委、县政府安排的扶贫、防汛抗旱等中心工作。</w:t>
      </w:r>
    </w:p>
    <w:p>
      <w:pPr>
        <w:adjustRightInd w:val="0"/>
        <w:snapToGrid w:val="0"/>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七、存在的问题及原因分析</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主要存在预算资金不够细，支出与预算不够专的问题。</w:t>
      </w:r>
    </w:p>
    <w:p>
      <w:pPr>
        <w:ind w:firstLine="640" w:firstLineChars="200"/>
        <w:rPr>
          <w:rFonts w:ascii="黑体" w:hAnsi="黑体" w:eastAsia="黑体" w:cs="Times New Roman"/>
          <w:sz w:val="32"/>
          <w:szCs w:val="32"/>
        </w:rPr>
      </w:pPr>
      <w:r>
        <w:rPr>
          <w:rFonts w:hint="eastAsia" w:ascii="黑体" w:hAnsi="黑体" w:eastAsia="黑体" w:cs="黑体"/>
          <w:sz w:val="32"/>
          <w:szCs w:val="32"/>
        </w:rPr>
        <w:t>八、下一步改进措施</w:t>
      </w:r>
    </w:p>
    <w:p>
      <w:pPr>
        <w:ind w:firstLine="640" w:firstLineChars="200"/>
        <w:rPr>
          <w:rFonts w:ascii="仿宋" w:hAnsi="仿宋" w:eastAsia="仿宋" w:cs="Times New Roman"/>
          <w:color w:val="010101"/>
          <w:kern w:val="0"/>
          <w:sz w:val="32"/>
          <w:szCs w:val="32"/>
        </w:rPr>
      </w:pPr>
      <w:r>
        <w:rPr>
          <w:rFonts w:hint="eastAsia" w:ascii="楷体_GB2312" w:hAnsi="楷体_GB2312" w:eastAsia="楷体_GB2312" w:cs="楷体_GB2312"/>
          <w:b/>
          <w:bCs/>
          <w:color w:val="010101"/>
          <w:kern w:val="0"/>
          <w:sz w:val="32"/>
          <w:szCs w:val="32"/>
        </w:rPr>
        <w:t>（一）规范账务处理，提高财务信息质量。</w:t>
      </w:r>
    </w:p>
    <w:p>
      <w:pPr>
        <w:ind w:firstLine="800" w:firstLineChars="250"/>
        <w:rPr>
          <w:rFonts w:ascii="仿宋" w:hAnsi="仿宋" w:eastAsia="仿宋" w:cs="Times New Roman"/>
          <w:color w:val="010101"/>
          <w:kern w:val="0"/>
          <w:sz w:val="32"/>
          <w:szCs w:val="32"/>
        </w:rPr>
      </w:pPr>
      <w:r>
        <w:rPr>
          <w:rFonts w:hint="eastAsia" w:ascii="仿宋" w:hAnsi="仿宋" w:eastAsia="仿宋" w:cs="仿宋"/>
          <w:color w:val="010101"/>
          <w:kern w:val="0"/>
          <w:sz w:val="32"/>
          <w:szCs w:val="32"/>
        </w:rPr>
        <w:t>严格按照《会计法》、《行政单位会计制度》、《行政单位财务规则》等规定执行财务核算，并结合实际情况，完整、准确地披露相关信息，做到决算与预算相衔接。</w:t>
      </w:r>
    </w:p>
    <w:p>
      <w:pPr>
        <w:ind w:firstLine="640" w:firstLineChars="200"/>
        <w:rPr>
          <w:rFonts w:ascii="楷体_GB2312" w:hAnsi="楷体_GB2312" w:eastAsia="楷体_GB2312" w:cs="Times New Roman"/>
          <w:b/>
          <w:bCs/>
          <w:color w:val="010101"/>
          <w:kern w:val="0"/>
          <w:sz w:val="32"/>
          <w:szCs w:val="32"/>
        </w:rPr>
      </w:pPr>
      <w:r>
        <w:rPr>
          <w:rFonts w:hint="eastAsia" w:ascii="楷体_GB2312" w:hAnsi="楷体_GB2312" w:eastAsia="楷体_GB2312" w:cs="楷体_GB2312"/>
          <w:b/>
          <w:bCs/>
          <w:color w:val="010101"/>
          <w:kern w:val="0"/>
          <w:sz w:val="32"/>
          <w:szCs w:val="32"/>
        </w:rPr>
        <w:t>（二）落实管理制度，进一步加强接待管理。</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按照《道县党政机关公务接待管理实施细则》的加强接待管理工作，对被接待单位人员要及时索取接待函对存在的问题。</w:t>
      </w:r>
    </w:p>
    <w:p>
      <w:pPr>
        <w:adjustRightInd w:val="0"/>
        <w:snapToGrid w:val="0"/>
        <w:spacing w:line="600" w:lineRule="exact"/>
        <w:ind w:firstLine="640"/>
        <w:rPr>
          <w:rFonts w:ascii="楷体_GB2312" w:hAnsi="楷体_GB2312" w:eastAsia="楷体_GB2312" w:cs="Times New Roman"/>
          <w:b/>
          <w:bCs/>
          <w:sz w:val="32"/>
          <w:szCs w:val="32"/>
        </w:rPr>
      </w:pPr>
      <w:r>
        <w:rPr>
          <w:rFonts w:hint="eastAsia" w:ascii="楷体_GB2312" w:hAnsi="楷体_GB2312" w:eastAsia="楷体_GB2312" w:cs="楷体_GB2312"/>
          <w:b/>
          <w:bCs/>
          <w:sz w:val="32"/>
          <w:szCs w:val="32"/>
        </w:rPr>
        <w:t>（三）加强会计机构队伍建设</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按照《中华人民共和国会计法》要求建立会计机关，配备齐会计人员，做到不相容岗位分设，加强会计监督。</w:t>
      </w:r>
    </w:p>
    <w:p>
      <w:pPr>
        <w:adjustRightInd w:val="0"/>
        <w:snapToGrid w:val="0"/>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九、绩效自评结果拟应用和公开情况</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经营户对市场服务中心的满意度</w:t>
      </w:r>
      <w:r>
        <w:rPr>
          <w:rFonts w:ascii="仿宋" w:hAnsi="仿宋" w:eastAsia="仿宋" w:cs="仿宋"/>
          <w:sz w:val="32"/>
          <w:szCs w:val="32"/>
        </w:rPr>
        <w:t>96</w:t>
      </w:r>
      <w:r>
        <w:rPr>
          <w:rFonts w:hint="eastAsia" w:ascii="仿宋" w:hAnsi="仿宋" w:eastAsia="仿宋" w:cs="仿宋"/>
          <w:sz w:val="32"/>
          <w:szCs w:val="32"/>
        </w:rPr>
        <w:t>分</w:t>
      </w:r>
      <w:r>
        <w:rPr>
          <w:rFonts w:ascii="仿宋" w:hAnsi="仿宋" w:eastAsia="仿宋" w:cs="仿宋"/>
          <w:sz w:val="32"/>
          <w:szCs w:val="32"/>
        </w:rPr>
        <w:t>,</w:t>
      </w:r>
      <w:r>
        <w:rPr>
          <w:rFonts w:hint="eastAsia" w:ascii="仿宋" w:hAnsi="仿宋" w:eastAsia="仿宋" w:cs="仿宋"/>
          <w:sz w:val="32"/>
          <w:szCs w:val="32"/>
        </w:rPr>
        <w:t>顾客对市场服务中心的满意度</w:t>
      </w:r>
      <w:r>
        <w:rPr>
          <w:rFonts w:ascii="仿宋" w:hAnsi="仿宋" w:eastAsia="仿宋" w:cs="仿宋"/>
          <w:sz w:val="32"/>
          <w:szCs w:val="32"/>
        </w:rPr>
        <w:t>96</w:t>
      </w:r>
      <w:r>
        <w:rPr>
          <w:rFonts w:hint="eastAsia" w:ascii="仿宋" w:hAnsi="仿宋" w:eastAsia="仿宋" w:cs="仿宋"/>
          <w:sz w:val="32"/>
          <w:szCs w:val="32"/>
        </w:rPr>
        <w:t>分</w:t>
      </w:r>
      <w:r>
        <w:rPr>
          <w:rFonts w:hint="eastAsia" w:ascii="仿宋" w:hAnsi="仿宋" w:eastAsia="仿宋" w:cs="仿宋"/>
          <w:color w:val="010101"/>
          <w:kern w:val="0"/>
          <w:sz w:val="32"/>
          <w:szCs w:val="32"/>
        </w:rPr>
        <w:t>。</w:t>
      </w:r>
    </w:p>
    <w:p>
      <w:pPr>
        <w:ind w:firstLine="640" w:firstLineChars="200"/>
        <w:jc w:val="left"/>
        <w:rPr>
          <w:rFonts w:ascii="宋体" w:cs="Times New Roman"/>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95F4B"/>
    <w:multiLevelType w:val="singleLevel"/>
    <w:tmpl w:val="01A95F4B"/>
    <w:lvl w:ilvl="0" w:tentative="0">
      <w:start w:val="2"/>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kwYTE0OTZiZTM0OGFjZDk3MmU1ZTI2YzAyZTQyN2U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4E5ADD"/>
    <w:rsid w:val="00500E5F"/>
    <w:rsid w:val="00503E04"/>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83C21"/>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0060"/>
    <w:rsid w:val="00BB0571"/>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0E07"/>
    <w:rsid w:val="00E55B68"/>
    <w:rsid w:val="00E67BE6"/>
    <w:rsid w:val="00E8683C"/>
    <w:rsid w:val="00EA2B72"/>
    <w:rsid w:val="00F74360"/>
    <w:rsid w:val="00FB462F"/>
    <w:rsid w:val="00FE16FA"/>
    <w:rsid w:val="00FE328A"/>
    <w:rsid w:val="00FE6269"/>
    <w:rsid w:val="00FF5CD6"/>
    <w:rsid w:val="01CD1BAC"/>
    <w:rsid w:val="01E229BF"/>
    <w:rsid w:val="023D0128"/>
    <w:rsid w:val="03060F81"/>
    <w:rsid w:val="031B2C7F"/>
    <w:rsid w:val="03324053"/>
    <w:rsid w:val="03A70BC5"/>
    <w:rsid w:val="03E05C76"/>
    <w:rsid w:val="053E038E"/>
    <w:rsid w:val="064047AA"/>
    <w:rsid w:val="067803E8"/>
    <w:rsid w:val="06D27145"/>
    <w:rsid w:val="078A33E0"/>
    <w:rsid w:val="07E04497"/>
    <w:rsid w:val="084B2F8B"/>
    <w:rsid w:val="08F655F4"/>
    <w:rsid w:val="0AAB34D1"/>
    <w:rsid w:val="0CDF2F6F"/>
    <w:rsid w:val="0E601824"/>
    <w:rsid w:val="0E821DEC"/>
    <w:rsid w:val="109B4D06"/>
    <w:rsid w:val="10B55BD2"/>
    <w:rsid w:val="111156C1"/>
    <w:rsid w:val="119836EC"/>
    <w:rsid w:val="12F419AA"/>
    <w:rsid w:val="13873A19"/>
    <w:rsid w:val="14FB4561"/>
    <w:rsid w:val="154A676D"/>
    <w:rsid w:val="155F07E1"/>
    <w:rsid w:val="15DF5D8E"/>
    <w:rsid w:val="15FF37E4"/>
    <w:rsid w:val="167F489F"/>
    <w:rsid w:val="16955FFB"/>
    <w:rsid w:val="16AD19E8"/>
    <w:rsid w:val="18053034"/>
    <w:rsid w:val="180A0F04"/>
    <w:rsid w:val="181D2B9D"/>
    <w:rsid w:val="18434EAA"/>
    <w:rsid w:val="18CA00F8"/>
    <w:rsid w:val="18E76AF6"/>
    <w:rsid w:val="193B777F"/>
    <w:rsid w:val="197B7B7C"/>
    <w:rsid w:val="19B14317"/>
    <w:rsid w:val="19EC0249"/>
    <w:rsid w:val="1C420E24"/>
    <w:rsid w:val="1C997BE2"/>
    <w:rsid w:val="1E37603B"/>
    <w:rsid w:val="1E5B45E9"/>
    <w:rsid w:val="1E7159F1"/>
    <w:rsid w:val="1F90634B"/>
    <w:rsid w:val="20142FCB"/>
    <w:rsid w:val="215D400B"/>
    <w:rsid w:val="217B7695"/>
    <w:rsid w:val="22066450"/>
    <w:rsid w:val="22806203"/>
    <w:rsid w:val="22931630"/>
    <w:rsid w:val="230D4085"/>
    <w:rsid w:val="23B16A4C"/>
    <w:rsid w:val="23ED5340"/>
    <w:rsid w:val="245B3988"/>
    <w:rsid w:val="246A53BC"/>
    <w:rsid w:val="24905122"/>
    <w:rsid w:val="249B4AA3"/>
    <w:rsid w:val="25315EDA"/>
    <w:rsid w:val="265844DF"/>
    <w:rsid w:val="266100F9"/>
    <w:rsid w:val="26717779"/>
    <w:rsid w:val="2749248A"/>
    <w:rsid w:val="277B51EB"/>
    <w:rsid w:val="27FF406E"/>
    <w:rsid w:val="288477AE"/>
    <w:rsid w:val="2A257446"/>
    <w:rsid w:val="2B5D19AE"/>
    <w:rsid w:val="2DB72CF5"/>
    <w:rsid w:val="2DE51610"/>
    <w:rsid w:val="3239017C"/>
    <w:rsid w:val="337E22EA"/>
    <w:rsid w:val="34470386"/>
    <w:rsid w:val="35673FA4"/>
    <w:rsid w:val="35DA3A24"/>
    <w:rsid w:val="35ED3757"/>
    <w:rsid w:val="36A302BA"/>
    <w:rsid w:val="38182061"/>
    <w:rsid w:val="383B286C"/>
    <w:rsid w:val="389B393F"/>
    <w:rsid w:val="3BB014AF"/>
    <w:rsid w:val="3C333E8E"/>
    <w:rsid w:val="3CBC3C3E"/>
    <w:rsid w:val="3CDA41FF"/>
    <w:rsid w:val="3EFE4C27"/>
    <w:rsid w:val="3F222C70"/>
    <w:rsid w:val="3FA4757D"/>
    <w:rsid w:val="40F246EF"/>
    <w:rsid w:val="41E928F1"/>
    <w:rsid w:val="42D47364"/>
    <w:rsid w:val="44BC709C"/>
    <w:rsid w:val="44F468B0"/>
    <w:rsid w:val="45992FB4"/>
    <w:rsid w:val="463A6267"/>
    <w:rsid w:val="47525B10"/>
    <w:rsid w:val="47C54534"/>
    <w:rsid w:val="47FA3B10"/>
    <w:rsid w:val="48B12184"/>
    <w:rsid w:val="499248EA"/>
    <w:rsid w:val="49946049"/>
    <w:rsid w:val="4AC05487"/>
    <w:rsid w:val="4B306168"/>
    <w:rsid w:val="4BAF3531"/>
    <w:rsid w:val="4BCC585A"/>
    <w:rsid w:val="4C2D61D9"/>
    <w:rsid w:val="4CFA6A2E"/>
    <w:rsid w:val="4DE1199C"/>
    <w:rsid w:val="4F42290E"/>
    <w:rsid w:val="508661BD"/>
    <w:rsid w:val="51254295"/>
    <w:rsid w:val="512C5624"/>
    <w:rsid w:val="51CE0489"/>
    <w:rsid w:val="52616CDB"/>
    <w:rsid w:val="531C2079"/>
    <w:rsid w:val="54363F38"/>
    <w:rsid w:val="544929FF"/>
    <w:rsid w:val="55020B76"/>
    <w:rsid w:val="55793C27"/>
    <w:rsid w:val="57952FA8"/>
    <w:rsid w:val="57EE3633"/>
    <w:rsid w:val="581806B0"/>
    <w:rsid w:val="58A030B7"/>
    <w:rsid w:val="590D1897"/>
    <w:rsid w:val="59987F3E"/>
    <w:rsid w:val="599B3347"/>
    <w:rsid w:val="59CC5AD0"/>
    <w:rsid w:val="5A0272B1"/>
    <w:rsid w:val="5AB71880"/>
    <w:rsid w:val="5AD52D6C"/>
    <w:rsid w:val="5AF0321E"/>
    <w:rsid w:val="5BD279BE"/>
    <w:rsid w:val="5BF154A0"/>
    <w:rsid w:val="5C9A1694"/>
    <w:rsid w:val="5D1A0A26"/>
    <w:rsid w:val="5FB30897"/>
    <w:rsid w:val="61F45CEA"/>
    <w:rsid w:val="6243457B"/>
    <w:rsid w:val="63060047"/>
    <w:rsid w:val="63EB4ECB"/>
    <w:rsid w:val="64055F8C"/>
    <w:rsid w:val="64611C67"/>
    <w:rsid w:val="64922431"/>
    <w:rsid w:val="64A86918"/>
    <w:rsid w:val="64F32289"/>
    <w:rsid w:val="660758C0"/>
    <w:rsid w:val="66EC3434"/>
    <w:rsid w:val="672E08E5"/>
    <w:rsid w:val="67E81E4D"/>
    <w:rsid w:val="68352BB8"/>
    <w:rsid w:val="69463C8F"/>
    <w:rsid w:val="69A51678"/>
    <w:rsid w:val="6ADF17EA"/>
    <w:rsid w:val="6BA0659B"/>
    <w:rsid w:val="6BD91256"/>
    <w:rsid w:val="6C0F54CE"/>
    <w:rsid w:val="6C812C82"/>
    <w:rsid w:val="6D226934"/>
    <w:rsid w:val="6D3B3907"/>
    <w:rsid w:val="6D3E606B"/>
    <w:rsid w:val="6DC22334"/>
    <w:rsid w:val="6DD7226C"/>
    <w:rsid w:val="6E1556F6"/>
    <w:rsid w:val="6EA13F9E"/>
    <w:rsid w:val="6F675358"/>
    <w:rsid w:val="713E2ADE"/>
    <w:rsid w:val="72161365"/>
    <w:rsid w:val="727A7ED0"/>
    <w:rsid w:val="72870243"/>
    <w:rsid w:val="729A3F7C"/>
    <w:rsid w:val="73012015"/>
    <w:rsid w:val="746A51BC"/>
    <w:rsid w:val="74D13C69"/>
    <w:rsid w:val="76166FF0"/>
    <w:rsid w:val="76BD2C29"/>
    <w:rsid w:val="789B4D63"/>
    <w:rsid w:val="78CB5F5E"/>
    <w:rsid w:val="7904642E"/>
    <w:rsid w:val="79210A77"/>
    <w:rsid w:val="7A2F56B9"/>
    <w:rsid w:val="7A3C3E75"/>
    <w:rsid w:val="7B2808A5"/>
    <w:rsid w:val="7B4934DB"/>
    <w:rsid w:val="7C382437"/>
    <w:rsid w:val="7C961A20"/>
    <w:rsid w:val="7CC5321C"/>
    <w:rsid w:val="7D20578D"/>
    <w:rsid w:val="7D360B0D"/>
    <w:rsid w:val="7E071053"/>
    <w:rsid w:val="7F765B38"/>
    <w:rsid w:val="7FD6038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szCs w:val="24"/>
    </w:rPr>
  </w:style>
  <w:style w:type="character" w:customStyle="1" w:styleId="9">
    <w:name w:val="Body Text Char"/>
    <w:basedOn w:val="8"/>
    <w:link w:val="2"/>
    <w:semiHidden/>
    <w:qFormat/>
    <w:uiPriority w:val="99"/>
    <w:rPr>
      <w:rFonts w:ascii="Calibri" w:hAnsi="Calibri" w:cs="Calibri"/>
      <w:szCs w:val="21"/>
    </w:rPr>
  </w:style>
  <w:style w:type="character" w:customStyle="1" w:styleId="10">
    <w:name w:val="Balloon Text Char"/>
    <w:basedOn w:val="8"/>
    <w:link w:val="3"/>
    <w:semiHidden/>
    <w:qFormat/>
    <w:locked/>
    <w:uiPriority w:val="99"/>
    <w:rPr>
      <w:sz w:val="18"/>
      <w:szCs w:val="18"/>
    </w:rPr>
  </w:style>
  <w:style w:type="character" w:customStyle="1" w:styleId="11">
    <w:name w:val="Footer Char"/>
    <w:basedOn w:val="8"/>
    <w:link w:val="4"/>
    <w:qFormat/>
    <w:locked/>
    <w:uiPriority w:val="99"/>
    <w:rPr>
      <w:sz w:val="18"/>
      <w:szCs w:val="18"/>
    </w:rPr>
  </w:style>
  <w:style w:type="character" w:customStyle="1" w:styleId="12">
    <w:name w:val="Header Char"/>
    <w:basedOn w:val="8"/>
    <w:link w:val="5"/>
    <w:qFormat/>
    <w:locked/>
    <w:uiPriority w:val="99"/>
    <w:rPr>
      <w:sz w:val="18"/>
      <w:szCs w:val="18"/>
    </w:rPr>
  </w:style>
  <w:style w:type="paragraph" w:customStyle="1" w:styleId="13">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99"/>
    <w:pPr>
      <w:ind w:firstLine="420" w:firstLineChars="200"/>
    </w:pPr>
  </w:style>
  <w:style w:type="paragraph" w:customStyle="1" w:styleId="15">
    <w:name w:val="NormalIndent"/>
    <w:basedOn w:val="1"/>
    <w:qFormat/>
    <w:uiPriority w:val="99"/>
    <w:pPr>
      <w:ind w:firstLine="567"/>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32</Pages>
  <Words>9723</Words>
  <Characters>11366</Characters>
  <Lines>0</Lines>
  <Paragraphs>0</Paragraphs>
  <TotalTime>1</TotalTime>
  <ScaleCrop>false</ScaleCrop>
  <LinksUpToDate>false</LinksUpToDate>
  <CharactersWithSpaces>11924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2023-09-28T06:06:10Z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31A0DB8E63FE40EB854E887D4FCDC616</vt:lpwstr>
  </property>
</Properties>
</file>