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notes.xml" ContentType="application/vnd.openxmlformats-officedocument.wordprocessingml.footnot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Style w:val="616"/>
        <w:widowControl w:val="true"/>
        <w:pBdr/>
        <w:spacing/>
        <w:ind w:hanging="2160" w:left="2882"/>
        <w:jc w:val="left"/>
        <w:rPr>
          <w:rFonts w:ascii="黑体" w:eastAsia="黑体" w:cs="Times New Roman"/>
          <w:color w:val="000000"/>
          <w:sz w:val="70"/>
          <w:szCs w:val="70"/>
        </w:rPr>
      </w:pPr>
      <w:r>
        <w:rPr>
          <w:rFonts w:hint="eastAsia" w:ascii="黑体" w:eastAsia="黑体" w:cs="黑体"/>
          <w:sz w:val="36"/>
          <w:szCs w:val="36"/>
        </w:rPr>
        <w:t xml:space="preserve">道县公安局202</w:t>
      </w:r>
      <w:r>
        <w:rPr>
          <w:rFonts w:hint="eastAsia" w:ascii="黑体" w:eastAsia="黑体" w:cs="黑体"/>
          <w:sz w:val="36"/>
          <w:szCs w:val="36"/>
          <w:lang w:val="en-US" w:eastAsia="zh-CN"/>
        </w:rPr>
        <w:t xml:space="preserve">1</w:t>
      </w:r>
      <w:r>
        <w:rPr>
          <w:rFonts w:hint="eastAsia" w:ascii="黑体" w:eastAsia="黑体" w:cs="黑体"/>
          <w:sz w:val="36"/>
          <w:szCs w:val="36"/>
        </w:rPr>
        <w:t xml:space="preserve">年度整体支出绩效评价报告</w:t>
      </w:r>
      <w:r>
        <w:rPr>
          <w:rFonts w:ascii="黑体" w:eastAsia="黑体" w:cs="Times New Roman"/>
          <w:color w:val="000000"/>
          <w:sz w:val="70"/>
          <w:szCs w:val="70"/>
        </w:rPr>
      </w:r>
      <w:r>
        <w:rPr>
          <w:rFonts w:ascii="黑体" w:eastAsia="黑体" w:cs="Times New Roman"/>
          <w:color w:val="000000"/>
          <w:sz w:val="70"/>
          <w:szCs w:val="70"/>
        </w:rPr>
      </w:r>
    </w:p>
    <w:p>
      <w:pPr>
        <w:pStyle w:val="616"/>
        <w:pBdr/>
        <w:spacing/>
        <w:ind/>
        <w:jc w:val="center"/>
        <w:rPr>
          <w:rFonts w:ascii="黑体" w:eastAsia="黑体" w:cs="Times New Roman"/>
          <w:sz w:val="36"/>
          <w:szCs w:val="36"/>
        </w:rPr>
      </w:pPr>
      <w:r>
        <w:rPr>
          <w:rFonts w:ascii="黑体" w:eastAsia="黑体" w:cs="Times New Roman"/>
          <w:sz w:val="36"/>
          <w:szCs w:val="36"/>
        </w:rPr>
      </w:r>
      <w:r>
        <w:rPr>
          <w:rFonts w:ascii="黑体" w:eastAsia="黑体" w:cs="Times New Roman"/>
          <w:sz w:val="36"/>
          <w:szCs w:val="36"/>
        </w:rPr>
      </w:r>
    </w:p>
    <w:p>
      <w:pPr>
        <w:pStyle w:val="616"/>
        <w:pBdr/>
        <w:spacing w:line="520" w:lineRule="exact"/>
        <w:ind w:firstLine="646"/>
        <w:rPr>
          <w:rFonts w:hint="eastAsia" w:ascii="仿宋_GB2312" w:hAnsi="宋体" w:eastAsia="仿宋_GB2312" w:cs="Times New Roman"/>
          <w:b/>
          <w:bCs/>
          <w:sz w:val="28"/>
          <w:szCs w:val="28"/>
        </w:rPr>
      </w:pPr>
      <w:r>
        <w:rPr>
          <w:rFonts w:hint="eastAsia" w:ascii="仿宋_GB2312" w:hAnsi="宋体" w:eastAsia="仿宋_GB2312" w:cs="仿宋"/>
          <w:b/>
          <w:bCs/>
          <w:sz w:val="28"/>
          <w:szCs w:val="28"/>
        </w:rPr>
        <w:t xml:space="preserve">一、部门基本情况</w:t>
      </w:r>
      <w:r>
        <w:rPr>
          <w:rFonts w:hint="eastAsia" w:ascii="仿宋_GB2312" w:hAnsi="宋体" w:eastAsia="仿宋_GB2312" w:cs="Times New Roman"/>
          <w:b/>
          <w:bCs/>
          <w:sz w:val="28"/>
          <w:szCs w:val="28"/>
        </w:rPr>
      </w:r>
      <w:r>
        <w:rPr>
          <w:rFonts w:hint="eastAsia" w:ascii="仿宋_GB2312" w:hAnsi="宋体" w:eastAsia="仿宋_GB2312" w:cs="Times New Roman"/>
          <w:b/>
          <w:bCs/>
          <w:sz w:val="28"/>
          <w:szCs w:val="28"/>
        </w:rPr>
      </w:r>
    </w:p>
    <w:p>
      <w:pPr>
        <w:pStyle w:val="616"/>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t xml:space="preserve">1）．主要职能。</w:t>
      </w:r>
      <w:r>
        <w:rPr>
          <w:rFonts w:hint="eastAsia" w:ascii="仿宋_GB2312" w:hAnsi="宋体" w:eastAsia="仿宋_GB2312"/>
          <w:sz w:val="28"/>
          <w:szCs w:val="28"/>
        </w:rPr>
      </w:r>
      <w:r>
        <w:rPr>
          <w:rFonts w:hint="eastAsia" w:ascii="仿宋_GB2312" w:hAnsi="宋体" w:eastAsia="仿宋_GB2312"/>
          <w:sz w:val="28"/>
          <w:szCs w:val="28"/>
        </w:rPr>
      </w:r>
    </w:p>
    <w:p>
      <w:pPr>
        <w:pStyle w:val="620"/>
        <w:pBdr/>
        <w:spacing w:after="0" w:afterAutospacing="0" w:before="0" w:beforeAutospacing="0" w:line="411" w:lineRule="atLeast"/>
        <w:ind w:firstLine="560"/>
        <w:rPr>
          <w:rFonts w:hint="eastAsia" w:ascii="仿宋_GB2312" w:eastAsia="仿宋_GB2312"/>
          <w:color w:val="333333"/>
          <w:sz w:val="28"/>
          <w:szCs w:val="28"/>
        </w:rPr>
      </w:pPr>
      <w:r>
        <w:rPr>
          <w:rFonts w:hint="eastAsia" w:ascii="仿宋_GB2312" w:eastAsia="仿宋_GB2312"/>
          <w:sz w:val="28"/>
          <w:szCs w:val="28"/>
        </w:rPr>
        <w:t xml:space="preserve">1、</w:t>
      </w:r>
      <w:r>
        <w:rPr>
          <w:rFonts w:hint="eastAsia" w:ascii="仿宋_GB2312" w:eastAsia="仿宋_GB2312"/>
          <w:color w:val="333333"/>
          <w:sz w:val="28"/>
          <w:szCs w:val="28"/>
        </w:rPr>
        <w:t xml:space="preserve">贯彻执行党和国家及省有关公安工作的方针政策和法律法规，研究拟定我市公安工作的规范性文件并组织实施。</w:t>
      </w:r>
      <w:r>
        <w:rPr>
          <w:rFonts w:hint="eastAsia" w:ascii="仿宋_GB2312" w:eastAsia="仿宋_GB2312"/>
          <w:color w:val="333333"/>
          <w:sz w:val="28"/>
          <w:szCs w:val="28"/>
        </w:rPr>
      </w:r>
      <w:r>
        <w:rPr>
          <w:rFonts w:hint="eastAsia" w:ascii="仿宋_GB2312"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2、掌握控制危害国内安全和影响我县社会稳定的情报和动态，分析研究治安形势和刑事犯罪特点，制定预防、打击对策和措施。</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3、组织指导案件的侦破工作；侦破危害国家安全的重大案件以及重大经济犯罪和其他严重刑事犯罪案件；配合跨省（市、县）重特大系列案件的侦破和全市性的集中打击、搜捕、堵截等统一行动。</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4、依法查处危害社会治安秩序的行为和社会丑恶现象；依法管理户籍、居民身份证、枪支弹药、危险物品和特种行业等工作；组织指挥处置重大骚乱、重大群体性闹事、非法游行、非法聚集等影响社会稳定的非法活动和重大治安事故，侦破重大治安案件。</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5、负责做好出入境管理和外国人在市内民留、旅行的有关管理工作；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6、组织对监督机关、企业、企事业单位和重点建设工程的保卫工作以及群众性治安保卫组织的治安防范工作。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7、组织实施对公共信息网络和国际互联网的安全监察工作。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8、指导、监督全县公安机关依法承担的执行刑罚和对看守所、治安拘留所的管事工作。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9、组织实施对来我县的党和国家领导人，重要外宾以及省领导人和重要会议的安全警卫工作。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10、组织开展全县公安信息技术、刑事技术和行动技术的研究和建设，为案件的侦破提供技术保障和行动支援。</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11、规划并组织实施全县公安装备现代化建设。</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12、统一领导全县公安消防、警卫部队；对全县武警部队执行公安任务和相关业务建设实施领导和指挥。</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13、领导和管理列入县公安局序列的公安机构业务工作和队伍建设工作。</w:t>
      </w:r>
      <w:r>
        <w:rPr>
          <w:rFonts w:hint="eastAsia" w:ascii="仿宋_GB2312" w:hAnsi="宋体" w:eastAsia="仿宋_GB2312"/>
          <w:color w:val="333333"/>
          <w:sz w:val="28"/>
          <w:szCs w:val="28"/>
        </w:rPr>
      </w:r>
      <w:r>
        <w:rPr>
          <w:rFonts w:hint="eastAsia" w:ascii="仿宋_GB2312" w:hAnsi="宋体" w:eastAsia="仿宋_GB2312"/>
          <w:color w:val="333333"/>
          <w:sz w:val="28"/>
          <w:szCs w:val="28"/>
        </w:rPr>
      </w:r>
    </w:p>
    <w:p>
      <w:pPr>
        <w:pStyle w:val="616"/>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line="520" w:lineRule="exact"/>
        <w:ind w:firstLine="600"/>
        <w:rPr>
          <w:rFonts w:hint="eastAsia" w:ascii="仿宋_GB2312" w:hAnsi="仿宋" w:eastAsia="仿宋_GB2312"/>
          <w:sz w:val="30"/>
          <w:szCs w:val="30"/>
        </w:rPr>
      </w:pPr>
      <w:r>
        <w:rPr>
          <w:rFonts w:hint="eastAsia" w:ascii="仿宋_GB2312" w:hAnsi="仿宋" w:eastAsia="仿宋_GB2312"/>
          <w:sz w:val="30"/>
          <w:szCs w:val="30"/>
        </w:rPr>
        <w:t xml:space="preserve">2）．我单位现设机关</w:t>
      </w:r>
      <w:r>
        <w:rPr>
          <w:rFonts w:hint="eastAsia" w:ascii="仿宋_GB2312" w:hAnsi="仿宋" w:eastAsia="仿宋_GB2312"/>
          <w:sz w:val="30"/>
          <w:szCs w:val="30"/>
          <w:lang w:val="en-US" w:eastAsia="zh-CN"/>
        </w:rPr>
        <w:t xml:space="preserve">6</w:t>
      </w:r>
      <w:r>
        <w:rPr>
          <w:rFonts w:hint="eastAsia" w:ascii="仿宋_GB2312" w:hAnsi="仿宋" w:eastAsia="仿宋_GB2312"/>
          <w:sz w:val="30"/>
          <w:szCs w:val="30"/>
        </w:rPr>
        <w:t xml:space="preserve">个科室、直属机构</w:t>
      </w:r>
      <w:r>
        <w:rPr>
          <w:rFonts w:hint="eastAsia" w:ascii="仿宋_GB2312" w:hAnsi="仿宋" w:eastAsia="仿宋_GB2312"/>
          <w:sz w:val="30"/>
          <w:szCs w:val="30"/>
          <w:lang w:val="en-US" w:eastAsia="zh-CN"/>
        </w:rPr>
        <w:t xml:space="preserve">9</w:t>
      </w:r>
      <w:r>
        <w:rPr>
          <w:rFonts w:hint="eastAsia" w:ascii="仿宋_GB2312" w:hAnsi="仿宋" w:eastAsia="仿宋_GB2312"/>
          <w:sz w:val="30"/>
          <w:szCs w:val="30"/>
        </w:rPr>
        <w:t xml:space="preserve">个、基层派出所23个，所属机构2个，共</w:t>
      </w:r>
      <w:r>
        <w:rPr>
          <w:rFonts w:hint="eastAsia" w:ascii="仿宋_GB2312" w:hAnsi="仿宋" w:eastAsia="仿宋_GB2312"/>
          <w:sz w:val="30"/>
          <w:szCs w:val="30"/>
          <w:lang w:val="en-US" w:eastAsia="zh-CN"/>
        </w:rPr>
        <w:t xml:space="preserve">40</w:t>
      </w:r>
      <w:r>
        <w:rPr>
          <w:rFonts w:hint="eastAsia" w:ascii="仿宋_GB2312" w:hAnsi="仿宋" w:eastAsia="仿宋_GB2312"/>
          <w:sz w:val="30"/>
          <w:szCs w:val="30"/>
        </w:rPr>
        <w:t xml:space="preserve">个部门，人员编制400（含交警），2020年实有人员325人（不含交警）。车辆共50辆。</w:t>
      </w:r>
      <w:r>
        <w:rPr>
          <w:rFonts w:hint="eastAsia" w:ascii="仿宋_GB2312" w:hAnsi="仿宋" w:eastAsia="仿宋_GB2312"/>
          <w:sz w:val="30"/>
          <w:szCs w:val="30"/>
        </w:rPr>
      </w:r>
      <w:r>
        <w:rPr>
          <w:rFonts w:hint="eastAsia" w:ascii="仿宋_GB2312" w:hAnsi="仿宋" w:eastAsia="仿宋_GB2312"/>
          <w:sz w:val="30"/>
          <w:szCs w:val="30"/>
        </w:rPr>
      </w:r>
    </w:p>
    <w:p>
      <w:pPr>
        <w:pStyle w:val="616"/>
        <w:pBdr/>
        <w:spacing w:line="520" w:lineRule="exact"/>
        <w:ind w:firstLine="600"/>
        <w:rPr>
          <w:rFonts w:hint="eastAsia" w:ascii="仿宋_GB2312" w:hAnsi="仿宋" w:eastAsia="仿宋_GB2312"/>
          <w:sz w:val="30"/>
          <w:szCs w:val="30"/>
        </w:rPr>
      </w:pPr>
      <w:r>
        <w:rPr>
          <w:rFonts w:hint="eastAsia" w:ascii="仿宋_GB2312" w:hAnsi="仿宋" w:eastAsia="仿宋_GB2312"/>
          <w:sz w:val="30"/>
          <w:szCs w:val="30"/>
        </w:rPr>
        <w:t xml:space="preserve">3）．2021年人员编制325（不含交警、森林公安），2021年实有人员323人（不含交警、森林公安）。人员变动情况为1人退休，8人调离， 1人开除，新增8人。</w:t>
      </w:r>
      <w:r>
        <w:rPr>
          <w:rFonts w:hint="eastAsia" w:ascii="仿宋_GB2312" w:hAnsi="仿宋" w:eastAsia="仿宋_GB2312"/>
          <w:sz w:val="30"/>
          <w:szCs w:val="30"/>
        </w:rPr>
      </w:r>
      <w:r>
        <w:rPr>
          <w:rFonts w:hint="eastAsia" w:ascii="仿宋_GB2312" w:hAnsi="仿宋" w:eastAsia="仿宋_GB2312"/>
          <w:sz w:val="30"/>
          <w:szCs w:val="30"/>
        </w:rPr>
      </w:r>
    </w:p>
    <w:p>
      <w:pPr>
        <w:pStyle w:val="616"/>
        <w:widowControl w:val="true"/>
        <w:pBdr/>
        <w:spacing/>
        <w:ind w:firstLine="562"/>
        <w:jc w:val="left"/>
        <w:rPr>
          <w:rFonts w:hint="eastAsia" w:ascii="仿宋_GB2312" w:hAnsi="宋体" w:eastAsia="仿宋_GB2312"/>
          <w:b/>
          <w:sz w:val="28"/>
          <w:szCs w:val="28"/>
        </w:rPr>
      </w:pPr>
      <w:r>
        <w:rPr>
          <w:rFonts w:hint="eastAsia" w:ascii="仿宋_GB2312" w:hAnsi="宋体" w:eastAsia="仿宋_GB2312" w:cs="华文细黑"/>
          <w:b/>
          <w:bCs/>
          <w:sz w:val="28"/>
          <w:szCs w:val="28"/>
        </w:rPr>
        <w:t xml:space="preserve">二、</w:t>
      </w:r>
      <w:r>
        <w:rPr>
          <w:rFonts w:hint="eastAsia" w:ascii="仿宋_GB2312" w:hAnsi="宋体" w:eastAsia="仿宋_GB2312"/>
          <w:b/>
          <w:sz w:val="28"/>
          <w:szCs w:val="28"/>
        </w:rPr>
        <w:t xml:space="preserve">一般公共预算支出情况：</w:t>
      </w:r>
      <w:r>
        <w:rPr>
          <w:rFonts w:hint="eastAsia" w:ascii="仿宋_GB2312" w:hAnsi="宋体" w:eastAsia="仿宋_GB2312"/>
          <w:b/>
          <w:sz w:val="28"/>
          <w:szCs w:val="28"/>
        </w:rPr>
      </w:r>
      <w:r>
        <w:rPr>
          <w:rFonts w:hint="eastAsia" w:ascii="仿宋_GB2312" w:hAnsi="宋体" w:eastAsia="仿宋_GB2312"/>
          <w:b/>
          <w:sz w:val="28"/>
          <w:szCs w:val="28"/>
        </w:rPr>
      </w:r>
    </w:p>
    <w:p>
      <w:pPr>
        <w:pStyle w:val="616"/>
        <w:widowControl w:val="true"/>
        <w:pBdr/>
        <w:spacing/>
        <w:ind w:firstLine="560"/>
        <w:jc w:val="left"/>
        <w:rPr>
          <w:rFonts w:hint="eastAsia" w:ascii="仿宋_GB2312" w:hAnsi="宋体" w:eastAsia="仿宋_GB2312" w:cs="仿宋"/>
          <w:color w:val="000000"/>
          <w:sz w:val="28"/>
          <w:szCs w:val="28"/>
        </w:rPr>
      </w:pPr>
      <w:r>
        <w:rPr>
          <w:rFonts w:hint="eastAsia" w:ascii="仿宋_GB2312" w:hAnsi="宋体" w:eastAsia="仿宋_GB2312" w:cs="仿宋"/>
          <w:sz w:val="28"/>
          <w:szCs w:val="28"/>
        </w:rPr>
        <w:t xml:space="preserve">1、</w:t>
      </w:r>
      <w:r>
        <w:rPr>
          <w:rFonts w:hint="eastAsia" w:ascii="仿宋_GB2312" w:hAnsi="宋体" w:eastAsia="仿宋_GB2312" w:cs="仿宋"/>
          <w:color w:val="000000"/>
          <w:sz w:val="28"/>
          <w:szCs w:val="28"/>
        </w:rPr>
        <w:t xml:space="preserve">基本支出情况：</w:t>
      </w:r>
      <w:r>
        <w:rPr>
          <w:rFonts w:hint="eastAsia" w:ascii="仿宋_GB2312" w:hAnsi="宋体" w:eastAsia="仿宋_GB2312" w:cs="仿宋"/>
          <w:color w:val="000000"/>
          <w:sz w:val="28"/>
          <w:szCs w:val="28"/>
        </w:rPr>
      </w:r>
      <w:r>
        <w:rPr>
          <w:rFonts w:hint="eastAsia" w:ascii="仿宋_GB2312" w:hAnsi="宋体" w:eastAsia="仿宋_GB2312" w:cs="仿宋"/>
          <w:color w:val="000000"/>
          <w:sz w:val="28"/>
          <w:szCs w:val="28"/>
        </w:rPr>
      </w:r>
    </w:p>
    <w:p>
      <w:pPr>
        <w:pStyle w:val="616"/>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t xml:space="preserve">（一）基本支出情况：本单位202</w:t>
      </w:r>
      <w:r>
        <w:rPr>
          <w:rFonts w:hint="eastAsia" w:ascii="仿宋_GB2312" w:hAnsi="宋体" w:eastAsia="仿宋_GB2312"/>
          <w:sz w:val="28"/>
          <w:szCs w:val="28"/>
          <w:lang w:val="en-US" w:eastAsia="zh-CN"/>
        </w:rPr>
        <w:t xml:space="preserve">1</w:t>
      </w:r>
      <w:r>
        <w:rPr>
          <w:rFonts w:hint="eastAsia" w:ascii="仿宋_GB2312" w:hAnsi="宋体" w:eastAsia="仿宋_GB2312"/>
          <w:sz w:val="28"/>
          <w:szCs w:val="28"/>
        </w:rPr>
        <w:t xml:space="preserve">年基本支出</w:t>
      </w:r>
      <w:r>
        <w:rPr>
          <w:rFonts w:hint="eastAsia" w:ascii="仿宋_GB2312" w:hAnsi="宋体" w:eastAsia="仿宋_GB2312"/>
          <w:sz w:val="28"/>
          <w:szCs w:val="28"/>
          <w:lang w:val="en-US" w:eastAsia="zh-CN"/>
        </w:rPr>
        <w:t xml:space="preserve">4604.87</w:t>
      </w:r>
      <w:r>
        <w:rPr>
          <w:rFonts w:hint="eastAsia" w:ascii="仿宋_GB2312" w:hAnsi="宋体" w:eastAsia="仿宋_GB2312"/>
          <w:sz w:val="28"/>
          <w:szCs w:val="28"/>
        </w:rPr>
        <w:t xml:space="preserve">万元，其中：工资福利支出</w:t>
      </w:r>
      <w:r>
        <w:rPr>
          <w:rFonts w:hint="eastAsia" w:ascii="仿宋_GB2312" w:hAnsi="宋体" w:eastAsia="仿宋_GB2312"/>
          <w:sz w:val="28"/>
          <w:szCs w:val="28"/>
          <w:lang w:val="en-US" w:eastAsia="zh-CN"/>
        </w:rPr>
        <w:t xml:space="preserve">3109.99</w:t>
      </w:r>
      <w:r>
        <w:rPr>
          <w:rFonts w:hint="eastAsia" w:ascii="仿宋_GB2312" w:hAnsi="宋体" w:eastAsia="仿宋_GB2312"/>
          <w:sz w:val="28"/>
          <w:szCs w:val="28"/>
        </w:rPr>
        <w:t xml:space="preserve">万元，包含：基本工资</w:t>
      </w:r>
      <w:r>
        <w:rPr>
          <w:rFonts w:hint="eastAsia" w:ascii="仿宋_GB2312" w:hAnsi="宋体" w:eastAsia="仿宋_GB2312"/>
          <w:sz w:val="28"/>
          <w:szCs w:val="28"/>
          <w:lang w:val="en-US" w:eastAsia="zh-CN"/>
        </w:rPr>
        <w:t xml:space="preserve">1153.73</w:t>
      </w:r>
      <w:r>
        <w:rPr>
          <w:rFonts w:hint="eastAsia" w:ascii="仿宋_GB2312" w:hAnsi="宋体" w:eastAsia="仿宋_GB2312"/>
          <w:sz w:val="28"/>
          <w:szCs w:val="28"/>
        </w:rPr>
        <w:t xml:space="preserve">万元，津补贴</w:t>
      </w:r>
      <w:r>
        <w:rPr>
          <w:rFonts w:hint="eastAsia" w:ascii="仿宋_GB2312" w:hAnsi="宋体" w:eastAsia="仿宋_GB2312"/>
          <w:sz w:val="28"/>
          <w:szCs w:val="28"/>
          <w:lang w:val="en-US" w:eastAsia="zh-CN"/>
        </w:rPr>
        <w:t xml:space="preserve">1085.05</w:t>
      </w:r>
      <w:r>
        <w:rPr>
          <w:rFonts w:hint="eastAsia" w:ascii="仿宋_GB2312" w:hAnsi="宋体" w:eastAsia="仿宋_GB2312"/>
          <w:sz w:val="28"/>
          <w:szCs w:val="28"/>
        </w:rPr>
        <w:t xml:space="preserve">万元，医疗保险单位部分</w:t>
      </w:r>
      <w:r>
        <w:rPr>
          <w:rFonts w:hint="eastAsia" w:ascii="仿宋_GB2312" w:hAnsi="宋体" w:eastAsia="仿宋_GB2312"/>
          <w:sz w:val="28"/>
          <w:szCs w:val="28"/>
          <w:lang w:val="en-US" w:eastAsia="zh-CN"/>
        </w:rPr>
        <w:t xml:space="preserve">183.6</w:t>
      </w:r>
      <w:r>
        <w:rPr>
          <w:rFonts w:hint="eastAsia" w:ascii="仿宋_GB2312" w:hAnsi="宋体" w:eastAsia="仿宋_GB2312"/>
          <w:sz w:val="28"/>
          <w:szCs w:val="28"/>
        </w:rPr>
        <w:t xml:space="preserve">万元，养老保险及职业年金单位部分</w:t>
      </w:r>
      <w:r>
        <w:rPr>
          <w:rFonts w:hint="eastAsia" w:ascii="仿宋_GB2312" w:hAnsi="宋体" w:eastAsia="仿宋_GB2312"/>
          <w:sz w:val="28"/>
          <w:szCs w:val="28"/>
          <w:lang w:val="en-US" w:eastAsia="zh-CN"/>
        </w:rPr>
        <w:t xml:space="preserve">367.08</w:t>
      </w:r>
      <w:r>
        <w:rPr>
          <w:rFonts w:hint="eastAsia" w:ascii="仿宋_GB2312" w:hAnsi="宋体" w:eastAsia="仿宋_GB2312"/>
          <w:sz w:val="28"/>
          <w:szCs w:val="28"/>
        </w:rPr>
        <w:t xml:space="preserve">万，</w:t>
      </w:r>
      <w:r>
        <w:rPr>
          <w:rFonts w:hint="eastAsia" w:ascii="仿宋_GB2312" w:hAnsi="宋体" w:eastAsia="仿宋_GB2312"/>
          <w:sz w:val="28"/>
          <w:szCs w:val="28"/>
          <w:lang w:eastAsia="zh-CN"/>
        </w:rPr>
        <w:t xml:space="preserve">其它</w:t>
      </w:r>
      <w:r>
        <w:rPr>
          <w:rFonts w:hint="eastAsia" w:ascii="仿宋_GB2312" w:hAnsi="宋体" w:eastAsia="仿宋_GB2312"/>
          <w:sz w:val="28"/>
          <w:szCs w:val="28"/>
          <w:lang w:val="en-US" w:eastAsia="zh-CN"/>
        </w:rPr>
        <w:t xml:space="preserve">320.53万元</w:t>
      </w:r>
      <w:r>
        <w:rPr>
          <w:rFonts w:hint="eastAsia" w:ascii="仿宋_GB2312" w:hAnsi="宋体" w:eastAsia="仿宋_GB2312"/>
          <w:sz w:val="28"/>
          <w:szCs w:val="28"/>
        </w:rPr>
        <w:t xml:space="preserve">；</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一般商品及服务支出</w:t>
      </w:r>
      <w:r>
        <w:rPr>
          <w:rFonts w:hint="eastAsia" w:ascii="仿宋_GB2312" w:hAnsi="宋体" w:eastAsia="仿宋_GB2312"/>
          <w:sz w:val="28"/>
          <w:szCs w:val="28"/>
          <w:lang w:val="en-US" w:eastAsia="zh-CN"/>
        </w:rPr>
        <w:t xml:space="preserve">1451.6</w:t>
      </w:r>
      <w:r>
        <w:rPr>
          <w:rFonts w:hint="eastAsia" w:ascii="仿宋_GB2312" w:hAnsi="宋体" w:eastAsia="仿宋_GB2312"/>
          <w:sz w:val="28"/>
          <w:szCs w:val="28"/>
        </w:rPr>
        <w:t xml:space="preserve">万元，包含：公用经费</w:t>
      </w:r>
      <w:r>
        <w:rPr>
          <w:rFonts w:hint="eastAsia" w:ascii="仿宋_GB2312" w:hAnsi="宋体" w:eastAsia="仿宋_GB2312"/>
          <w:sz w:val="28"/>
          <w:szCs w:val="28"/>
          <w:lang w:val="en-US" w:eastAsia="zh-CN"/>
        </w:rPr>
        <w:t xml:space="preserve">1246.8</w:t>
      </w:r>
      <w:r>
        <w:rPr>
          <w:rFonts w:hint="eastAsia" w:ascii="仿宋_GB2312" w:hAnsi="宋体" w:eastAsia="仿宋_GB2312"/>
          <w:sz w:val="28"/>
          <w:szCs w:val="28"/>
        </w:rPr>
        <w:t xml:space="preserve">万元</w:t>
      </w:r>
      <w:r>
        <w:rPr>
          <w:rFonts w:hint="eastAsia" w:ascii="仿宋_GB2312" w:hAnsi="宋体" w:eastAsia="仿宋_GB2312"/>
          <w:sz w:val="28"/>
          <w:szCs w:val="28"/>
          <w:lang w:eastAsia="zh-CN"/>
        </w:rPr>
        <w:t xml:space="preserve">，其它</w:t>
      </w:r>
      <w:r>
        <w:rPr>
          <w:rFonts w:hint="eastAsia" w:ascii="仿宋_GB2312" w:hAnsi="宋体" w:eastAsia="仿宋_GB2312"/>
          <w:sz w:val="28"/>
          <w:szCs w:val="28"/>
          <w:lang w:val="en-US" w:eastAsia="zh-CN"/>
        </w:rPr>
        <w:t xml:space="preserve">204.8万元</w:t>
      </w:r>
      <w:r>
        <w:rPr>
          <w:rFonts w:hint="eastAsia" w:ascii="仿宋_GB2312" w:hAnsi="宋体" w:eastAsia="仿宋_GB2312"/>
          <w:sz w:val="28"/>
          <w:szCs w:val="28"/>
        </w:rPr>
        <w:t xml:space="preserve">；</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对个人和家庭的补助</w:t>
      </w:r>
      <w:r>
        <w:rPr>
          <w:rFonts w:hint="eastAsia" w:ascii="仿宋_GB2312" w:hAnsi="宋体" w:eastAsia="仿宋_GB2312"/>
          <w:sz w:val="28"/>
          <w:szCs w:val="28"/>
          <w:lang w:val="en-US" w:eastAsia="zh-CN"/>
        </w:rPr>
        <w:t xml:space="preserve">43.23</w:t>
      </w:r>
      <w:r>
        <w:rPr>
          <w:rFonts w:hint="eastAsia" w:ascii="仿宋_GB2312" w:hAnsi="宋体" w:eastAsia="仿宋_GB2312"/>
          <w:sz w:val="28"/>
          <w:szCs w:val="28"/>
        </w:rPr>
        <w:t xml:space="preserve">万元，包含：死亡抚恤及遗属抚养</w:t>
      </w:r>
      <w:r>
        <w:rPr>
          <w:rFonts w:hint="eastAsia" w:ascii="仿宋_GB2312" w:hAnsi="宋体" w:eastAsia="仿宋_GB2312"/>
          <w:sz w:val="28"/>
          <w:szCs w:val="28"/>
          <w:lang w:val="en-US" w:eastAsia="zh-CN"/>
        </w:rPr>
        <w:t xml:space="preserve">43.23</w:t>
      </w:r>
      <w:r>
        <w:rPr>
          <w:rFonts w:hint="eastAsia" w:ascii="仿宋_GB2312" w:hAnsi="宋体" w:eastAsia="仿宋_GB2312"/>
          <w:sz w:val="28"/>
          <w:szCs w:val="28"/>
        </w:rPr>
        <w:t xml:space="preserve">万元；</w:t>
      </w:r>
      <w:r>
        <w:rPr>
          <w:rFonts w:hint="eastAsia" w:ascii="仿宋_GB2312" w:hAnsi="宋体" w:eastAsia="仿宋_GB2312"/>
          <w:sz w:val="28"/>
          <w:szCs w:val="28"/>
        </w:rPr>
      </w:r>
      <w:r>
        <w:rPr>
          <w:rFonts w:hint="eastAsia" w:ascii="仿宋_GB2312" w:hAnsi="宋体" w:eastAsia="仿宋_GB2312"/>
          <w:sz w:val="28"/>
          <w:szCs w:val="28"/>
        </w:rPr>
      </w:r>
    </w:p>
    <w:p>
      <w:pPr>
        <w:pStyle w:val="630"/>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（二）项目支出情况</w:t>
      </w:r>
      <w:r>
        <w:rPr>
          <w:rFonts w:hint="eastAsia" w:ascii="仿宋_GB2312" w:eastAsia="仿宋_GB2312"/>
          <w:sz w:val="28"/>
          <w:szCs w:val="28"/>
        </w:rPr>
      </w:r>
      <w:r>
        <w:rPr>
          <w:rFonts w:hint="eastAsia" w:ascii="仿宋_GB2312"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项目支出43</w:t>
      </w:r>
      <w:r>
        <w:rPr>
          <w:rFonts w:hint="eastAsia" w:ascii="仿宋_GB2312" w:hAnsi="宋体" w:eastAsia="仿宋_GB2312"/>
          <w:sz w:val="28"/>
          <w:szCs w:val="28"/>
          <w:lang w:val="en-US" w:eastAsia="zh-CN"/>
        </w:rPr>
        <w:t xml:space="preserve">04.42</w:t>
      </w:r>
      <w:r>
        <w:rPr>
          <w:rFonts w:hint="eastAsia" w:ascii="仿宋_GB2312" w:hAnsi="宋体" w:eastAsia="仿宋_GB2312"/>
          <w:sz w:val="28"/>
          <w:szCs w:val="28"/>
        </w:rPr>
        <w:t xml:space="preserve">万元。其中：</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商品和服务支出</w:t>
      </w:r>
      <w:r>
        <w:rPr>
          <w:rFonts w:hint="eastAsia" w:ascii="仿宋_GB2312" w:hAnsi="宋体" w:eastAsia="仿宋_GB2312"/>
          <w:sz w:val="28"/>
          <w:szCs w:val="28"/>
          <w:lang w:val="en-US" w:eastAsia="zh-CN"/>
        </w:rPr>
        <w:t xml:space="preserve">3763.26</w:t>
      </w:r>
      <w:r>
        <w:rPr>
          <w:rFonts w:hint="eastAsia" w:ascii="仿宋_GB2312" w:hAnsi="宋体" w:eastAsia="仿宋_GB2312"/>
          <w:sz w:val="28"/>
          <w:szCs w:val="28"/>
        </w:rPr>
        <w:t xml:space="preserve">万元，包含：</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巡辅警经费</w:t>
      </w:r>
      <w:r>
        <w:rPr>
          <w:rFonts w:hint="eastAsia" w:ascii="仿宋_GB2312" w:hAnsi="宋体" w:eastAsia="仿宋_GB2312"/>
          <w:sz w:val="28"/>
          <w:szCs w:val="28"/>
          <w:lang w:val="en-US" w:eastAsia="zh-CN"/>
        </w:rPr>
        <w:t xml:space="preserve">2885</w:t>
      </w:r>
      <w:r>
        <w:rPr>
          <w:rFonts w:hint="eastAsia" w:ascii="仿宋_GB2312" w:hAnsi="宋体" w:eastAsia="仿宋_GB2312"/>
          <w:sz w:val="28"/>
          <w:szCs w:val="28"/>
        </w:rPr>
        <w:t xml:space="preserve">万元，城区快警运行经费30万元，</w:t>
      </w:r>
      <w:r>
        <w:rPr>
          <w:rFonts w:hint="eastAsia" w:ascii="仿宋_GB2312" w:hAnsi="宋体" w:eastAsia="仿宋_GB2312"/>
          <w:sz w:val="28"/>
          <w:szCs w:val="28"/>
          <w:lang w:eastAsia="zh-CN"/>
        </w:rPr>
        <w:t xml:space="preserve">跨区域</w:t>
      </w:r>
      <w:r>
        <w:rPr>
          <w:rFonts w:hint="eastAsia" w:ascii="仿宋_GB2312" w:hAnsi="宋体" w:eastAsia="仿宋_GB2312"/>
          <w:sz w:val="28"/>
          <w:szCs w:val="28"/>
        </w:rPr>
        <w:t xml:space="preserve">专项经费</w:t>
      </w:r>
      <w:r>
        <w:rPr>
          <w:rFonts w:hint="eastAsia" w:ascii="仿宋_GB2312" w:hAnsi="宋体" w:eastAsia="仿宋_GB2312"/>
          <w:sz w:val="28"/>
          <w:szCs w:val="28"/>
          <w:lang w:val="en-US" w:eastAsia="zh-CN"/>
        </w:rPr>
        <w:t xml:space="preserve">400</w:t>
      </w:r>
      <w:r>
        <w:rPr>
          <w:rFonts w:hint="eastAsia" w:ascii="仿宋_GB2312" w:hAnsi="宋体" w:eastAsia="仿宋_GB2312"/>
          <w:sz w:val="28"/>
          <w:szCs w:val="28"/>
        </w:rPr>
        <w:t xml:space="preserve">万元，国保秘密活动经费10万元，禁毒办经费</w:t>
      </w:r>
      <w:r>
        <w:rPr>
          <w:rFonts w:hint="eastAsia" w:ascii="仿宋_GB2312" w:hAnsi="宋体" w:eastAsia="仿宋_GB2312"/>
          <w:sz w:val="28"/>
          <w:szCs w:val="28"/>
          <w:lang w:val="en-US" w:eastAsia="zh-CN"/>
        </w:rPr>
        <w:t xml:space="preserve">267.26</w:t>
      </w:r>
      <w:r>
        <w:rPr>
          <w:rFonts w:hint="eastAsia" w:ascii="仿宋_GB2312" w:hAnsi="宋体" w:eastAsia="仿宋_GB2312"/>
          <w:sz w:val="28"/>
          <w:szCs w:val="28"/>
        </w:rPr>
        <w:t xml:space="preserve">万元，犯罪嫌疑人体检</w:t>
      </w:r>
      <w:r>
        <w:rPr>
          <w:rFonts w:hint="eastAsia" w:ascii="仿宋_GB2312" w:hAnsi="宋体" w:eastAsia="仿宋_GB2312"/>
          <w:sz w:val="28"/>
          <w:szCs w:val="28"/>
          <w:lang w:val="en-US" w:eastAsia="zh-CN"/>
        </w:rPr>
        <w:t xml:space="preserve">51</w:t>
      </w:r>
      <w:r>
        <w:rPr>
          <w:rFonts w:hint="eastAsia" w:ascii="仿宋_GB2312" w:hAnsi="宋体" w:eastAsia="仿宋_GB2312"/>
          <w:sz w:val="28"/>
          <w:szCs w:val="28"/>
        </w:rPr>
        <w:t xml:space="preserve">万元，被羁押人员生活费及医疗费</w:t>
      </w:r>
      <w:r>
        <w:rPr>
          <w:rFonts w:hint="eastAsia" w:ascii="仿宋_GB2312" w:hAnsi="宋体" w:eastAsia="仿宋_GB2312"/>
          <w:sz w:val="28"/>
          <w:szCs w:val="28"/>
          <w:lang w:val="en-US" w:eastAsia="zh-CN"/>
        </w:rPr>
        <w:t xml:space="preserve">110</w:t>
      </w:r>
      <w:r>
        <w:rPr>
          <w:rFonts w:hint="eastAsia" w:ascii="仿宋_GB2312" w:hAnsi="宋体" w:eastAsia="仿宋_GB2312"/>
          <w:sz w:val="28"/>
          <w:szCs w:val="28"/>
        </w:rPr>
        <w:t xml:space="preserve">万元，驻长维稳经费10万元；</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其它资本性支出</w:t>
      </w:r>
      <w:r>
        <w:rPr>
          <w:rFonts w:hint="eastAsia" w:ascii="仿宋_GB2312" w:hAnsi="宋体" w:eastAsia="仿宋_GB2312"/>
          <w:sz w:val="28"/>
          <w:szCs w:val="28"/>
          <w:lang w:val="en-US" w:eastAsia="zh-CN"/>
        </w:rPr>
        <w:t xml:space="preserve">541.14</w:t>
      </w:r>
      <w:r>
        <w:rPr>
          <w:rFonts w:hint="eastAsia" w:ascii="仿宋_GB2312" w:hAnsi="宋体" w:eastAsia="仿宋_GB2312"/>
          <w:sz w:val="28"/>
          <w:szCs w:val="28"/>
        </w:rPr>
        <w:t xml:space="preserve">万元，包含：中央及省级转移支付资金装备经费</w:t>
      </w:r>
      <w:r>
        <w:rPr>
          <w:rFonts w:hint="eastAsia" w:ascii="仿宋_GB2312" w:hAnsi="宋体" w:eastAsia="仿宋_GB2312"/>
          <w:sz w:val="28"/>
          <w:szCs w:val="28"/>
          <w:lang w:val="en-US" w:eastAsia="zh-CN"/>
        </w:rPr>
        <w:t xml:space="preserve">330</w:t>
      </w:r>
      <w:r>
        <w:rPr>
          <w:rFonts w:hint="eastAsia" w:ascii="仿宋_GB2312" w:hAnsi="宋体" w:eastAsia="仿宋_GB2312"/>
          <w:sz w:val="28"/>
          <w:szCs w:val="28"/>
        </w:rPr>
        <w:t xml:space="preserve">万元；20</w:t>
      </w:r>
      <w:r>
        <w:rPr>
          <w:rFonts w:hint="eastAsia" w:ascii="仿宋_GB2312" w:hAnsi="宋体" w:eastAsia="仿宋_GB2312"/>
          <w:sz w:val="28"/>
          <w:szCs w:val="28"/>
          <w:lang w:val="en-US" w:eastAsia="zh-CN"/>
        </w:rPr>
        <w:t xml:space="preserve">20</w:t>
      </w:r>
      <w:r>
        <w:rPr>
          <w:rFonts w:hint="eastAsia" w:ascii="仿宋_GB2312" w:hAnsi="宋体" w:eastAsia="仿宋_GB2312"/>
          <w:sz w:val="28"/>
          <w:szCs w:val="28"/>
        </w:rPr>
        <w:t xml:space="preserve">年度非税收入返还用于基建工程</w:t>
      </w:r>
      <w:r>
        <w:rPr>
          <w:rFonts w:hint="eastAsia" w:ascii="仿宋_GB2312" w:hAnsi="宋体" w:eastAsia="仿宋_GB2312"/>
          <w:sz w:val="28"/>
          <w:szCs w:val="28"/>
          <w:lang w:val="en-US" w:eastAsia="zh-CN"/>
        </w:rPr>
        <w:t xml:space="preserve">211.14</w:t>
      </w:r>
      <w:r>
        <w:rPr>
          <w:rFonts w:hint="eastAsia" w:ascii="仿宋_GB2312" w:hAnsi="宋体" w:eastAsia="仿宋_GB2312"/>
          <w:sz w:val="28"/>
          <w:szCs w:val="28"/>
        </w:rPr>
        <w:t xml:space="preserve">万元；</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其中进行政府采购</w:t>
      </w:r>
      <w:r>
        <w:rPr>
          <w:rFonts w:hint="eastAsia" w:ascii="仿宋_GB2312" w:hAnsi="宋体" w:eastAsia="仿宋_GB2312"/>
          <w:sz w:val="28"/>
          <w:szCs w:val="28"/>
          <w:lang w:val="en-US" w:eastAsia="zh-CN"/>
        </w:rPr>
        <w:t xml:space="preserve">541.14</w:t>
      </w:r>
      <w:r>
        <w:rPr>
          <w:rFonts w:hint="eastAsia" w:ascii="仿宋_GB2312" w:hAnsi="宋体" w:eastAsia="仿宋_GB2312"/>
          <w:sz w:val="28"/>
          <w:szCs w:val="28"/>
        </w:rPr>
        <w:t xml:space="preserve">万元，包含：</w:t>
      </w:r>
      <w:r>
        <w:rPr>
          <w:rFonts w:hint="eastAsia" w:ascii="仿宋_GB2312" w:hAnsi="宋体" w:eastAsia="仿宋_GB2312"/>
          <w:sz w:val="28"/>
          <w:szCs w:val="28"/>
          <w:lang w:eastAsia="zh-CN"/>
        </w:rPr>
        <w:t xml:space="preserve">警务通终端服务</w:t>
      </w:r>
      <w:r>
        <w:rPr>
          <w:rFonts w:hint="eastAsia" w:ascii="仿宋_GB2312" w:hAnsi="宋体" w:eastAsia="仿宋_GB2312"/>
          <w:sz w:val="28"/>
          <w:szCs w:val="28"/>
          <w:lang w:val="en-US" w:eastAsia="zh-CN"/>
        </w:rPr>
        <w:t xml:space="preserve">192万元；</w:t>
      </w:r>
      <w:r>
        <w:rPr>
          <w:rFonts w:hint="eastAsia" w:ascii="仿宋_GB2312" w:hAnsi="仿宋_GB2312" w:eastAsia="仿宋_GB2312" w:cs="仿宋_GB2312"/>
          <w:sz w:val="28"/>
          <w:szCs w:val="28"/>
        </w:rPr>
        <w:t xml:space="preserve">城北派出所执法办案区系统升级改造39.9万元；市局350兆警用数字集群（PDT）系统27.69万元；</w:t>
      </w:r>
      <w:r>
        <w:rPr>
          <w:rFonts w:hint="eastAsia" w:ascii="仿宋_GB2312" w:hAnsi="仿宋_GB2312" w:eastAsia="仿宋_GB2312" w:cs="仿宋_GB2312"/>
          <w:sz w:val="28"/>
          <w:szCs w:val="28"/>
          <w:lang w:eastAsia="zh-CN"/>
        </w:rPr>
        <w:t xml:space="preserve">车辆采购</w:t>
      </w:r>
      <w:r>
        <w:rPr>
          <w:rFonts w:hint="eastAsia" w:ascii="仿宋_GB2312" w:hAnsi="仿宋_GB2312" w:eastAsia="仿宋_GB2312" w:cs="仿宋_GB2312"/>
          <w:sz w:val="28"/>
          <w:szCs w:val="28"/>
          <w:lang w:val="en-US" w:eastAsia="zh-CN"/>
        </w:rPr>
        <w:t xml:space="preserve">61万元；</w:t>
      </w:r>
      <w:r>
        <w:rPr>
          <w:rFonts w:hint="eastAsia" w:ascii="仿宋_GB2312" w:hAnsi="宋体" w:eastAsia="仿宋_GB2312"/>
          <w:sz w:val="28"/>
          <w:szCs w:val="28"/>
        </w:rPr>
        <w:t xml:space="preserve">其它物资采购</w:t>
      </w:r>
      <w:r>
        <w:rPr>
          <w:rFonts w:hint="eastAsia" w:ascii="仿宋_GB2312" w:hAnsi="宋体" w:eastAsia="仿宋_GB2312"/>
          <w:sz w:val="28"/>
          <w:szCs w:val="28"/>
          <w:lang w:val="en-US" w:eastAsia="zh-CN"/>
        </w:rPr>
        <w:t xml:space="preserve">9.41</w:t>
      </w:r>
      <w:r>
        <w:rPr>
          <w:rFonts w:hint="eastAsia" w:ascii="仿宋_GB2312" w:hAnsi="宋体" w:eastAsia="仿宋_GB2312"/>
          <w:sz w:val="28"/>
          <w:szCs w:val="28"/>
        </w:rPr>
        <w:t xml:space="preserve">万元，三所合一工程建设</w:t>
      </w:r>
      <w:r>
        <w:rPr>
          <w:rFonts w:hint="eastAsia" w:ascii="仿宋_GB2312" w:hAnsi="宋体" w:eastAsia="仿宋_GB2312"/>
          <w:sz w:val="28"/>
          <w:szCs w:val="28"/>
          <w:lang w:val="en-US" w:eastAsia="zh-CN"/>
        </w:rPr>
        <w:t xml:space="preserve">211.14</w:t>
      </w:r>
      <w:r>
        <w:rPr>
          <w:rFonts w:hint="eastAsia" w:ascii="仿宋_GB2312" w:hAnsi="宋体" w:eastAsia="仿宋_GB2312"/>
          <w:sz w:val="28"/>
          <w:szCs w:val="28"/>
        </w:rPr>
        <w:t xml:space="preserve">万元；</w:t>
      </w:r>
      <w:r>
        <w:rPr>
          <w:rFonts w:hint="eastAsia" w:ascii="仿宋_GB2312" w:hAnsi="宋体" w:eastAsia="仿宋_GB2312"/>
          <w:sz w:val="28"/>
          <w:szCs w:val="28"/>
        </w:rPr>
      </w:r>
      <w:r>
        <w:rPr>
          <w:rFonts w:hint="eastAsia" w:ascii="仿宋_GB2312" w:hAnsi="宋体" w:eastAsia="仿宋_GB2312"/>
          <w:sz w:val="28"/>
          <w:szCs w:val="28"/>
        </w:rPr>
      </w:r>
    </w:p>
    <w:p>
      <w:pPr>
        <w:pStyle w:val="616"/>
        <w:pBdr/>
        <w:spacing w:line="360" w:lineRule="auto"/>
        <w:ind w:firstLine="562"/>
        <w:rPr>
          <w:rFonts w:hint="eastAsia" w:ascii="仿宋_GB2312" w:hAnsi="宋体" w:eastAsia="仿宋_GB2312" w:cs="仿宋"/>
          <w:b/>
          <w:sz w:val="28"/>
          <w:szCs w:val="28"/>
        </w:rPr>
      </w:pPr>
      <w:r>
        <w:rPr>
          <w:rFonts w:hint="eastAsia" w:ascii="仿宋_GB2312" w:hAnsi="宋体" w:eastAsia="仿宋_GB2312" w:cs="仿宋"/>
          <w:b/>
          <w:sz w:val="28"/>
          <w:szCs w:val="28"/>
        </w:rPr>
        <w:t xml:space="preserve">三、政府性基金预算支出情况</w:t>
      </w:r>
      <w:r>
        <w:rPr>
          <w:rFonts w:hint="eastAsia" w:ascii="仿宋_GB2312" w:hAnsi="宋体" w:eastAsia="仿宋_GB2312" w:cs="仿宋"/>
          <w:b/>
          <w:sz w:val="28"/>
          <w:szCs w:val="28"/>
        </w:rPr>
      </w:r>
      <w:r>
        <w:rPr>
          <w:rFonts w:hint="eastAsia" w:ascii="仿宋_GB2312" w:hAnsi="宋体" w:eastAsia="仿宋_GB2312" w:cs="仿宋"/>
          <w:b/>
          <w:sz w:val="28"/>
          <w:szCs w:val="28"/>
        </w:rPr>
      </w:r>
    </w:p>
    <w:p>
      <w:pPr>
        <w:pStyle w:val="616"/>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年度本部门无政府性基金预算支出。</w:t>
      </w:r>
      <w:r>
        <w:rPr>
          <w:rFonts w:hint="eastAsia" w:ascii="仿宋_GB2312" w:hAnsi="宋体" w:eastAsia="仿宋_GB2312" w:cs="仿宋"/>
          <w:sz w:val="28"/>
          <w:szCs w:val="28"/>
        </w:rPr>
      </w:r>
      <w:r>
        <w:rPr>
          <w:rFonts w:hint="eastAsia" w:ascii="仿宋_GB2312" w:hAnsi="宋体" w:eastAsia="仿宋_GB2312" w:cs="仿宋"/>
          <w:sz w:val="28"/>
          <w:szCs w:val="28"/>
        </w:rPr>
      </w:r>
    </w:p>
    <w:p>
      <w:pPr>
        <w:pStyle w:val="616"/>
        <w:pBdr/>
        <w:spacing w:line="360" w:lineRule="auto"/>
        <w:ind w:firstLine="562"/>
        <w:rPr>
          <w:rFonts w:hint="eastAsia" w:ascii="仿宋_GB2312" w:hAnsi="宋体" w:eastAsia="仿宋_GB2312" w:cs="仿宋"/>
          <w:b/>
          <w:sz w:val="28"/>
          <w:szCs w:val="28"/>
        </w:rPr>
      </w:pPr>
      <w:r>
        <w:rPr>
          <w:rFonts w:hint="eastAsia" w:ascii="仿宋_GB2312" w:hAnsi="宋体" w:eastAsia="仿宋_GB2312" w:cs="仿宋"/>
          <w:b/>
          <w:sz w:val="28"/>
          <w:szCs w:val="28"/>
        </w:rPr>
        <w:t xml:space="preserve">四、国有资本经营预算支出情况</w:t>
      </w:r>
      <w:r>
        <w:rPr>
          <w:rFonts w:hint="eastAsia" w:ascii="仿宋_GB2312" w:hAnsi="宋体" w:eastAsia="仿宋_GB2312" w:cs="仿宋"/>
          <w:b/>
          <w:sz w:val="28"/>
          <w:szCs w:val="28"/>
        </w:rPr>
      </w:r>
      <w:r>
        <w:rPr>
          <w:rFonts w:hint="eastAsia" w:ascii="仿宋_GB2312" w:hAnsi="宋体" w:eastAsia="仿宋_GB2312" w:cs="仿宋"/>
          <w:b/>
          <w:sz w:val="28"/>
          <w:szCs w:val="28"/>
        </w:rPr>
      </w:r>
    </w:p>
    <w:p>
      <w:pPr>
        <w:pStyle w:val="616"/>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年度本部门无国有资本经营预算支出。</w:t>
      </w:r>
      <w:r>
        <w:rPr>
          <w:rFonts w:hint="eastAsia" w:ascii="仿宋_GB2312" w:hAnsi="宋体" w:eastAsia="仿宋_GB2312" w:cs="仿宋"/>
          <w:sz w:val="28"/>
          <w:szCs w:val="28"/>
        </w:rPr>
      </w:r>
      <w:r>
        <w:rPr>
          <w:rFonts w:hint="eastAsia" w:ascii="仿宋_GB2312" w:hAnsi="宋体" w:eastAsia="仿宋_GB2312" w:cs="仿宋"/>
          <w:sz w:val="28"/>
          <w:szCs w:val="28"/>
        </w:rPr>
      </w:r>
    </w:p>
    <w:p>
      <w:pPr>
        <w:pStyle w:val="616"/>
        <w:pBdr/>
        <w:spacing w:line="360" w:lineRule="auto"/>
        <w:ind w:firstLine="562"/>
        <w:rPr>
          <w:rFonts w:hint="eastAsia" w:ascii="仿宋_GB2312" w:hAnsi="宋体" w:eastAsia="仿宋_GB2312" w:cs="仿宋"/>
          <w:b/>
          <w:sz w:val="28"/>
          <w:szCs w:val="28"/>
        </w:rPr>
      </w:pPr>
      <w:r>
        <w:rPr>
          <w:rFonts w:hint="eastAsia" w:ascii="仿宋_GB2312" w:hAnsi="宋体" w:eastAsia="仿宋_GB2312" w:cs="仿宋"/>
          <w:b/>
          <w:sz w:val="28"/>
          <w:szCs w:val="28"/>
        </w:rPr>
        <w:t xml:space="preserve">五、社会保障基金预算支出情况</w:t>
      </w:r>
      <w:r>
        <w:rPr>
          <w:rFonts w:hint="eastAsia" w:ascii="仿宋_GB2312" w:hAnsi="宋体" w:eastAsia="仿宋_GB2312" w:cs="仿宋"/>
          <w:b/>
          <w:sz w:val="28"/>
          <w:szCs w:val="28"/>
        </w:rPr>
      </w:r>
      <w:r>
        <w:rPr>
          <w:rFonts w:hint="eastAsia" w:ascii="仿宋_GB2312" w:hAnsi="宋体" w:eastAsia="仿宋_GB2312" w:cs="仿宋"/>
          <w:b/>
          <w:sz w:val="28"/>
          <w:szCs w:val="28"/>
        </w:rPr>
      </w:r>
    </w:p>
    <w:p>
      <w:pPr>
        <w:pStyle w:val="616"/>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年度本部门无社会保障基金预算支出。</w:t>
      </w:r>
      <w:r>
        <w:rPr>
          <w:rFonts w:hint="eastAsia" w:ascii="仿宋_GB2312" w:hAnsi="宋体" w:eastAsia="仿宋_GB2312" w:cs="仿宋"/>
          <w:sz w:val="28"/>
          <w:szCs w:val="28"/>
        </w:rPr>
      </w:r>
      <w:r>
        <w:rPr>
          <w:rFonts w:hint="eastAsia" w:ascii="仿宋_GB2312" w:hAnsi="宋体" w:eastAsia="仿宋_GB2312" w:cs="仿宋"/>
          <w:sz w:val="28"/>
          <w:szCs w:val="28"/>
        </w:rPr>
      </w:r>
    </w:p>
    <w:p>
      <w:pPr>
        <w:pStyle w:val="616"/>
        <w:pBdr/>
        <w:spacing w:line="360" w:lineRule="auto"/>
        <w:ind w:firstLine="562"/>
        <w:rPr>
          <w:rFonts w:hint="eastAsia" w:ascii="仿宋_GB2312" w:hAnsi="宋体" w:eastAsia="仿宋_GB2312" w:cs="仿宋"/>
          <w:b/>
          <w:sz w:val="28"/>
          <w:szCs w:val="28"/>
        </w:rPr>
      </w:pPr>
      <w:r>
        <w:rPr>
          <w:rFonts w:hint="eastAsia" w:ascii="仿宋_GB2312" w:hAnsi="宋体" w:eastAsia="仿宋_GB2312" w:cs="仿宋"/>
          <w:b/>
          <w:sz w:val="28"/>
          <w:szCs w:val="28"/>
        </w:rPr>
        <w:t xml:space="preserve">六、部门整体支出绩效情况</w:t>
      </w:r>
      <w:r>
        <w:rPr>
          <w:rFonts w:hint="eastAsia" w:ascii="仿宋_GB2312" w:hAnsi="宋体" w:eastAsia="仿宋_GB2312" w:cs="仿宋"/>
          <w:b/>
          <w:sz w:val="28"/>
          <w:szCs w:val="28"/>
        </w:rPr>
      </w:r>
      <w:r>
        <w:rPr>
          <w:rFonts w:hint="eastAsia" w:ascii="仿宋_GB2312" w:hAnsi="宋体" w:eastAsia="仿宋_GB2312" w:cs="仿宋"/>
          <w:b/>
          <w:sz w:val="28"/>
          <w:szCs w:val="28"/>
        </w:rPr>
      </w:r>
    </w:p>
    <w:p>
      <w:pPr>
        <w:pStyle w:val="616"/>
        <w:pBdr>
          <w:top w:val="single" w:color="ffffff" w:sz="4" w:space="1"/>
          <w:left w:val="single" w:color="ffffff" w:sz="4" w:space="0"/>
          <w:bottom w:val="single" w:color="ffffff" w:sz="4" w:space="16"/>
          <w:right w:val="single" w:color="ffffff" w:sz="4" w:space="10"/>
        </w:pBdr>
        <w:shd w:val="solid" w:color="ffffff" w:fill="auto"/>
        <w:spacing w:line="600" w:lineRule="exact"/>
        <w:ind w:firstLine="560"/>
        <w:rPr>
          <w:rFonts w:hint="eastAsia" w:ascii="仿宋_GB2312" w:hAnsi="宋体" w:eastAsia="仿宋_GB2312" w:cs="宋体"/>
          <w:sz w:val="28"/>
          <w:szCs w:val="28"/>
        </w:rPr>
      </w:pPr>
      <w:r>
        <w:rPr>
          <w:rFonts w:hint="eastAsia" w:ascii="仿宋_GB2312" w:hAnsi="宋体" w:eastAsia="仿宋_GB2312" w:cs="宋体"/>
          <w:sz w:val="28"/>
          <w:szCs w:val="28"/>
        </w:rPr>
        <w:t xml:space="preserve">202</w:t>
      </w:r>
      <w:r>
        <w:rPr>
          <w:rFonts w:hint="eastAsia" w:ascii="仿宋_GB2312" w:hAnsi="宋体" w:eastAsia="仿宋_GB2312" w:cs="宋体"/>
          <w:sz w:val="28"/>
          <w:szCs w:val="28"/>
          <w:lang w:val="en-US" w:eastAsia="zh-CN"/>
        </w:rPr>
        <w:t xml:space="preserve">1</w:t>
      </w:r>
      <w:r>
        <w:rPr>
          <w:rFonts w:hint="eastAsia" w:ascii="仿宋_GB2312" w:hAnsi="宋体" w:eastAsia="仿宋_GB2312" w:cs="宋体"/>
          <w:sz w:val="28"/>
          <w:szCs w:val="28"/>
        </w:rPr>
        <w:t xml:space="preserve">年度，我局在市公安局和</w:t>
      </w:r>
      <w:r>
        <w:rPr>
          <w:rFonts w:hint="eastAsia" w:ascii="仿宋_GB2312" w:hAnsi="宋体" w:eastAsia="仿宋_GB2312"/>
          <w:sz w:val="28"/>
          <w:szCs w:val="28"/>
        </w:rPr>
        <w:t xml:space="preserve">县委、县政府的坚强领导下</w:t>
      </w:r>
      <w:r>
        <w:rPr>
          <w:rFonts w:hint="eastAsia" w:ascii="仿宋_GB2312" w:hAnsi="宋体" w:eastAsia="仿宋_GB2312" w:cs="宋体"/>
          <w:sz w:val="28"/>
          <w:szCs w:val="28"/>
        </w:rPr>
        <w:t xml:space="preserve">，紧紧围绕全面建成小康社会目标任务，着眼推进治理体系和治理能力现代化，忠诚履行维护国安政治安全和社会稳定的职责，实现了“五个坚决防止、三个确保”的目标，保证了全县持续稳定的政治安全、社会安定和人民安宁。202</w:t>
      </w:r>
      <w:r>
        <w:rPr>
          <w:rFonts w:hint="eastAsia" w:ascii="仿宋_GB2312" w:hAnsi="宋体" w:eastAsia="仿宋_GB2312" w:cs="宋体"/>
          <w:sz w:val="28"/>
          <w:szCs w:val="28"/>
          <w:lang w:val="en-US" w:eastAsia="zh-CN"/>
        </w:rPr>
        <w:t xml:space="preserve">1</w:t>
      </w:r>
      <w:r>
        <w:rPr>
          <w:rFonts w:hint="eastAsia" w:ascii="仿宋_GB2312" w:hAnsi="宋体" w:eastAsia="仿宋_GB2312" w:cs="宋体"/>
          <w:sz w:val="28"/>
          <w:szCs w:val="28"/>
        </w:rPr>
        <w:t xml:space="preserve">年公众安全感调查中，我县排全市第</w:t>
      </w:r>
      <w:r>
        <w:rPr>
          <w:rFonts w:hint="eastAsia" w:ascii="仿宋_GB2312" w:hAnsi="宋体" w:eastAsia="仿宋_GB2312" w:cs="宋体"/>
          <w:sz w:val="28"/>
          <w:szCs w:val="28"/>
          <w:lang w:val="en-US" w:eastAsia="zh-CN"/>
        </w:rPr>
        <w:t xml:space="preserve">2</w:t>
      </w:r>
      <w:r>
        <w:rPr>
          <w:rFonts w:hint="eastAsia" w:ascii="仿宋_GB2312" w:hAnsi="宋体" w:eastAsia="仿宋_GB2312" w:cs="宋体"/>
          <w:sz w:val="28"/>
          <w:szCs w:val="28"/>
        </w:rPr>
        <w:t xml:space="preserve">名，全省第</w:t>
      </w:r>
      <w:r>
        <w:rPr>
          <w:rFonts w:hint="eastAsia" w:ascii="仿宋_GB2312" w:hAnsi="宋体" w:eastAsia="仿宋_GB2312" w:cs="宋体"/>
          <w:sz w:val="28"/>
          <w:szCs w:val="28"/>
          <w:lang w:val="en-US" w:eastAsia="zh-CN"/>
        </w:rPr>
        <w:t xml:space="preserve">3</w:t>
      </w:r>
      <w:r>
        <w:rPr>
          <w:rFonts w:hint="eastAsia" w:ascii="仿宋_GB2312" w:hAnsi="宋体" w:eastAsia="仿宋_GB2312" w:cs="宋体"/>
          <w:sz w:val="28"/>
          <w:szCs w:val="28"/>
        </w:rPr>
        <w:t xml:space="preserve">名。</w:t>
      </w:r>
      <w:r>
        <w:rPr>
          <w:rFonts w:hint="eastAsia" w:ascii="仿宋_GB2312" w:hAnsi="宋体" w:eastAsia="仿宋_GB2312" w:cs="宋体"/>
          <w:sz w:val="28"/>
          <w:szCs w:val="28"/>
        </w:rPr>
      </w:r>
      <w:r>
        <w:rPr>
          <w:rFonts w:hint="eastAsia" w:ascii="仿宋_GB2312" w:hAnsi="宋体" w:eastAsia="仿宋_GB2312" w:cs="宋体"/>
          <w:sz w:val="28"/>
          <w:szCs w:val="28"/>
        </w:rPr>
      </w:r>
    </w:p>
    <w:p>
      <w:pPr>
        <w:pStyle w:val="616"/>
        <w:pBdr>
          <w:top w:val="single" w:color="ffffff" w:sz="4" w:space="1"/>
          <w:left w:val="single" w:color="ffffff" w:sz="4" w:space="0"/>
          <w:bottom w:val="single" w:color="ffffff" w:sz="4" w:space="16"/>
          <w:right w:val="single" w:color="ffffff" w:sz="4" w:space="10"/>
        </w:pBdr>
        <w:shd w:val="solid" w:color="ffffff" w:fill="auto"/>
        <w:spacing w:line="600" w:lineRule="exact"/>
        <w:ind w:firstLine="562"/>
        <w:rPr>
          <w:rFonts w:hint="eastAsia" w:ascii="仿宋_GB2312" w:eastAsia="仿宋_GB2312"/>
          <w:sz w:val="32"/>
          <w:szCs w:val="32"/>
        </w:rPr>
      </w:pPr>
      <w:r>
        <w:rPr>
          <w:rFonts w:hint="eastAsia" w:ascii="仿宋_GB2312" w:hAnsi="宋体" w:eastAsia="仿宋_GB2312" w:cs="楷体_GB2312"/>
          <w:b/>
          <w:bCs/>
          <w:sz w:val="28"/>
          <w:szCs w:val="28"/>
        </w:rPr>
        <w:t xml:space="preserve">（一）</w:t>
      </w:r>
      <w:r>
        <w:rPr>
          <w:rFonts w:hint="eastAsia" w:ascii="楷体_GB2312" w:hAnsi="楷体_GB2312" w:eastAsia="楷体_GB2312" w:cs="楷体_GB2312"/>
          <w:b/>
          <w:bCs/>
          <w:sz w:val="32"/>
          <w:szCs w:val="32"/>
        </w:rPr>
        <w:t xml:space="preserve">聚焦风险防范，全力打赢平安节点警务战役。</w:t>
      </w:r>
      <w:r>
        <w:rPr>
          <w:rFonts w:hint="eastAsia" w:ascii="仿宋_GB2312" w:eastAsia="仿宋_GB2312"/>
          <w:sz w:val="32"/>
          <w:szCs w:val="32"/>
        </w:rPr>
        <w:t xml:space="preserve">全员参战、全力以赴，做好春节、清明、五一、各级“两会”，建党100周年大庆、中秋、国庆、省党代会等节点警务，确保“万无一失”。</w:t>
      </w:r>
      <w:r>
        <w:rPr>
          <w:rFonts w:hint="eastAsia" w:ascii="楷体_GB2312" w:hAnsi="楷体_GB2312" w:eastAsia="楷体_GB2312" w:cs="楷体_GB2312"/>
          <w:b/>
          <w:bCs/>
          <w:sz w:val="32"/>
          <w:szCs w:val="32"/>
        </w:rPr>
        <w:t xml:space="preserve">一是情报研判预警及时。</w:t>
      </w:r>
      <w:r>
        <w:rPr>
          <w:rFonts w:hint="eastAsia" w:ascii="仿宋_GB2312" w:hAnsi="Times New Roman" w:eastAsia="仿宋_GB2312"/>
          <w:sz w:val="32"/>
          <w:szCs w:val="32"/>
          <w:lang w:bidi="ar"/>
        </w:rPr>
        <w:t xml:space="preserve">维稳专班和情报指挥中心密切配合，</w:t>
      </w:r>
      <w:r>
        <w:rPr>
          <w:rFonts w:hint="eastAsia" w:ascii="仿宋_GB2312" w:eastAsia="仿宋_GB2312"/>
          <w:sz w:val="32"/>
          <w:szCs w:val="32"/>
        </w:rPr>
        <w:t xml:space="preserve">发挥了情报信息预测、预知、预警、预报的作用，共获取重要情报信息1</w:t>
      </w:r>
      <w:r>
        <w:rPr>
          <w:rFonts w:hint="eastAsia" w:ascii="仿宋_GB2312" w:eastAsia="仿宋_GB2312"/>
          <w:sz w:val="32"/>
          <w:szCs w:val="32"/>
          <w:lang w:val="en-US" w:eastAsia="zh-CN"/>
        </w:rPr>
        <w:t xml:space="preserve">1</w:t>
      </w:r>
      <w:r>
        <w:rPr>
          <w:rFonts w:hint="eastAsia" w:ascii="仿宋_GB2312" w:eastAsia="仿宋_GB2312"/>
          <w:sz w:val="32"/>
          <w:szCs w:val="32"/>
        </w:rPr>
        <w:t xml:space="preserve">5条，上报紧急信息6</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条，</w:t>
      </w:r>
      <w:r>
        <w:rPr>
          <w:rFonts w:hint="eastAsia" w:ascii="仿宋_GB2312" w:hAnsi="Times New Roman" w:eastAsia="仿宋_GB2312"/>
          <w:sz w:val="32"/>
          <w:szCs w:val="32"/>
          <w:lang w:bidi="ar"/>
        </w:rPr>
        <w:t xml:space="preserve">及时核查稳控涉稳情报指令189条，核查票务信息551条,</w:t>
      </w:r>
      <w:r>
        <w:rPr>
          <w:rFonts w:hint="eastAsia" w:ascii="仿宋_GB2312" w:eastAsia="仿宋_GB2312"/>
          <w:sz w:val="32"/>
          <w:szCs w:val="32"/>
        </w:rPr>
        <w:t xml:space="preserve">有力服务领导决策和安保维稳；</w:t>
      </w:r>
      <w:r>
        <w:rPr>
          <w:rFonts w:hint="eastAsia" w:ascii="楷体_GB2312" w:hAnsi="楷体_GB2312" w:eastAsia="楷体_GB2312" w:cs="楷体_GB2312"/>
          <w:b/>
          <w:bCs/>
          <w:sz w:val="32"/>
          <w:szCs w:val="32"/>
        </w:rPr>
        <w:t xml:space="preserve">二是涉军维稳主动。</w:t>
      </w:r>
      <w:r>
        <w:rPr>
          <w:rFonts w:hint="eastAsia" w:ascii="仿宋_GB2312" w:eastAsia="仿宋_GB2312"/>
          <w:sz w:val="32"/>
          <w:szCs w:val="32"/>
        </w:rPr>
        <w:t xml:space="preserve">落实“党政主责、公安主力、部门主管、专班主抓”的工作要求，特别是10月份以来，按照省、市安排部署，</w:t>
      </w:r>
      <w:r>
        <w:rPr>
          <w:rFonts w:hint="eastAsia" w:ascii="仿宋_GB2312" w:hAnsi="Times New Roman" w:eastAsia="仿宋_GB2312"/>
          <w:sz w:val="32"/>
          <w:szCs w:val="32"/>
          <w:lang w:bidi="ar"/>
        </w:rPr>
        <w:t xml:space="preserve">紧盯</w:t>
      </w:r>
      <w:r>
        <w:rPr>
          <w:rFonts w:hint="eastAsia" w:ascii="仿宋_GB2312" w:hAnsi="Times New Roman" w:eastAsia="仿宋_GB2312" w:cs="仿宋_GB2312"/>
          <w:spacing w:val="8"/>
          <w:sz w:val="32"/>
          <w:szCs w:val="32"/>
          <w:lang w:bidi="ar"/>
        </w:rPr>
        <w:t xml:space="preserve">“北京不去、北京不聚”</w:t>
      </w:r>
      <w:r>
        <w:rPr>
          <w:rFonts w:hint="eastAsia" w:ascii="仿宋_GB2312" w:hAnsi="Times New Roman" w:eastAsia="仿宋_GB2312"/>
          <w:spacing w:val="8"/>
          <w:sz w:val="32"/>
          <w:szCs w:val="32"/>
          <w:lang w:bidi="ar"/>
        </w:rPr>
        <w:t xml:space="preserve">“既要管住腿，也要管住嘴”</w:t>
      </w:r>
      <w:r>
        <w:rPr>
          <w:rFonts w:hint="eastAsia" w:ascii="仿宋_GB2312" w:hAnsi="Times New Roman" w:eastAsia="仿宋_GB2312" w:cs="仿宋_GB2312"/>
          <w:spacing w:val="8"/>
          <w:sz w:val="32"/>
          <w:szCs w:val="32"/>
          <w:lang w:bidi="ar"/>
        </w:rPr>
        <w:t xml:space="preserve">目标，</w:t>
      </w:r>
      <w:r>
        <w:rPr>
          <w:rFonts w:hint="eastAsia" w:ascii="仿宋_GB2312" w:hAnsi="Times New Roman" w:eastAsia="仿宋_GB2312"/>
          <w:sz w:val="32"/>
          <w:szCs w:val="32"/>
          <w:lang w:bidi="ar"/>
        </w:rPr>
        <w:t xml:space="preserve">抓实“大情报、大教转、大取证、大劝返、大督察”五大措施，</w:t>
      </w:r>
      <w:r>
        <w:rPr>
          <w:rFonts w:hint="eastAsia" w:ascii="仿宋_GB2312" w:hAnsi="Times New Roman" w:eastAsia="仿宋_GB2312" w:cs="仿宋_GB2312"/>
          <w:spacing w:val="8"/>
          <w:sz w:val="32"/>
          <w:szCs w:val="32"/>
          <w:lang w:bidi="ar"/>
        </w:rPr>
        <w:t xml:space="preserve">全县</w:t>
      </w:r>
      <w:r>
        <w:rPr>
          <w:rFonts w:hint="eastAsia" w:ascii="仿宋_GB2312" w:eastAsia="仿宋_GB2312"/>
          <w:sz w:val="32"/>
          <w:szCs w:val="32"/>
        </w:rPr>
        <w:t xml:space="preserve">未发生涉军群体非法集访事件；</w:t>
      </w:r>
      <w:r>
        <w:rPr>
          <w:rFonts w:hint="eastAsia" w:ascii="楷体_GB2312" w:hAnsi="楷体_GB2312" w:eastAsia="楷体_GB2312" w:cs="楷体_GB2312"/>
          <w:b/>
          <w:bCs/>
          <w:sz w:val="32"/>
          <w:szCs w:val="32"/>
        </w:rPr>
        <w:t xml:space="preserve">三是风险排查管控细致。</w:t>
      </w:r>
      <w:r>
        <w:rPr>
          <w:rFonts w:hint="eastAsia" w:ascii="仿宋_GB2312" w:hAnsi="微软雅黑" w:eastAsia="仿宋_GB2312"/>
          <w:sz w:val="32"/>
          <w:szCs w:val="32"/>
          <w:lang w:bidi="ar"/>
        </w:rPr>
        <w:t xml:space="preserve">开展安保维稳“平安一号”行动，</w:t>
      </w:r>
      <w:r>
        <w:rPr>
          <w:rFonts w:hint="eastAsia" w:ascii="仿宋_GB2312" w:eastAsia="仿宋_GB2312"/>
          <w:sz w:val="32"/>
          <w:szCs w:val="32"/>
        </w:rPr>
        <w:t xml:space="preserve">加强矛盾纠纷排查，加强重点人员管控，做实“风控系统”，化解各类矛盾纠纷1</w:t>
      </w:r>
      <w:r>
        <w:rPr>
          <w:rFonts w:hint="eastAsia" w:ascii="仿宋_GB2312" w:eastAsia="仿宋_GB2312"/>
          <w:sz w:val="32"/>
          <w:szCs w:val="32"/>
          <w:lang w:val="en-US" w:eastAsia="zh-CN"/>
        </w:rPr>
        <w:t xml:space="preserve">23</w:t>
      </w:r>
      <w:r>
        <w:rPr>
          <w:rFonts w:hint="eastAsia" w:ascii="仿宋_GB2312" w:eastAsia="仿宋_GB2312"/>
          <w:sz w:val="32"/>
          <w:szCs w:val="32"/>
        </w:rPr>
        <w:t xml:space="preserve">起。</w:t>
      </w:r>
      <w:r>
        <w:rPr>
          <w:rFonts w:hint="eastAsia" w:ascii="楷体_GB2312" w:hAnsi="楷体_GB2312" w:eastAsia="楷体_GB2312" w:cs="楷体_GB2312"/>
          <w:b/>
          <w:bCs/>
          <w:sz w:val="32"/>
          <w:szCs w:val="32"/>
        </w:rPr>
        <w:t xml:space="preserve">四是治理非访严格。</w:t>
      </w:r>
      <w:r>
        <w:rPr>
          <w:rFonts w:hint="eastAsia" w:ascii="仿宋_GB2312" w:hAnsi="微软雅黑" w:eastAsia="仿宋_GB2312" w:cs="仿宋_GB2312"/>
          <w:bCs/>
          <w:sz w:val="32"/>
          <w:szCs w:val="32"/>
          <w:lang w:bidi="ar"/>
        </w:rPr>
        <w:t xml:space="preserve">压实局领导包片、派出所包乡镇、农村辅警包村工作机制，</w:t>
      </w:r>
      <w:r>
        <w:rPr>
          <w:rFonts w:hint="eastAsia" w:ascii="仿宋_GB2312" w:hAnsi="Times New Roman" w:eastAsia="仿宋_GB2312"/>
          <w:sz w:val="32"/>
          <w:szCs w:val="32"/>
          <w:lang w:bidi="ar"/>
        </w:rPr>
        <w:t xml:space="preserve">对中央四部委、省联席办、省公安厅、市联席办下发的143名涉访重点人员逐一落实管控措施，特护期间做到“每天一调度、每天一通报”</w:t>
      </w:r>
      <w:r>
        <w:rPr>
          <w:rFonts w:hint="eastAsia" w:ascii="仿宋_GB2312" w:hAnsi="微软雅黑" w:eastAsia="仿宋_GB2312" w:cs="仿宋_GB2312"/>
          <w:bCs/>
          <w:sz w:val="32"/>
          <w:szCs w:val="32"/>
          <w:lang w:bidi="ar"/>
        </w:rPr>
        <w:t xml:space="preserve">。</w:t>
      </w:r>
      <w:r>
        <w:rPr>
          <w:rFonts w:hint="eastAsia" w:ascii="仿宋_GB2312" w:eastAsia="仿宋_GB2312"/>
          <w:sz w:val="32"/>
          <w:szCs w:val="32"/>
        </w:rPr>
        <w:t xml:space="preserve">共办理涉警信访案件5</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起，办结5</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起；依法查处非法进京上访案件4起，行政拘留5人。</w:t>
      </w:r>
      <w:r>
        <w:rPr>
          <w:rFonts w:hint="eastAsia" w:ascii="仿宋_GB2312" w:eastAsia="仿宋_GB2312"/>
          <w:sz w:val="32"/>
          <w:szCs w:val="32"/>
        </w:rPr>
      </w:r>
      <w:r>
        <w:rPr>
          <w:rFonts w:hint="eastAsia" w:ascii="仿宋_GB2312" w:eastAsia="仿宋_GB2312"/>
          <w:sz w:val="32"/>
          <w:szCs w:val="32"/>
        </w:rPr>
      </w:r>
    </w:p>
    <w:p>
      <w:pPr>
        <w:pStyle w:val="616"/>
        <w:pBdr>
          <w:top w:val="single" w:color="ffffff" w:sz="4" w:space="1"/>
          <w:left w:val="single" w:color="ffffff" w:sz="4" w:space="0"/>
          <w:bottom w:val="single" w:color="ffffff" w:sz="4" w:space="16"/>
          <w:right w:val="single" w:color="ffffff" w:sz="4" w:space="10"/>
        </w:pBdr>
        <w:shd w:val="solid" w:color="ffffff" w:fill="auto"/>
        <w:spacing w:line="600" w:lineRule="exact"/>
        <w:ind w:firstLine="643"/>
        <w:rPr>
          <w:rFonts w:hint="eastAsia" w:ascii="仿宋_GB2312" w:hAnsi="ˎ̥" w:eastAsia="仿宋_GB2312"/>
          <w:bCs/>
          <w:sz w:val="32"/>
          <w:szCs w:val="32"/>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二</w:t>
      </w:r>
      <w:r>
        <w:rPr>
          <w:rFonts w:hint="eastAsia" w:ascii="楷体_GB2312" w:hAnsi="楷体_GB2312" w:eastAsia="楷体_GB2312" w:cs="楷体_GB2312"/>
          <w:b/>
          <w:bCs/>
          <w:sz w:val="32"/>
          <w:szCs w:val="32"/>
        </w:rPr>
        <w:t xml:space="preserve">）聚焦打击整治，全力推动治安秩序持续好转。</w:t>
      </w:r>
      <w:r>
        <w:rPr>
          <w:rFonts w:hint="eastAsia" w:ascii="仿宋_GB2312" w:hAnsi="仿宋_GB2312" w:eastAsia="仿宋_GB2312" w:cs="仿宋_GB2312"/>
          <w:sz w:val="32"/>
          <w:szCs w:val="32"/>
        </w:rPr>
        <w:t xml:space="preserve">扎实开展五类跨区域犯罪综合整治，力争用一年的时间将五类跨区域犯罪彻底铲除。积极开展“永警利剑</w:t>
      </w:r>
      <w:r>
        <w:rPr>
          <w:rFonts w:hint="eastAsia" w:ascii="仿宋_GB2312" w:eastAsia="仿宋_GB2312"/>
          <w:bCs/>
          <w:sz w:val="32"/>
          <w:szCs w:val="32"/>
        </w:rPr>
        <w:t xml:space="preserve">Ⅱ</w:t>
      </w:r>
      <w:r>
        <w:rPr>
          <w:rFonts w:hint="eastAsia" w:ascii="仿宋_GB2312" w:hAnsi="仿宋_GB2312" w:eastAsia="仿宋_GB2312" w:cs="仿宋_GB2312"/>
          <w:b/>
          <w:sz w:val="32"/>
          <w:szCs w:val="32"/>
        </w:rPr>
        <w:t xml:space="preserve">·</w:t>
      </w:r>
      <w:r>
        <w:rPr>
          <w:rFonts w:hint="eastAsia" w:ascii="仿宋_GB2312" w:hAnsi="仿宋_GB2312" w:eastAsia="仿宋_GB2312" w:cs="仿宋_GB2312"/>
          <w:sz w:val="32"/>
          <w:szCs w:val="32"/>
        </w:rPr>
        <w:t xml:space="preserve">百日大会战”、反电诈缉毒执法“百日攻坚”专项行动，全年共破获刑事案件</w:t>
      </w:r>
      <w:r>
        <w:rPr>
          <w:rFonts w:hint="eastAsia" w:ascii="仿宋_GB2312" w:hAnsi="仿宋_GB2312" w:eastAsia="仿宋_GB2312" w:cs="仿宋_GB2312"/>
          <w:sz w:val="32"/>
          <w:szCs w:val="32"/>
          <w:lang w:val="en-US" w:eastAsia="zh-CN"/>
        </w:rPr>
        <w:t xml:space="preserve">640</w:t>
      </w:r>
      <w:r>
        <w:rPr>
          <w:rFonts w:hint="eastAsia" w:ascii="仿宋_GB2312" w:hAnsi="仿宋_GB2312" w:eastAsia="仿宋_GB2312" w:cs="仿宋_GB2312"/>
          <w:sz w:val="32"/>
          <w:szCs w:val="32"/>
        </w:rPr>
        <w:t xml:space="preserve">起,刑事拘留犯罪嫌疑人</w:t>
      </w:r>
      <w:r>
        <w:rPr>
          <w:rFonts w:hint="eastAsia" w:ascii="仿宋_GB2312" w:hAnsi="仿宋_GB2312" w:eastAsia="仿宋_GB2312" w:cs="仿宋_GB2312"/>
          <w:sz w:val="32"/>
          <w:szCs w:val="32"/>
          <w:lang w:val="en-US" w:eastAsia="zh-CN"/>
        </w:rPr>
        <w:t xml:space="preserve">903</w:t>
      </w:r>
      <w:r>
        <w:rPr>
          <w:rFonts w:hint="eastAsia" w:ascii="仿宋_GB2312" w:hAnsi="仿宋_GB2312" w:eastAsia="仿宋_GB2312" w:cs="仿宋_GB2312"/>
          <w:sz w:val="32"/>
          <w:szCs w:val="32"/>
        </w:rPr>
        <w:t xml:space="preserve">名，行政拘留违法人员</w:t>
      </w:r>
      <w:r>
        <w:rPr>
          <w:rFonts w:hint="eastAsia" w:ascii="仿宋_GB2312" w:hAnsi="仿宋_GB2312" w:eastAsia="仿宋_GB2312" w:cs="仿宋_GB2312"/>
          <w:sz w:val="32"/>
          <w:szCs w:val="32"/>
          <w:lang w:val="en-US" w:eastAsia="zh-CN"/>
        </w:rPr>
        <w:t xml:space="preserve">721</w:t>
      </w:r>
      <w:r>
        <w:rPr>
          <w:rFonts w:hint="eastAsia" w:ascii="仿宋_GB2312" w:hAnsi="仿宋_GB2312" w:eastAsia="仿宋_GB2312" w:cs="仿宋_GB2312"/>
          <w:sz w:val="32"/>
          <w:szCs w:val="32"/>
        </w:rPr>
        <w:t xml:space="preserve">人。</w:t>
      </w:r>
      <w:r>
        <w:rPr>
          <w:rFonts w:hint="eastAsia" w:ascii="仿宋_GB2312" w:hAnsi="仿宋_GB2312" w:eastAsia="仿宋_GB2312" w:cs="仿宋_GB2312"/>
          <w:b/>
          <w:bCs/>
          <w:sz w:val="32"/>
          <w:szCs w:val="32"/>
        </w:rPr>
        <w:t xml:space="preserve">一是</w:t>
      </w:r>
      <w:r>
        <w:rPr>
          <w:rFonts w:hint="eastAsia" w:ascii="仿宋_GB2312" w:hAnsi="ˎ̥" w:eastAsia="仿宋_GB2312"/>
          <w:b/>
          <w:sz w:val="32"/>
          <w:szCs w:val="32"/>
        </w:rPr>
        <w:t xml:space="preserve">重击电信网络诈骗犯罪。</w:t>
      </w:r>
      <w:r>
        <w:rPr>
          <w:rFonts w:hint="eastAsia" w:ascii="仿宋_GB2312" w:hAnsi="仿宋_GB2312" w:eastAsia="仿宋_GB2312" w:cs="仿宋_GB2312"/>
          <w:bCs/>
          <w:sz w:val="32"/>
          <w:szCs w:val="32"/>
          <w:shd w:val="solid" w:color="ffffff" w:fill="auto"/>
          <w:lang w:bidi="ar"/>
        </w:rPr>
        <w:t xml:space="preserve">强化县反诈联席会议的职能作用，</w:t>
      </w:r>
      <w:r>
        <w:rPr>
          <w:rFonts w:hint="eastAsia" w:ascii="仿宋_GB2312" w:hAnsi="ˎ̥" w:eastAsia="仿宋_GB2312" w:cs="仿宋_GB2312"/>
          <w:bCs/>
          <w:sz w:val="32"/>
          <w:szCs w:val="32"/>
          <w:shd w:val="solid" w:color="ffffff" w:fill="auto"/>
          <w:lang w:bidi="ar"/>
        </w:rPr>
        <w:t xml:space="preserve">成立反电诈中心并实体运行，压实乡镇属地宣传管控责任，出台“大宣传、大防范、大管控、大劝返、大治理、大打击、大追责”工作措施，</w:t>
      </w:r>
      <w:r>
        <w:rPr>
          <w:rFonts w:hint="eastAsia" w:ascii="仿宋_GB2312" w:hAnsi="ˎ̥" w:eastAsia="仿宋_GB2312" w:cs="仿宋_GB2312"/>
          <w:sz w:val="32"/>
          <w:szCs w:val="32"/>
          <w:shd w:val="solid" w:color="ffffff" w:fill="auto"/>
          <w:lang w:bidi="ar"/>
        </w:rPr>
        <w:t xml:space="preserve">全面提升打击管控工作效能。共打击处理公安部下发的“两卡”线索</w:t>
      </w:r>
      <w:r>
        <w:rPr>
          <w:rFonts w:hint="eastAsia" w:ascii="仿宋_GB2312" w:hAnsi="ˎ̥" w:eastAsia="仿宋_GB2312" w:cs="仿宋_GB2312"/>
          <w:sz w:val="32"/>
          <w:szCs w:val="32"/>
          <w:shd w:val="solid" w:color="ffffff" w:fill="auto"/>
          <w:lang w:val="en-US" w:eastAsia="zh-CN" w:bidi="ar"/>
        </w:rPr>
        <w:t xml:space="preserve">592</w:t>
      </w:r>
      <w:r>
        <w:rPr>
          <w:rFonts w:hint="eastAsia" w:ascii="仿宋_GB2312" w:hAnsi="ˎ̥" w:eastAsia="仿宋_GB2312" w:cs="仿宋_GB2312"/>
          <w:sz w:val="32"/>
          <w:szCs w:val="32"/>
          <w:shd w:val="solid" w:color="ffffff" w:fill="auto"/>
          <w:lang w:bidi="ar"/>
        </w:rPr>
        <w:t xml:space="preserve">条，打击处理率达到7</w:t>
      </w:r>
      <w:r>
        <w:rPr>
          <w:rFonts w:hint="eastAsia" w:ascii="仿宋_GB2312" w:hAnsi="ˎ̥" w:eastAsia="仿宋_GB2312" w:cs="仿宋_GB2312"/>
          <w:sz w:val="32"/>
          <w:szCs w:val="32"/>
          <w:shd w:val="solid" w:color="ffffff" w:fill="auto"/>
          <w:lang w:val="en-US" w:eastAsia="zh-CN" w:bidi="ar"/>
        </w:rPr>
        <w:t xml:space="preserve">3.82</w:t>
      </w:r>
      <w:r>
        <w:rPr>
          <w:rFonts w:hint="eastAsia" w:ascii="仿宋_GB2312" w:hAnsi="ˎ̥" w:eastAsia="仿宋_GB2312" w:cs="仿宋_GB2312"/>
          <w:sz w:val="32"/>
          <w:szCs w:val="32"/>
          <w:shd w:val="solid" w:color="ffffff" w:fill="auto"/>
          <w:lang w:bidi="ar"/>
        </w:rPr>
        <w:t xml:space="preserve">%；共</w:t>
      </w:r>
      <w:r>
        <w:rPr>
          <w:rFonts w:hint="eastAsia" w:ascii="仿宋_GB2312" w:hAnsi="楷体" w:eastAsia="仿宋_GB2312" w:cs="楷体"/>
          <w:sz w:val="32"/>
          <w:szCs w:val="32"/>
        </w:rPr>
        <w:t xml:space="preserve">破获电诈骗案件及涉“两卡”犯罪案件</w:t>
      </w:r>
      <w:r>
        <w:rPr>
          <w:rFonts w:hint="eastAsia" w:ascii="仿宋_GB2312" w:hAnsi="楷体" w:eastAsia="仿宋_GB2312" w:cs="楷体"/>
          <w:sz w:val="32"/>
          <w:szCs w:val="32"/>
          <w:lang w:val="en-US" w:eastAsia="zh-CN"/>
        </w:rPr>
        <w:t xml:space="preserve">211</w:t>
      </w:r>
      <w:r>
        <w:rPr>
          <w:rFonts w:hint="eastAsia" w:ascii="仿宋_GB2312" w:hAnsi="楷体" w:eastAsia="仿宋_GB2312" w:cs="楷体"/>
          <w:sz w:val="32"/>
          <w:szCs w:val="32"/>
        </w:rPr>
        <w:t xml:space="preserve">起，刑事拘留271人，</w:t>
      </w:r>
      <w:r>
        <w:rPr>
          <w:rFonts w:hint="eastAsia" w:ascii="仿宋_GB2312" w:hAnsi="ˎ̥" w:eastAsia="仿宋_GB2312"/>
          <w:bCs/>
          <w:sz w:val="32"/>
          <w:szCs w:val="32"/>
        </w:rPr>
        <w:t xml:space="preserve">行政拘留77人</w:t>
      </w:r>
      <w:r>
        <w:rPr>
          <w:rFonts w:hint="eastAsia" w:ascii="仿宋_GB2312" w:hAnsi="ˎ̥" w:eastAsia="仿宋_GB2312"/>
          <w:bCs/>
          <w:sz w:val="32"/>
          <w:szCs w:val="32"/>
          <w:lang w:val="en-US" w:eastAsia="zh-CN"/>
        </w:rPr>
        <w:t xml:space="preserve">,</w:t>
      </w:r>
      <w:r>
        <w:rPr>
          <w:rFonts w:hint="eastAsia" w:ascii="仿宋_GB2312" w:hAnsi="楷体" w:eastAsia="仿宋_GB2312" w:cs="楷体"/>
          <w:sz w:val="32"/>
          <w:szCs w:val="32"/>
        </w:rPr>
        <w:t xml:space="preserve">打掉电信网络诈骗犯罪团伙7个</w:t>
      </w:r>
      <w:r>
        <w:rPr>
          <w:rFonts w:hint="eastAsia" w:ascii="仿宋_GB2312" w:hAnsi="楷体" w:eastAsia="仿宋_GB2312" w:cs="楷体"/>
          <w:sz w:val="32"/>
          <w:szCs w:val="32"/>
          <w:shd w:val="solid" w:color="ffffff" w:fill="auto"/>
          <w:lang w:bidi="ar"/>
        </w:rPr>
        <w:t xml:space="preserve">，劝返缅北窝点人员189人。</w:t>
      </w:r>
      <w:r>
        <w:rPr>
          <w:rFonts w:hint="eastAsia" w:ascii="仿宋_GB2312" w:hAnsi="楷体" w:eastAsia="仿宋_GB2312" w:cs="楷体"/>
          <w:b/>
          <w:bCs/>
          <w:sz w:val="32"/>
          <w:szCs w:val="32"/>
        </w:rPr>
        <w:t xml:space="preserve">二是严打假币犯罪。</w:t>
      </w:r>
      <w:r>
        <w:rPr>
          <w:rFonts w:hint="eastAsia" w:ascii="仿宋_GB2312" w:hAnsi="楷体" w:eastAsia="仿宋_GB2312" w:cs="楷体"/>
          <w:bCs/>
          <w:sz w:val="32"/>
          <w:szCs w:val="32"/>
          <w:shd w:val="solid" w:color="ffffff" w:fill="auto"/>
          <w:lang w:bidi="ar"/>
        </w:rPr>
        <w:t xml:space="preserve">今年以来，我局通过线索研判、前期侦查，</w:t>
      </w:r>
      <w:r>
        <w:rPr>
          <w:rFonts w:hint="eastAsia" w:ascii="仿宋_GB2312" w:hAnsi="ˎ̥" w:eastAsia="仿宋_GB2312" w:cs="仿宋_GB2312"/>
          <w:bCs/>
          <w:sz w:val="32"/>
          <w:szCs w:val="32"/>
          <w:shd w:val="solid" w:color="ffffff" w:fill="auto"/>
          <w:lang w:bidi="ar"/>
        </w:rPr>
        <w:t xml:space="preserve">共开展重特大假币案件集中收网行动4次，破获特大假币案件4起，抓获、刑拘假币犯罪嫌疑人55人，缴获假币2300余万元，捣毁假币窝点11个，先后获公安部、省公安厅、市公安局贺电表扬。</w:t>
      </w:r>
      <w:r>
        <w:rPr>
          <w:rFonts w:hint="eastAsia" w:ascii="仿宋_GB2312" w:hAnsi="楷体" w:eastAsia="仿宋_GB2312" w:cs="楷体"/>
          <w:b/>
          <w:bCs/>
          <w:sz w:val="32"/>
          <w:szCs w:val="32"/>
        </w:rPr>
        <w:t xml:space="preserve">三是强整涉毒犯罪。</w:t>
      </w:r>
      <w:r>
        <w:rPr>
          <w:rFonts w:hint="eastAsia" w:ascii="仿宋_GB2312" w:hAnsi="楷体" w:eastAsia="仿宋_GB2312" w:cs="楷体"/>
          <w:sz w:val="32"/>
          <w:szCs w:val="32"/>
        </w:rPr>
        <w:t xml:space="preserve">今年</w:t>
      </w:r>
      <w:r>
        <w:rPr>
          <w:rFonts w:hint="eastAsia" w:ascii="仿宋_GB2312" w:hAnsi="楷体" w:eastAsia="仿宋_GB2312" w:cs="楷体"/>
          <w:bCs/>
          <w:sz w:val="32"/>
          <w:szCs w:val="32"/>
          <w:shd w:val="solid" w:color="ffffff" w:fill="auto"/>
          <w:lang w:bidi="ar"/>
        </w:rPr>
        <w:t xml:space="preserve">3月份以来，我局</w:t>
      </w:r>
      <w:r>
        <w:rPr>
          <w:rFonts w:hint="eastAsia" w:ascii="仿宋_GB2312" w:hAnsi="ˎ̥" w:eastAsia="仿宋_GB2312" w:cs="仿宋_GB2312"/>
          <w:bCs/>
          <w:sz w:val="32"/>
          <w:szCs w:val="32"/>
          <w:shd w:val="solid" w:color="ffffff" w:fill="auto"/>
          <w:lang w:bidi="ar"/>
        </w:rPr>
        <w:t xml:space="preserve">共开展大规模显性用警精准整治行动31次，对31个重点村、重点部位开展围村清剿、定点清查行动，大力查处、精准打击涉毒、涉假币违法犯罪。</w:t>
      </w:r>
      <w:r>
        <w:rPr>
          <w:rFonts w:hint="eastAsia" w:ascii="仿宋_GB2312" w:hAnsi="ˎ̥" w:eastAsia="仿宋_GB2312"/>
          <w:bCs/>
          <w:sz w:val="32"/>
          <w:szCs w:val="32"/>
        </w:rPr>
        <w:t xml:space="preserve">共破获涉毒刑事案件</w:t>
      </w:r>
      <w:r>
        <w:rPr>
          <w:rFonts w:hint="eastAsia" w:ascii="仿宋_GB2312" w:hAnsi="ˎ̥" w:eastAsia="仿宋_GB2312"/>
          <w:bCs/>
          <w:sz w:val="32"/>
          <w:szCs w:val="32"/>
          <w:lang w:val="en-US" w:eastAsia="zh-CN"/>
        </w:rPr>
        <w:t xml:space="preserve">55</w:t>
      </w:r>
      <w:r>
        <w:rPr>
          <w:rFonts w:hint="eastAsia" w:ascii="仿宋_GB2312" w:hAnsi="ˎ̥" w:eastAsia="仿宋_GB2312"/>
          <w:bCs/>
          <w:sz w:val="32"/>
          <w:szCs w:val="32"/>
        </w:rPr>
        <w:t xml:space="preserve">起，刑拘</w:t>
      </w:r>
      <w:r>
        <w:rPr>
          <w:rFonts w:hint="eastAsia" w:ascii="仿宋_GB2312" w:hAnsi="ˎ̥" w:eastAsia="仿宋_GB2312"/>
          <w:bCs/>
          <w:sz w:val="32"/>
          <w:szCs w:val="32"/>
          <w:lang w:eastAsia="zh-CN"/>
        </w:rPr>
        <w:t xml:space="preserve">移诉</w:t>
      </w:r>
      <w:r>
        <w:rPr>
          <w:rFonts w:hint="eastAsia" w:ascii="仿宋_GB2312" w:hAnsi="ˎ̥" w:eastAsia="仿宋_GB2312"/>
          <w:bCs/>
          <w:sz w:val="32"/>
          <w:szCs w:val="32"/>
        </w:rPr>
        <w:t xml:space="preserve">犯罪嫌疑人1</w:t>
      </w:r>
      <w:r>
        <w:rPr>
          <w:rFonts w:hint="eastAsia" w:ascii="仿宋_GB2312" w:hAnsi="ˎ̥" w:eastAsia="仿宋_GB2312"/>
          <w:bCs/>
          <w:sz w:val="32"/>
          <w:szCs w:val="32"/>
          <w:lang w:val="en-US" w:eastAsia="zh-CN"/>
        </w:rPr>
        <w:t xml:space="preserve">11</w:t>
      </w:r>
      <w:r>
        <w:rPr>
          <w:rFonts w:hint="eastAsia" w:ascii="仿宋_GB2312" w:hAnsi="ˎ̥" w:eastAsia="仿宋_GB2312"/>
          <w:bCs/>
          <w:sz w:val="32"/>
          <w:szCs w:val="32"/>
        </w:rPr>
        <w:t xml:space="preserve">人</w:t>
      </w:r>
      <w:r>
        <w:rPr>
          <w:rFonts w:hint="eastAsia" w:ascii="仿宋_GB2312" w:hAnsi="ˎ̥" w:eastAsia="仿宋_GB2312"/>
          <w:bCs/>
          <w:sz w:val="32"/>
          <w:szCs w:val="32"/>
          <w:lang w:val="en-US" w:eastAsia="zh-CN"/>
        </w:rPr>
        <w:t xml:space="preserve">，</w:t>
      </w:r>
      <w:r>
        <w:rPr>
          <w:rFonts w:hint="eastAsia" w:ascii="仿宋_GB2312" w:hAnsi="ˎ̥" w:eastAsia="仿宋_GB2312"/>
          <w:bCs/>
          <w:sz w:val="32"/>
          <w:szCs w:val="32"/>
        </w:rPr>
        <w:t xml:space="preserve">缴获毒品8044.7 克，铲除毒品原植物罂粟1644株。查处吸毒人员</w:t>
      </w:r>
      <w:r>
        <w:rPr>
          <w:rFonts w:hint="eastAsia" w:ascii="仿宋_GB2312" w:hAnsi="ˎ̥" w:eastAsia="仿宋_GB2312"/>
          <w:bCs/>
          <w:sz w:val="32"/>
          <w:szCs w:val="32"/>
          <w:lang w:val="en-US" w:eastAsia="zh-CN"/>
        </w:rPr>
        <w:t xml:space="preserve">163</w:t>
      </w:r>
      <w:r>
        <w:rPr>
          <w:rFonts w:hint="eastAsia" w:ascii="仿宋_GB2312" w:hAnsi="ˎ̥" w:eastAsia="仿宋_GB2312"/>
          <w:bCs/>
          <w:sz w:val="32"/>
          <w:szCs w:val="32"/>
        </w:rPr>
        <w:t xml:space="preserve">人，</w:t>
      </w:r>
      <w:r>
        <w:rPr>
          <w:rFonts w:hint="eastAsia" w:ascii="仿宋_GB2312" w:hAnsi="ˎ̥" w:eastAsia="仿宋_GB2312"/>
          <w:bCs/>
          <w:sz w:val="32"/>
          <w:szCs w:val="32"/>
          <w:lang w:eastAsia="zh-CN"/>
        </w:rPr>
        <w:t xml:space="preserve">行政</w:t>
      </w:r>
      <w:r>
        <w:rPr>
          <w:rFonts w:hint="eastAsia" w:ascii="仿宋_GB2312" w:hAnsi="ˎ̥" w:eastAsia="仿宋_GB2312"/>
          <w:bCs/>
          <w:sz w:val="32"/>
          <w:szCs w:val="32"/>
        </w:rPr>
        <w:t xml:space="preserve">拘留</w:t>
      </w:r>
      <w:r>
        <w:rPr>
          <w:rFonts w:hint="eastAsia" w:ascii="仿宋_GB2312" w:hAnsi="ˎ̥" w:eastAsia="仿宋_GB2312"/>
          <w:bCs/>
          <w:sz w:val="32"/>
          <w:szCs w:val="32"/>
          <w:lang w:val="en-US" w:eastAsia="zh-CN"/>
        </w:rPr>
        <w:t xml:space="preserve">114</w:t>
      </w:r>
      <w:r>
        <w:rPr>
          <w:rFonts w:hint="eastAsia" w:ascii="仿宋_GB2312" w:hAnsi="ˎ̥" w:eastAsia="仿宋_GB2312"/>
          <w:bCs/>
          <w:sz w:val="32"/>
          <w:szCs w:val="32"/>
        </w:rPr>
        <w:t xml:space="preserve">人。2021年全县外流贩毒被外地公安机关抓获仅2人，与去年同期19人相比下降89%。</w:t>
      </w:r>
      <w:r>
        <w:rPr>
          <w:rFonts w:hint="eastAsia" w:ascii="仿宋_GB2312" w:hAnsi="ˎ̥" w:eastAsia="仿宋_GB2312" w:cs="仿宋_GB2312"/>
          <w:bCs/>
          <w:sz w:val="32"/>
          <w:szCs w:val="32"/>
          <w:shd w:val="solid" w:color="ffffff" w:fill="auto"/>
          <w:lang w:bidi="ar"/>
        </w:rPr>
        <w:t xml:space="preserve">通过持续加大整治力度，全县碰瓷诈骗犯罪、外流盗窃犯罪也基本得到遏制，今年没有道县籍人员在外碰瓷诈骗、外流盗盗窃被上级公安机关通报的情况。</w:t>
      </w:r>
      <w:r>
        <w:rPr>
          <w:rFonts w:hint="eastAsia" w:ascii="仿宋_GB2312" w:hAnsi="楷体" w:eastAsia="仿宋_GB2312" w:cs="楷体"/>
          <w:b/>
          <w:bCs/>
          <w:sz w:val="32"/>
          <w:szCs w:val="32"/>
        </w:rPr>
        <w:t xml:space="preserve">四是出击其他犯罪。</w:t>
      </w:r>
      <w:r>
        <w:rPr>
          <w:rFonts w:hint="eastAsia" w:ascii="仿宋_GB2312" w:hAnsi="ˎ̥" w:eastAsia="仿宋_GB2312"/>
          <w:bCs/>
          <w:sz w:val="32"/>
          <w:szCs w:val="32"/>
        </w:rPr>
        <w:t xml:space="preserve">破获现行命案5起，连续12年实现了“命案必破”目标，追回各类逃犯105名；破获涉黄刑事案件6起，刑拘7人，查处涉黄行政案件2</w:t>
      </w:r>
      <w:r>
        <w:rPr>
          <w:rFonts w:hint="eastAsia" w:ascii="仿宋_GB2312" w:hAnsi="ˎ̥" w:eastAsia="仿宋_GB2312"/>
          <w:bCs/>
          <w:sz w:val="32"/>
          <w:szCs w:val="32"/>
          <w:lang w:val="en-US" w:eastAsia="zh-CN"/>
        </w:rPr>
        <w:t xml:space="preserve">9</w:t>
      </w:r>
      <w:r>
        <w:rPr>
          <w:rFonts w:hint="eastAsia" w:ascii="仿宋_GB2312" w:hAnsi="ˎ̥" w:eastAsia="仿宋_GB2312"/>
          <w:bCs/>
          <w:sz w:val="32"/>
          <w:szCs w:val="32"/>
        </w:rPr>
        <w:t xml:space="preserve">起，行政拘留3</w:t>
      </w:r>
      <w:r>
        <w:rPr>
          <w:rFonts w:hint="eastAsia" w:ascii="仿宋_GB2312" w:hAnsi="ˎ̥" w:eastAsia="仿宋_GB2312"/>
          <w:bCs/>
          <w:sz w:val="32"/>
          <w:szCs w:val="32"/>
          <w:lang w:val="en-US" w:eastAsia="zh-CN"/>
        </w:rPr>
        <w:t xml:space="preserve">7</w:t>
      </w:r>
      <w:r>
        <w:rPr>
          <w:rFonts w:hint="eastAsia" w:ascii="仿宋_GB2312" w:hAnsi="ˎ̥" w:eastAsia="仿宋_GB2312"/>
          <w:bCs/>
          <w:sz w:val="32"/>
          <w:szCs w:val="32"/>
        </w:rPr>
        <w:t xml:space="preserve">人；破获涉赌刑事案件10起，刑事拘留1</w:t>
      </w:r>
      <w:r>
        <w:rPr>
          <w:rFonts w:hint="eastAsia" w:ascii="仿宋_GB2312" w:hAnsi="ˎ̥" w:eastAsia="仿宋_GB2312"/>
          <w:bCs/>
          <w:sz w:val="32"/>
          <w:szCs w:val="32"/>
          <w:lang w:val="en-US" w:eastAsia="zh-CN"/>
        </w:rPr>
        <w:t xml:space="preserve">2</w:t>
      </w:r>
      <w:r>
        <w:rPr>
          <w:rFonts w:hint="eastAsia" w:ascii="仿宋_GB2312" w:hAnsi="ˎ̥" w:eastAsia="仿宋_GB2312"/>
          <w:bCs/>
          <w:sz w:val="32"/>
          <w:szCs w:val="32"/>
        </w:rPr>
        <w:t xml:space="preserve">人，查处涉赌行政案件</w:t>
      </w:r>
      <w:r>
        <w:rPr>
          <w:rFonts w:hint="eastAsia" w:ascii="仿宋_GB2312" w:hAnsi="ˎ̥" w:eastAsia="仿宋_GB2312"/>
          <w:bCs/>
          <w:sz w:val="32"/>
          <w:szCs w:val="32"/>
          <w:lang w:val="en-US" w:eastAsia="zh-CN"/>
        </w:rPr>
        <w:t xml:space="preserve">60</w:t>
      </w:r>
      <w:r>
        <w:rPr>
          <w:rFonts w:hint="eastAsia" w:ascii="仿宋_GB2312" w:hAnsi="ˎ̥" w:eastAsia="仿宋_GB2312"/>
          <w:bCs/>
          <w:sz w:val="32"/>
          <w:szCs w:val="32"/>
        </w:rPr>
        <w:t xml:space="preserve">起，行政拘留1</w:t>
      </w:r>
      <w:r>
        <w:rPr>
          <w:rFonts w:hint="eastAsia" w:ascii="仿宋_GB2312" w:hAnsi="ˎ̥" w:eastAsia="仿宋_GB2312"/>
          <w:bCs/>
          <w:sz w:val="32"/>
          <w:szCs w:val="32"/>
          <w:lang w:val="en-US" w:eastAsia="zh-CN"/>
        </w:rPr>
        <w:t xml:space="preserve">55</w:t>
      </w:r>
      <w:r>
        <w:rPr>
          <w:rFonts w:hint="eastAsia" w:ascii="仿宋_GB2312" w:hAnsi="ˎ̥" w:eastAsia="仿宋_GB2312"/>
          <w:bCs/>
          <w:sz w:val="32"/>
          <w:szCs w:val="32"/>
        </w:rPr>
        <w:t xml:space="preserve">人。</w:t>
      </w:r>
      <w:r>
        <w:rPr>
          <w:rFonts w:hint="eastAsia" w:ascii="仿宋_GB2312" w:hAnsi="ˎ̥" w:eastAsia="仿宋_GB2312"/>
          <w:bCs/>
          <w:sz w:val="32"/>
          <w:szCs w:val="32"/>
        </w:rPr>
      </w:r>
      <w:r>
        <w:rPr>
          <w:rFonts w:hint="eastAsia" w:ascii="仿宋_GB2312" w:hAnsi="ˎ̥" w:eastAsia="仿宋_GB2312"/>
          <w:bCs/>
          <w:sz w:val="32"/>
          <w:szCs w:val="32"/>
        </w:rPr>
      </w:r>
    </w:p>
    <w:p>
      <w:pPr>
        <w:pStyle w:val="616"/>
        <w:pBdr>
          <w:top w:val="single" w:color="ffffff" w:sz="4" w:space="1"/>
          <w:left w:val="single" w:color="ffffff" w:sz="4" w:space="0"/>
          <w:bottom w:val="single" w:color="ffffff" w:sz="4" w:space="16"/>
          <w:right w:val="single" w:color="ffffff" w:sz="4" w:space="10"/>
        </w:pBdr>
        <w:shd w:val="solid" w:color="ffffff" w:fill="auto"/>
        <w:spacing w:line="600" w:lineRule="exact"/>
        <w:ind w:firstLine="643"/>
        <w:rPr>
          <w:rFonts w:hint="eastAsia" w:ascii="仿宋_GB2312" w:hAnsi="仿宋_GB2312" w:eastAsia="仿宋_GB2312" w:cs="仿宋_GB2312"/>
          <w:sz w:val="32"/>
          <w:szCs w:val="32"/>
          <w:shd w:val="solid" w:color="ffffff" w:fill="auto"/>
          <w:lang w:bidi="ar"/>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三</w:t>
      </w:r>
      <w:r>
        <w:rPr>
          <w:rFonts w:hint="eastAsia" w:ascii="楷体_GB2312" w:hAnsi="楷体_GB2312" w:eastAsia="楷体_GB2312" w:cs="楷体_GB2312"/>
          <w:b/>
          <w:bCs/>
          <w:sz w:val="32"/>
          <w:szCs w:val="32"/>
        </w:rPr>
        <w:t xml:space="preserve">）聚焦管理管控，全力推进社会治理创新突破。</w:t>
      </w:r>
      <w:r>
        <w:rPr>
          <w:rFonts w:hint="eastAsia" w:ascii="仿宋_GB2312" w:hAnsi="仿宋_GB2312" w:eastAsia="仿宋_GB2312" w:cs="仿宋_GB2312"/>
          <w:sz w:val="32"/>
          <w:szCs w:val="32"/>
        </w:rPr>
        <w:t xml:space="preserve">以社会治理创新探索公安事业发展新路径。</w:t>
      </w:r>
      <w:r>
        <w:rPr>
          <w:rFonts w:hint="eastAsia" w:ascii="仿宋_GB2312" w:hAnsi="楷体_GB2312" w:eastAsia="仿宋_GB2312" w:cs="楷体_GB2312"/>
          <w:b/>
          <w:bCs/>
          <w:sz w:val="32"/>
          <w:szCs w:val="32"/>
        </w:rPr>
        <w:t xml:space="preserve">一是</w:t>
      </w:r>
      <w:r>
        <w:rPr>
          <w:rFonts w:hint="eastAsia" w:ascii="仿宋_GB2312" w:eastAsia="仿宋_GB2312"/>
          <w:b/>
          <w:bCs/>
          <w:sz w:val="32"/>
          <w:szCs w:val="32"/>
        </w:rPr>
        <w:t xml:space="preserve">“135快反机制”完善落实</w:t>
      </w:r>
      <w:r>
        <w:rPr>
          <w:rFonts w:hint="eastAsia" w:ascii="仿宋_GB2312" w:hAnsi="楷体_GB2312" w:eastAsia="仿宋_GB2312" w:cs="楷体_GB2312"/>
          <w:b/>
          <w:bCs/>
          <w:sz w:val="32"/>
          <w:szCs w:val="32"/>
        </w:rPr>
        <w:t xml:space="preserve">。</w:t>
      </w:r>
      <w:r>
        <w:rPr>
          <w:rFonts w:hint="eastAsia" w:ascii="仿宋_GB2312" w:eastAsia="仿宋_GB2312"/>
          <w:sz w:val="32"/>
          <w:szCs w:val="32"/>
        </w:rPr>
        <w:t xml:space="preserve">构筑全方位、全时空、全覆盖的立体化社会治安防控网络。继续落实“城区快警”常态化、动态化、实效化巡防工作，“135快反机制”已建成城区区防平台3个，巡防平台11个，重点部位群防平台24个，二级以上医院群防平台5个，中小学、幼儿园群防平台246个，建村防平台358个。同时将快反“135”机制向农村延伸，全县设4个片区警务，实行联防联治，快速处置。</w:t>
      </w:r>
      <w:r>
        <w:rPr>
          <w:rFonts w:hint="eastAsia" w:ascii="仿宋_GB2312" w:hAnsi="楷体_GB2312" w:eastAsia="仿宋_GB2312" w:cs="楷体_GB2312"/>
          <w:b/>
          <w:bCs/>
          <w:sz w:val="32"/>
          <w:szCs w:val="32"/>
        </w:rPr>
        <w:t xml:space="preserve">二是重点管理加强加劲。</w:t>
      </w:r>
      <w:r>
        <w:rPr>
          <w:rFonts w:hint="eastAsia" w:ascii="仿宋_GB2312" w:eastAsia="仿宋_GB2312"/>
          <w:sz w:val="32"/>
          <w:szCs w:val="32"/>
        </w:rPr>
        <w:t xml:space="preserve">加强网吧、旅馆等传统特种行业，以及寄递物流企业等新兴业态的实名制管理。加强重点物品、重点场所管理，</w:t>
      </w:r>
      <w:r>
        <w:rPr>
          <w:rFonts w:hint="eastAsia" w:ascii="仿宋_GB2312" w:hAnsi="仿宋" w:eastAsia="仿宋_GB2312" w:cs="仿宋_GB2312"/>
          <w:sz w:val="32"/>
          <w:szCs w:val="32"/>
        </w:rPr>
        <w:t xml:space="preserve">先后组织定期检查和不定期抽查共28次，开展全局集中清查1</w:t>
      </w:r>
      <w:r>
        <w:rPr>
          <w:rFonts w:hint="eastAsia" w:ascii="仿宋_GB2312" w:hAnsi="仿宋" w:eastAsia="仿宋_GB2312" w:cs="仿宋_GB2312"/>
          <w:sz w:val="32"/>
          <w:szCs w:val="32"/>
          <w:lang w:val="en-US" w:eastAsia="zh-CN"/>
        </w:rPr>
        <w:t xml:space="preserve">2</w:t>
      </w:r>
      <w:r>
        <w:rPr>
          <w:rFonts w:hint="eastAsia" w:ascii="仿宋_GB2312" w:hAnsi="仿宋" w:eastAsia="仿宋_GB2312" w:cs="仿宋_GB2312"/>
          <w:sz w:val="32"/>
          <w:szCs w:val="32"/>
        </w:rPr>
        <w:t xml:space="preserve">次，下发整改通知书3</w:t>
      </w:r>
      <w:r>
        <w:rPr>
          <w:rFonts w:hint="eastAsia" w:ascii="仿宋_GB2312" w:hAnsi="仿宋" w:eastAsia="仿宋_GB2312" w:cs="仿宋_GB2312"/>
          <w:sz w:val="32"/>
          <w:szCs w:val="32"/>
          <w:lang w:val="en-US" w:eastAsia="zh-CN"/>
        </w:rPr>
        <w:t xml:space="preserve">2</w:t>
      </w:r>
      <w:r>
        <w:rPr>
          <w:rFonts w:hint="eastAsia" w:ascii="仿宋_GB2312" w:hAnsi="仿宋" w:eastAsia="仿宋_GB2312" w:cs="仿宋_GB2312"/>
          <w:sz w:val="32"/>
          <w:szCs w:val="32"/>
        </w:rPr>
        <w:t xml:space="preserve">份，责令停业整顿</w:t>
      </w:r>
      <w:r>
        <w:rPr>
          <w:rFonts w:hint="eastAsia" w:ascii="仿宋_GB2312" w:hAnsi="仿宋" w:eastAsia="仿宋_GB2312" w:cs="仿宋_GB2312"/>
          <w:sz w:val="32"/>
          <w:szCs w:val="32"/>
          <w:lang w:val="en-US" w:eastAsia="zh-CN"/>
        </w:rPr>
        <w:t xml:space="preserve">8</w:t>
      </w:r>
      <w:r>
        <w:rPr>
          <w:rFonts w:hint="eastAsia" w:ascii="仿宋_GB2312" w:hAnsi="仿宋" w:eastAsia="仿宋_GB2312" w:cs="仿宋_GB2312"/>
          <w:sz w:val="32"/>
          <w:szCs w:val="32"/>
        </w:rPr>
        <w:t xml:space="preserve">家。</w:t>
      </w:r>
      <w:r>
        <w:rPr>
          <w:rFonts w:hint="eastAsia" w:ascii="仿宋_GB2312" w:hAnsi="楷体_GB2312" w:eastAsia="仿宋_GB2312" w:cs="楷体_GB2312"/>
          <w:b/>
          <w:bCs/>
          <w:sz w:val="32"/>
          <w:szCs w:val="32"/>
        </w:rPr>
        <w:t xml:space="preserve">三是道路交通管理更有成效。</w:t>
      </w:r>
      <w:r>
        <w:rPr>
          <w:rFonts w:hint="eastAsia" w:ascii="仿宋_GB2312" w:hAnsi="Times New Roman" w:eastAsia="仿宋_GB2312" w:cs="仿宋_GB2312"/>
          <w:sz w:val="32"/>
          <w:szCs w:val="32"/>
          <w:shd w:val="solid" w:color="ffffff" w:fill="auto"/>
          <w:lang w:bidi="ar"/>
        </w:rPr>
        <w:t xml:space="preserve">以交通问题顽瘴痼疾整治、事故预防“减量控大”和“盔·带风暴”为载体，以“降事故、保安全、保畅通、优服务”为目标，通过抓宣传、抓管控、抓源头、抓整治，</w:t>
      </w:r>
      <w:r>
        <w:rPr>
          <w:rFonts w:hint="eastAsia" w:ascii="仿宋_GB2312" w:hAnsi="仿宋_GB2312" w:eastAsia="仿宋_GB2312" w:cs="仿宋_GB2312"/>
          <w:sz w:val="32"/>
          <w:szCs w:val="32"/>
          <w:shd w:val="solid" w:color="ffffff" w:fill="auto"/>
          <w:lang w:bidi="ar"/>
        </w:rPr>
        <w:t xml:space="preserve">全力以赴除隐患、保安全、保畅通</w:t>
      </w:r>
      <w:r>
        <w:rPr>
          <w:rFonts w:hint="eastAsia" w:ascii="仿宋_GB2312" w:hAnsi="Times New Roman" w:eastAsia="仿宋_GB2312" w:cs="仿宋_GB2312"/>
          <w:sz w:val="32"/>
          <w:szCs w:val="32"/>
          <w:shd w:val="solid" w:color="ffffff" w:fill="auto"/>
          <w:lang w:bidi="ar"/>
        </w:rPr>
        <w:t xml:space="preserve">。</w:t>
      </w:r>
      <w:r>
        <w:rPr>
          <w:rFonts w:hint="eastAsia" w:ascii="仿宋_GB2312" w:eastAsia="仿宋_GB2312"/>
          <w:sz w:val="32"/>
          <w:szCs w:val="32"/>
        </w:rPr>
        <w:t xml:space="preserve">共查处各类交通违法行为</w:t>
      </w:r>
      <w:r>
        <w:rPr>
          <w:rFonts w:hint="eastAsia" w:ascii="仿宋_GB2312" w:eastAsia="仿宋_GB2312"/>
          <w:sz w:val="32"/>
          <w:szCs w:val="32"/>
          <w:lang w:val="en-US" w:eastAsia="zh-CN"/>
        </w:rPr>
        <w:t xml:space="preserve">10万</w:t>
      </w:r>
      <w:r>
        <w:rPr>
          <w:rFonts w:hint="eastAsia" w:ascii="仿宋_GB2312" w:eastAsia="仿宋_GB2312"/>
          <w:sz w:val="32"/>
          <w:szCs w:val="32"/>
        </w:rPr>
        <w:t xml:space="preserve">余起，</w:t>
      </w:r>
      <w:r>
        <w:rPr>
          <w:rFonts w:hint="eastAsia" w:ascii="仿宋_GB2312" w:eastAsia="仿宋_GB2312"/>
          <w:color w:val="000000"/>
          <w:sz w:val="32"/>
          <w:szCs w:val="32"/>
          <w:lang w:eastAsia="zh-CN"/>
        </w:rPr>
        <w:t xml:space="preserve">其中</w:t>
      </w:r>
      <w:r>
        <w:rPr>
          <w:rFonts w:hint="eastAsia" w:ascii="仿宋_GB2312" w:eastAsia="仿宋_GB2312"/>
          <w:color w:val="000000"/>
          <w:sz w:val="32"/>
          <w:szCs w:val="32"/>
        </w:rPr>
        <w:t xml:space="preserve">酒醉驾583起，涉牌涉证6248起，货车超载675起，客车超员292起，摩托车、电动车、农用车等违法载人3468起，摩托车、电动车不戴头盔20502起。</w:t>
      </w:r>
      <w:r>
        <w:rPr>
          <w:rFonts w:hint="eastAsia" w:ascii="仿宋_GB2312" w:hAnsi="Times New Roman" w:eastAsia="仿宋_GB2312" w:cs="仿宋_GB2312"/>
          <w:sz w:val="32"/>
          <w:szCs w:val="32"/>
          <w:shd w:val="solid" w:color="ffffff" w:fill="auto"/>
          <w:lang w:bidi="ar"/>
        </w:rPr>
        <w:t xml:space="preserve">今年以来全县未发生</w:t>
      </w:r>
      <w:r>
        <w:rPr>
          <w:rFonts w:hint="eastAsia" w:ascii="仿宋_GB2312" w:hAnsi="仿宋_GB2312" w:eastAsia="仿宋_GB2312" w:cs="仿宋_GB2312"/>
          <w:sz w:val="32"/>
          <w:szCs w:val="32"/>
          <w:shd w:val="solid" w:color="ffffff" w:fill="auto"/>
          <w:lang w:bidi="ar"/>
        </w:rPr>
        <w:t xml:space="preserve">一起死亡3人较大及以上事故。</w:t>
      </w:r>
      <w:r>
        <w:rPr>
          <w:rFonts w:hint="eastAsia" w:ascii="仿宋_GB2312" w:hAnsi="仿宋_GB2312" w:eastAsia="仿宋_GB2312" w:cs="仿宋_GB2312"/>
          <w:sz w:val="32"/>
          <w:szCs w:val="32"/>
        </w:rPr>
        <w:t xml:space="preserve">省公安厅将道县道路交通安全风险从2020年的“一类风险县”下调为“二类风险县”。</w:t>
      </w:r>
      <w:r>
        <w:rPr>
          <w:rFonts w:hint="eastAsia" w:ascii="仿宋_GB2312" w:hAnsi="仿宋_GB2312" w:eastAsia="仿宋_GB2312" w:cs="仿宋_GB2312"/>
          <w:sz w:val="32"/>
          <w:szCs w:val="32"/>
          <w:shd w:val="solid" w:color="ffffff" w:fill="auto"/>
          <w:lang w:bidi="ar"/>
        </w:rPr>
      </w:r>
      <w:r>
        <w:rPr>
          <w:rFonts w:hint="eastAsia" w:ascii="仿宋_GB2312" w:hAnsi="仿宋_GB2312" w:eastAsia="仿宋_GB2312" w:cs="仿宋_GB2312"/>
          <w:sz w:val="32"/>
          <w:szCs w:val="32"/>
          <w:shd w:val="solid" w:color="ffffff" w:fill="auto"/>
          <w:lang w:bidi="ar"/>
        </w:rPr>
      </w:r>
    </w:p>
    <w:p>
      <w:pPr>
        <w:pStyle w:val="616"/>
        <w:pBdr>
          <w:top w:val="single" w:color="ffffff" w:sz="4" w:space="1"/>
          <w:left w:val="single" w:color="ffffff" w:sz="4" w:space="0"/>
          <w:bottom w:val="single" w:color="ffffff" w:sz="4" w:space="16"/>
          <w:right w:val="single" w:color="ffffff" w:sz="4" w:space="10"/>
        </w:pBdr>
        <w:shd w:val="solid" w:color="ffffff" w:fill="auto"/>
        <w:spacing w:line="600" w:lineRule="exact"/>
        <w:ind w:firstLine="643"/>
        <w:rPr>
          <w:rFonts w:hint="eastAsia" w:ascii="仿宋_GB2312" w:hAnsi="宋体" w:eastAsia="仿宋_GB2312"/>
          <w:bCs/>
          <w:sz w:val="28"/>
          <w:szCs w:val="28"/>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四</w:t>
      </w:r>
      <w:r>
        <w:rPr>
          <w:rFonts w:hint="eastAsia" w:ascii="楷体_GB2312" w:hAnsi="楷体_GB2312" w:eastAsia="楷体_GB2312" w:cs="楷体_GB2312"/>
          <w:b/>
          <w:bCs/>
          <w:sz w:val="32"/>
          <w:szCs w:val="32"/>
        </w:rPr>
        <w:t xml:space="preserve">）聚焦基层基础，全力夯实公安工作根本基石。</w:t>
      </w:r>
      <w:r>
        <w:rPr>
          <w:rFonts w:hint="eastAsia" w:ascii="仿宋_GB2312" w:eastAsia="仿宋_GB2312"/>
          <w:bCs/>
          <w:sz w:val="32"/>
          <w:szCs w:val="32"/>
        </w:rPr>
        <w:t xml:space="preserve">全面夯实基层基础，落实县域警务风险防控，做强基层派出所，做实公安改革。</w:t>
      </w:r>
      <w:r>
        <w:rPr>
          <w:rFonts w:hint="eastAsia" w:ascii="仿宋_GB2312" w:eastAsia="仿宋_GB2312"/>
          <w:b/>
          <w:sz w:val="32"/>
          <w:szCs w:val="32"/>
        </w:rPr>
        <w:t xml:space="preserve">一是风险隐患盯牢盯紧。</w:t>
      </w:r>
      <w:r>
        <w:rPr>
          <w:rFonts w:hint="eastAsia" w:ascii="仿宋_GB2312" w:hAnsi="Times New Roman" w:eastAsia="仿宋_GB2312"/>
          <w:sz w:val="32"/>
          <w:szCs w:val="32"/>
          <w:lang w:bidi="ar"/>
        </w:rPr>
        <w:t xml:space="preserve">开展“四重并重”清仓行动,围绕重点人员、重点场所、重点物品、重点事件4大类别,以现实危害为标准，加强风险隐患排查管控,并进行台账化管理。经过两轮大规模排查，全局各单位初步建立了“四重并重”基础台账，共摸排重点人员13类3256人，重点场所3类541处，重点物品5类871种，重点事件19起。</w:t>
      </w:r>
      <w:r>
        <w:rPr>
          <w:rFonts w:hint="eastAsia" w:ascii="仿宋_GB2312" w:eastAsia="仿宋_GB2312"/>
          <w:b/>
          <w:sz w:val="32"/>
          <w:szCs w:val="32"/>
        </w:rPr>
        <w:t xml:space="preserve">三是基层所队做大做强。</w:t>
      </w:r>
      <w:r>
        <w:rPr>
          <w:rFonts w:hint="eastAsia" w:ascii="仿宋_GB2312" w:eastAsia="仿宋_GB2312"/>
          <w:sz w:val="32"/>
          <w:szCs w:val="32"/>
        </w:rPr>
        <w:t xml:space="preserve">深入推进“派出所建设三年行动计划”，</w:t>
      </w:r>
      <w:r>
        <w:rPr>
          <w:rFonts w:hint="eastAsia" w:ascii="仿宋_GB2312" w:eastAsia="仿宋_GB2312"/>
          <w:bCs/>
          <w:sz w:val="32"/>
          <w:szCs w:val="32"/>
        </w:rPr>
        <w:t xml:space="preserve">陈树湘派出所新建工程正在推进。</w:t>
      </w:r>
      <w:r>
        <w:rPr>
          <w:rFonts w:hint="eastAsia" w:ascii="仿宋_GB2312" w:hAnsi="仿宋_GB2312" w:eastAsia="仿宋_GB2312" w:cs="仿宋_GB2312"/>
          <w:bCs/>
          <w:sz w:val="32"/>
          <w:szCs w:val="32"/>
        </w:rPr>
        <w:t xml:space="preserve">对寿雁、蚣坝、原梅花派出等进行升级改造。</w:t>
      </w:r>
      <w:r>
        <w:rPr>
          <w:rFonts w:hint="eastAsia" w:ascii="仿宋_GB2312" w:eastAsia="仿宋_GB2312"/>
          <w:bCs/>
          <w:sz w:val="32"/>
          <w:szCs w:val="32"/>
        </w:rPr>
        <w:t xml:space="preserve">拘留所已搬迁新址，新看守所预计在农历春节前可以投入使用。</w:t>
      </w:r>
      <w:r>
        <w:rPr>
          <w:rFonts w:hint="eastAsia" w:ascii="仿宋_GB2312" w:eastAsia="仿宋_GB2312"/>
          <w:b/>
          <w:sz w:val="32"/>
          <w:szCs w:val="32"/>
        </w:rPr>
        <w:t xml:space="preserve">三是公安改革落地落实。</w:t>
      </w:r>
      <w:r>
        <w:rPr>
          <w:rFonts w:hint="eastAsia" w:ascii="仿宋_GB2312" w:eastAsia="仿宋_GB2312"/>
          <w:sz w:val="32"/>
          <w:szCs w:val="32"/>
        </w:rPr>
        <w:t xml:space="preserve">全面落实“放管服”改革，深入推进户籍制度等改革。深化“一标三实”信息采集，加强“错假重”户口清理，推进二代身份证指纹补采工作，采集第二代居民身份指纹</w:t>
      </w:r>
      <w:r>
        <w:rPr>
          <w:rFonts w:hint="eastAsia" w:ascii="仿宋" w:hAnsi="仿宋" w:eastAsia="仿宋"/>
          <w:color w:val="000000"/>
          <w:sz w:val="32"/>
          <w:szCs w:val="32"/>
        </w:rPr>
        <w:t xml:space="preserve">34795</w:t>
      </w:r>
      <w:r>
        <w:rPr>
          <w:rFonts w:hint="eastAsia" w:ascii="仿宋_GB2312" w:eastAsia="仿宋_GB2312"/>
          <w:sz w:val="32"/>
          <w:szCs w:val="32"/>
        </w:rPr>
        <w:t xml:space="preserve">条。推进警察管理制度改革，认真做好职务套改、职务晋升等工作，年内15名民警晋升四级高级警长，1名民警晋升警务技术四级主任，162名民警按期晋升一级警长及以下职级。</w:t>
      </w:r>
      <w:r>
        <w:rPr>
          <w:rFonts w:hint="eastAsia" w:ascii="仿宋_GB2312" w:hAnsi="宋体" w:eastAsia="仿宋_GB2312"/>
          <w:bCs/>
          <w:sz w:val="28"/>
          <w:szCs w:val="28"/>
        </w:rPr>
      </w:r>
      <w:r>
        <w:rPr>
          <w:rFonts w:hint="eastAsia" w:ascii="仿宋_GB2312" w:hAnsi="宋体" w:eastAsia="仿宋_GB2312"/>
          <w:bCs/>
          <w:sz w:val="28"/>
          <w:szCs w:val="28"/>
        </w:rPr>
      </w:r>
    </w:p>
    <w:p>
      <w:pPr>
        <w:pStyle w:val="616"/>
        <w:pBdr/>
        <w:spacing w:line="360" w:lineRule="auto"/>
        <w:ind w:firstLine="562"/>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七、存在的问题及原因分析</w:t>
      </w:r>
      <w:r>
        <w:rPr>
          <w:rFonts w:hint="eastAsia" w:ascii="仿宋_GB2312" w:hAnsi="宋体" w:eastAsia="仿宋_GB2312" w:cs="Times New Roman"/>
          <w:b/>
          <w:sz w:val="28"/>
          <w:szCs w:val="28"/>
        </w:rPr>
      </w:r>
      <w:r>
        <w:rPr>
          <w:rFonts w:hint="eastAsia" w:ascii="仿宋_GB2312" w:hAnsi="宋体" w:eastAsia="仿宋_GB2312" w:cs="Times New Roman"/>
          <w:b/>
          <w:sz w:val="28"/>
          <w:szCs w:val="28"/>
        </w:rPr>
      </w:r>
    </w:p>
    <w:p>
      <w:pPr>
        <w:pStyle w:val="630"/>
        <w:pBdr/>
        <w:spacing w:after="0" w:line="360" w:lineRule="auto"/>
        <w:ind w:firstLine="600"/>
        <w:rPr>
          <w:rFonts w:hint="eastAsia" w:ascii="仿宋_GB2312" w:eastAsia="仿宋_GB2312"/>
          <w:sz w:val="28"/>
          <w:szCs w:val="28"/>
        </w:rPr>
      </w:pPr>
      <w:r>
        <w:rPr>
          <w:rFonts w:hint="eastAsia" w:ascii="仿宋_GB2312" w:eastAsia="仿宋_GB2312"/>
          <w:sz w:val="28"/>
          <w:szCs w:val="28"/>
        </w:rPr>
        <w:t xml:space="preserve">存在的问题：</w:t>
      </w:r>
      <w:r>
        <w:rPr>
          <w:rFonts w:hint="eastAsia" w:ascii="仿宋_GB2312" w:eastAsia="仿宋_GB2312"/>
          <w:sz w:val="28"/>
          <w:szCs w:val="28"/>
        </w:rPr>
      </w:r>
      <w:r>
        <w:rPr>
          <w:rFonts w:hint="eastAsia" w:ascii="仿宋_GB2312" w:eastAsia="仿宋_GB2312"/>
          <w:sz w:val="28"/>
          <w:szCs w:val="28"/>
        </w:rPr>
      </w:r>
    </w:p>
    <w:p>
      <w:pPr>
        <w:pStyle w:val="630"/>
        <w:pBdr/>
        <w:spacing w:after="0" w:line="360" w:lineRule="auto"/>
        <w:ind w:firstLine="601"/>
        <w:rPr>
          <w:rFonts w:hint="eastAsia" w:ascii="仿宋_GB2312" w:eastAsia="仿宋_GB2312"/>
          <w:sz w:val="28"/>
          <w:szCs w:val="28"/>
        </w:rPr>
      </w:pPr>
      <w:r>
        <w:rPr>
          <w:rFonts w:hint="eastAsia" w:ascii="仿宋_GB2312" w:eastAsia="仿宋_GB2312" w:cs="Times New Roman"/>
          <w:sz w:val="28"/>
          <w:szCs w:val="28"/>
        </w:rPr>
        <w:t xml:space="preserve">1、</w:t>
      </w:r>
      <w:r>
        <w:rPr>
          <w:rFonts w:hint="eastAsia" w:ascii="仿宋_GB2312" w:eastAsia="仿宋_GB2312"/>
          <w:sz w:val="28"/>
          <w:szCs w:val="28"/>
        </w:rPr>
        <w:t xml:space="preserve">绩效目标支出低于部门年初预算，应加强部门预算的准确性。</w:t>
      </w:r>
      <w:r>
        <w:rPr>
          <w:rFonts w:hint="eastAsia" w:ascii="仿宋_GB2312" w:eastAsia="仿宋_GB2312"/>
          <w:sz w:val="28"/>
          <w:szCs w:val="28"/>
        </w:rPr>
      </w:r>
      <w:r>
        <w:rPr>
          <w:rFonts w:hint="eastAsia" w:ascii="仿宋_GB2312" w:eastAsia="仿宋_GB2312"/>
          <w:sz w:val="28"/>
          <w:szCs w:val="28"/>
        </w:rPr>
      </w:r>
    </w:p>
    <w:p>
      <w:pPr>
        <w:pStyle w:val="630"/>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2、工程项目资金拨付缓慢，单位日常追债人员较多。</w:t>
      </w:r>
      <w:r>
        <w:rPr>
          <w:rFonts w:hint="eastAsia" w:ascii="仿宋_GB2312" w:eastAsia="仿宋_GB2312"/>
          <w:sz w:val="28"/>
          <w:szCs w:val="28"/>
        </w:rPr>
      </w:r>
      <w:r>
        <w:rPr>
          <w:rFonts w:hint="eastAsia" w:ascii="仿宋_GB2312" w:eastAsia="仿宋_GB2312"/>
          <w:sz w:val="28"/>
          <w:szCs w:val="28"/>
        </w:rPr>
      </w:r>
    </w:p>
    <w:p>
      <w:pPr>
        <w:pStyle w:val="630"/>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原因分析：</w:t>
      </w:r>
      <w:r>
        <w:rPr>
          <w:rFonts w:hint="eastAsia" w:ascii="仿宋_GB2312" w:eastAsia="仿宋_GB2312"/>
          <w:sz w:val="28"/>
          <w:szCs w:val="28"/>
        </w:rPr>
      </w:r>
      <w:r>
        <w:rPr>
          <w:rFonts w:hint="eastAsia" w:ascii="仿宋_GB2312" w:eastAsia="仿宋_GB2312"/>
          <w:sz w:val="28"/>
          <w:szCs w:val="28"/>
        </w:rPr>
      </w:r>
    </w:p>
    <w:p>
      <w:pPr>
        <w:pStyle w:val="630"/>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1、年初编制的预算不够精确，编制范围不太全面。</w:t>
      </w:r>
      <w:r>
        <w:rPr>
          <w:rFonts w:hint="eastAsia" w:ascii="仿宋_GB2312" w:eastAsia="仿宋_GB2312"/>
          <w:sz w:val="28"/>
          <w:szCs w:val="28"/>
        </w:rPr>
      </w:r>
      <w:r>
        <w:rPr>
          <w:rFonts w:hint="eastAsia" w:ascii="仿宋_GB2312" w:eastAsia="仿宋_GB2312"/>
          <w:sz w:val="28"/>
          <w:szCs w:val="28"/>
        </w:rPr>
      </w:r>
    </w:p>
    <w:p>
      <w:pPr>
        <w:pStyle w:val="630"/>
        <w:pBdr/>
        <w:spacing w:after="0" w:line="360" w:lineRule="auto"/>
        <w:ind w:firstLine="600"/>
        <w:rPr>
          <w:rFonts w:hint="eastAsia" w:ascii="仿宋_GB2312" w:eastAsia="仿宋_GB2312"/>
          <w:sz w:val="28"/>
          <w:szCs w:val="28"/>
        </w:rPr>
      </w:pPr>
      <w:r>
        <w:rPr>
          <w:rFonts w:hint="eastAsia" w:ascii="仿宋_GB2312" w:eastAsia="仿宋_GB2312"/>
          <w:sz w:val="28"/>
          <w:szCs w:val="28"/>
        </w:rPr>
        <w:t xml:space="preserve">2、财政部门资金较紧张，工程项目拔付缓慢。</w:t>
      </w:r>
      <w:r>
        <w:rPr>
          <w:rFonts w:hint="eastAsia" w:ascii="仿宋_GB2312" w:eastAsia="仿宋_GB2312"/>
          <w:sz w:val="28"/>
          <w:szCs w:val="28"/>
        </w:rPr>
      </w:r>
      <w:r>
        <w:rPr>
          <w:rFonts w:hint="eastAsia" w:ascii="仿宋_GB2312" w:eastAsia="仿宋_GB2312"/>
          <w:sz w:val="28"/>
          <w:szCs w:val="28"/>
        </w:rPr>
      </w:r>
    </w:p>
    <w:p>
      <w:pPr>
        <w:pStyle w:val="616"/>
        <w:pBdr/>
        <w:spacing w:line="360" w:lineRule="auto"/>
        <w:ind w:firstLine="562"/>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八、下一步改进措施</w:t>
      </w:r>
      <w:r>
        <w:rPr>
          <w:rFonts w:hint="eastAsia" w:ascii="仿宋_GB2312" w:hAnsi="宋体" w:eastAsia="仿宋_GB2312" w:cs="Times New Roman"/>
          <w:b/>
          <w:sz w:val="28"/>
          <w:szCs w:val="28"/>
        </w:rPr>
      </w:r>
      <w:r>
        <w:rPr>
          <w:rFonts w:hint="eastAsia" w:ascii="仿宋_GB2312" w:hAnsi="宋体" w:eastAsia="仿宋_GB2312" w:cs="Times New Roman"/>
          <w:b/>
          <w:sz w:val="28"/>
          <w:szCs w:val="28"/>
        </w:rPr>
      </w:r>
    </w:p>
    <w:p>
      <w:pPr>
        <w:pStyle w:val="616"/>
        <w:pBdr/>
        <w:spacing w:line="600" w:lineRule="exact"/>
        <w:ind w:firstLine="420"/>
        <w:jc w:val="left"/>
        <w:rPr>
          <w:rFonts w:hint="eastAsia" w:ascii="仿宋_GB2312" w:hAnsi="宋体" w:eastAsia="仿宋_GB2312" w:cs="宋体"/>
          <w:sz w:val="28"/>
          <w:szCs w:val="28"/>
        </w:rPr>
      </w:pPr>
      <w:r>
        <w:rPr>
          <w:rFonts w:hint="eastAsia" w:ascii="仿宋_GB2312" w:hAnsi="宋体" w:eastAsia="仿宋_GB2312" w:cs="宋体"/>
          <w:sz w:val="28"/>
          <w:szCs w:val="28"/>
        </w:rPr>
        <w:t xml:space="preserve">1、规范财务管理，提高财务管理水平。</w:t>
      </w:r>
      <w:r>
        <w:rPr>
          <w:rFonts w:hint="eastAsia" w:ascii="仿宋_GB2312" w:hAnsi="宋体" w:eastAsia="仿宋_GB2312" w:cs="宋体"/>
          <w:sz w:val="28"/>
          <w:szCs w:val="28"/>
        </w:rPr>
      </w:r>
      <w:r>
        <w:rPr>
          <w:rFonts w:hint="eastAsia" w:ascii="仿宋_GB2312" w:hAnsi="宋体" w:eastAsia="仿宋_GB2312" w:cs="宋体"/>
          <w:sz w:val="28"/>
          <w:szCs w:val="28"/>
        </w:rPr>
      </w:r>
    </w:p>
    <w:p>
      <w:pPr>
        <w:pStyle w:val="616"/>
        <w:pBdr/>
        <w:spacing/>
        <w:ind w:firstLine="560"/>
        <w:jc w:val="left"/>
        <w:rPr>
          <w:rFonts w:hint="eastAsia" w:ascii="仿宋_GB2312" w:hAnsi="宋体" w:eastAsia="仿宋_GB2312"/>
          <w:color w:val="000000"/>
          <w:sz w:val="28"/>
          <w:szCs w:val="28"/>
        </w:rPr>
      </w:pPr>
      <w:r>
        <w:rPr>
          <w:rFonts w:hint="eastAsia" w:ascii="仿宋_GB2312" w:hAnsi="宋体" w:eastAsia="仿宋_GB2312" w:cs="宋体"/>
          <w:sz w:val="28"/>
          <w:szCs w:val="28"/>
        </w:rPr>
        <w:t xml:space="preserve">严格执行《会计法》、《事业单位财务规定》、《预算法》等规定执行财务核算，做好部门预算，严格按照年初资金的预算用途使用资金，</w:t>
      </w:r>
      <w:r>
        <w:rPr>
          <w:rFonts w:hint="eastAsia" w:ascii="仿宋_GB2312" w:hAnsi="宋体" w:eastAsia="仿宋_GB2312" w:cs="宋体"/>
          <w:color w:val="010101"/>
          <w:sz w:val="28"/>
          <w:szCs w:val="28"/>
        </w:rPr>
        <w:t xml:space="preserve">做到决算与预算相衔接，</w:t>
      </w:r>
      <w:r>
        <w:rPr>
          <w:rFonts w:hint="eastAsia" w:ascii="仿宋_GB2312" w:hAnsi="宋体" w:eastAsia="仿宋_GB2312" w:cs="宋体"/>
          <w:bCs/>
          <w:color w:val="010101"/>
          <w:sz w:val="28"/>
          <w:szCs w:val="28"/>
        </w:rPr>
        <w:t xml:space="preserve">提高财务信息质量</w:t>
      </w:r>
      <w:r>
        <w:rPr>
          <w:rFonts w:hint="eastAsia" w:ascii="仿宋_GB2312" w:hAnsi="宋体" w:eastAsia="仿宋_GB2312" w:cs="宋体"/>
          <w:color w:val="010101"/>
          <w:sz w:val="28"/>
          <w:szCs w:val="28"/>
        </w:rPr>
        <w:t xml:space="preserve">。</w:t>
      </w:r>
      <w:r>
        <w:rPr>
          <w:rFonts w:hint="eastAsia" w:ascii="仿宋_GB2312" w:hAnsi="宋体" w:eastAsia="仿宋_GB2312"/>
          <w:color w:val="000000"/>
          <w:sz w:val="28"/>
          <w:szCs w:val="28"/>
        </w:rPr>
      </w:r>
      <w:r>
        <w:rPr>
          <w:rFonts w:hint="eastAsia" w:ascii="仿宋_GB2312" w:hAnsi="宋体" w:eastAsia="仿宋_GB2312"/>
          <w:color w:val="000000"/>
          <w:sz w:val="28"/>
          <w:szCs w:val="28"/>
        </w:rPr>
      </w:r>
    </w:p>
    <w:p>
      <w:pPr>
        <w:pStyle w:val="628"/>
        <w:widowControl w:val="true"/>
        <w:pBdr/>
        <w:spacing w:line="480" w:lineRule="auto"/>
        <w:ind w:firstLine="560"/>
        <w:jc w:val="both"/>
        <w:rPr>
          <w:rFonts w:hint="eastAsia" w:ascii="仿宋_GB2312" w:hAnsi="宋体" w:eastAsia="仿宋_GB2312"/>
          <w:b/>
          <w:bCs/>
          <w:sz w:val="28"/>
          <w:szCs w:val="28"/>
        </w:rPr>
      </w:pPr>
      <w:r>
        <w:rPr>
          <w:rFonts w:hint="eastAsia" w:ascii="仿宋_GB2312" w:hAnsi="宋体" w:eastAsia="仿宋_GB2312" w:cs="新宋体"/>
          <w:sz w:val="28"/>
          <w:szCs w:val="28"/>
        </w:rPr>
        <w:t xml:space="preserve">2、加强新政府事业单位会计制度、内控制度、固定资产管理制度等的学习培训，加强会计队伍建设，提高财务人员的业务水平。</w:t>
      </w:r>
      <w:r>
        <w:rPr>
          <w:rFonts w:hint="eastAsia" w:ascii="仿宋_GB2312" w:hAnsi="宋体" w:eastAsia="仿宋_GB2312"/>
          <w:b/>
          <w:bCs/>
          <w:sz w:val="28"/>
          <w:szCs w:val="28"/>
        </w:rPr>
      </w:r>
      <w:r>
        <w:rPr>
          <w:rFonts w:hint="eastAsia" w:ascii="仿宋_GB2312" w:hAnsi="宋体" w:eastAsia="仿宋_GB2312"/>
          <w:b/>
          <w:bCs/>
          <w:sz w:val="28"/>
          <w:szCs w:val="28"/>
        </w:rPr>
      </w:r>
    </w:p>
    <w:p>
      <w:pPr>
        <w:pStyle w:val="616"/>
        <w:pBdr/>
        <w:spacing w:line="360" w:lineRule="auto"/>
        <w:ind w:firstLine="562"/>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九、绩效自评结果拟就用和公开情况</w:t>
      </w:r>
      <w:r>
        <w:rPr>
          <w:rFonts w:hint="eastAsia" w:ascii="仿宋_GB2312" w:hAnsi="宋体" w:eastAsia="仿宋_GB2312" w:cs="Times New Roman"/>
          <w:b/>
          <w:sz w:val="28"/>
          <w:szCs w:val="28"/>
        </w:rPr>
      </w:r>
      <w:r>
        <w:rPr>
          <w:rFonts w:hint="eastAsia" w:ascii="仿宋_GB2312" w:hAnsi="宋体" w:eastAsia="仿宋_GB2312" w:cs="Times New Roman"/>
          <w:b/>
          <w:sz w:val="28"/>
          <w:szCs w:val="28"/>
        </w:rPr>
      </w:r>
    </w:p>
    <w:p>
      <w:pPr>
        <w:pStyle w:val="616"/>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sz w:val="28"/>
          <w:szCs w:val="28"/>
        </w:rPr>
        <w:t xml:space="preserve">根据财政部门要求及时在门户网站公开预决算及整体支出绩效自评报告</w:t>
      </w:r>
      <w:r>
        <w:rPr>
          <w:rFonts w:hint="eastAsia" w:ascii="仿宋_GB2312" w:hAnsi="宋体" w:eastAsia="仿宋_GB2312" w:cs="Times New Roman"/>
          <w:b/>
          <w:sz w:val="28"/>
          <w:szCs w:val="28"/>
        </w:rPr>
        <w:t xml:space="preserve">。</w:t>
      </w:r>
      <w:r>
        <w:rPr>
          <w:rFonts w:hint="eastAsia" w:ascii="仿宋_GB2312" w:hAnsi="宋体" w:eastAsia="仿宋_GB2312" w:cs="Times New Roman"/>
          <w:b/>
          <w:sz w:val="28"/>
          <w:szCs w:val="28"/>
        </w:rPr>
      </w:r>
      <w:r>
        <w:rPr>
          <w:rFonts w:hint="eastAsia" w:ascii="仿宋_GB2312" w:hAnsi="宋体" w:eastAsia="仿宋_GB2312" w:cs="Times New Roman"/>
          <w:b/>
          <w:sz w:val="28"/>
          <w:szCs w:val="28"/>
        </w:rPr>
      </w:r>
    </w:p>
    <w:p>
      <w:pPr>
        <w:pStyle w:val="616"/>
        <w:pBdr/>
        <w:spacing w:line="360" w:lineRule="auto"/>
        <w:ind w:firstLine="562"/>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十、其他需要说明的情况</w:t>
      </w:r>
      <w:r>
        <w:rPr>
          <w:rFonts w:hint="eastAsia" w:ascii="仿宋_GB2312" w:hAnsi="宋体" w:eastAsia="仿宋_GB2312" w:cs="Times New Roman"/>
          <w:b/>
          <w:sz w:val="28"/>
          <w:szCs w:val="28"/>
        </w:rPr>
      </w:r>
      <w:r>
        <w:rPr>
          <w:rFonts w:hint="eastAsia" w:ascii="仿宋_GB2312" w:hAnsi="宋体" w:eastAsia="仿宋_GB2312" w:cs="Times New Roman"/>
          <w:b/>
          <w:sz w:val="28"/>
          <w:szCs w:val="28"/>
        </w:rPr>
      </w:r>
    </w:p>
    <w:p>
      <w:pPr>
        <w:pStyle w:val="616"/>
        <w:pBdr/>
        <w:spacing w:line="600" w:lineRule="exact"/>
        <w:ind w:firstLine="560"/>
        <w:rPr>
          <w:rFonts w:hint="eastAsia" w:ascii="仿宋_GB2312" w:hAnsi="宋体" w:eastAsia="仿宋_GB2312" w:cs="Times New Roman"/>
          <w:sz w:val="28"/>
          <w:szCs w:val="28"/>
        </w:rPr>
      </w:pPr>
      <w:r>
        <w:rPr>
          <w:rFonts w:hint="eastAsia" w:ascii="仿宋_GB2312" w:hAnsi="宋体" w:eastAsia="仿宋_GB2312" w:cs="Times New Roman"/>
          <w:sz w:val="28"/>
          <w:szCs w:val="28"/>
        </w:rPr>
        <w:t xml:space="preserve">无其他需要说明的情况。</w:t>
      </w:r>
      <w:r>
        <w:rPr>
          <w:rFonts w:hint="eastAsia" w:ascii="仿宋_GB2312" w:hAnsi="宋体" w:eastAsia="仿宋_GB2312" w:cs="Times New Roman"/>
          <w:sz w:val="28"/>
          <w:szCs w:val="28"/>
        </w:rPr>
      </w:r>
      <w:r>
        <w:rPr>
          <w:rFonts w:hint="eastAsia" w:ascii="仿宋_GB2312" w:hAnsi="宋体" w:eastAsia="仿宋_GB2312" w:cs="Times New Roman"/>
          <w:sz w:val="28"/>
          <w:szCs w:val="28"/>
        </w:rPr>
      </w:r>
    </w:p>
    <w:p>
      <w:pPr>
        <w:pStyle w:val="616"/>
        <w:pBdr/>
        <w:spacing w:line="600" w:lineRule="exact"/>
        <w:ind w:firstLine="560"/>
        <w:rPr>
          <w:rFonts w:hint="eastAsia" w:ascii="仿宋_GB2312" w:hAnsi="宋体" w:eastAsia="仿宋_GB2312" w:cs="Times New Roman"/>
          <w:sz w:val="28"/>
          <w:szCs w:val="28"/>
        </w:rPr>
      </w:pPr>
      <w:r>
        <w:rPr>
          <w:rFonts w:hint="eastAsia" w:ascii="仿宋_GB2312" w:hAnsi="宋体" w:eastAsia="仿宋_GB2312" w:cs="Times New Roman"/>
          <w:sz w:val="28"/>
          <w:szCs w:val="28"/>
        </w:rPr>
      </w:r>
      <w:r>
        <w:rPr>
          <w:rFonts w:hint="eastAsia" w:ascii="仿宋_GB2312" w:hAnsi="宋体" w:eastAsia="仿宋_GB2312" w:cs="Times New Roman"/>
          <w:sz w:val="28"/>
          <w:szCs w:val="28"/>
        </w:rPr>
      </w:r>
    </w:p>
    <w:sectPr>
      <w:footnotePr/>
      <w:endnotePr/>
      <w:type w:val="nextPage"/>
      <w:pgSz w:h="16838" w:orient="landscape" w:w="11906"/>
      <w:pgMar w:top="1440" w:right="1800" w:bottom="1440" w:left="1800" w:header="851" w:footer="992"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楷体">
    <w:panose1 w:val="02010609060101010101"/>
  </w:font>
  <w:font w:name="新宋体">
    <w:panose1 w:val="02010609030101010101"/>
  </w:font>
  <w:font w:name="华文细黑">
    <w:panose1 w:val="02010609030101010101"/>
  </w:font>
  <w:font w:name="楷体_GB2312">
    <w:panose1 w:val="02010609060101010101"/>
  </w:font>
  <w:font w:name="仿宋">
    <w:panose1 w:val="02010609060101010101"/>
  </w:font>
  <w:font w:name="仿宋_GB2312">
    <w:panose1 w:val="02010609030101010101"/>
  </w:font>
  <w:font w:name="黑体">
    <w:panose1 w:val="02010609060101010101"/>
  </w:font>
  <w:font w:name="微软雅黑">
    <w:panose1 w:val="020B0503020204020204"/>
  </w:font>
  <w:font w:name="Arial">
    <w:panose1 w:val="020B0604020202020204"/>
  </w:font>
  <w:font w:name="宋体">
    <w:panose1 w:val="02010600030101010101"/>
  </w:font>
  <w:font w:name="ˎ̥">
    <w:panose1 w:val="020B0604020202020204"/>
  </w:font>
  <w:font w:name="Times New Roman">
    <w:panose1 w:val="02020603050405020304"/>
  </w:font>
  <w:font w:name="等线">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splitPgBreakAndParaMark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6"/>
    <w:next w:val="616"/>
    <w:link w:val="14"/>
    <w:uiPriority w:val="9"/>
    <w:qFormat/>
    <w:pPr>
      <w:keepNext w:val="true"/>
      <w:keepLines w:val="true"/>
      <w:pBdr/>
      <w:spacing w:after="200" w:before="480"/>
      <w:ind/>
      <w:outlineLvl w:val="0"/>
    </w:pPr>
    <w:rPr>
      <w:rFonts w:ascii="等线" w:hAnsi="等线" w:eastAsia="等线" w:cs="等线"/>
      <w:sz w:val="40"/>
      <w:szCs w:val="40"/>
    </w:rPr>
  </w:style>
  <w:style w:type="character" w:styleId="14">
    <w:name w:val="Heading 1 Char"/>
    <w:basedOn w:val="11"/>
    <w:link w:val="13"/>
    <w:uiPriority w:val="9"/>
    <w:pPr>
      <w:pBdr/>
      <w:spacing/>
      <w:ind/>
    </w:pPr>
    <w:rPr>
      <w:rFonts w:ascii="等线" w:hAnsi="等线" w:eastAsia="等线" w:cs="等线"/>
      <w:sz w:val="40"/>
      <w:szCs w:val="40"/>
    </w:rPr>
  </w:style>
  <w:style w:type="paragraph" w:styleId="15">
    <w:name w:val="Heading 2"/>
    <w:basedOn w:val="616"/>
    <w:next w:val="616"/>
    <w:link w:val="16"/>
    <w:uiPriority w:val="9"/>
    <w:unhideWhenUsed/>
    <w:qFormat/>
    <w:pPr>
      <w:keepNext w:val="true"/>
      <w:keepLines w:val="true"/>
      <w:pBdr/>
      <w:spacing w:after="200" w:before="360"/>
      <w:ind/>
      <w:outlineLvl w:val="1"/>
    </w:pPr>
    <w:rPr>
      <w:rFonts w:ascii="等线" w:hAnsi="等线" w:eastAsia="等线" w:cs="等线"/>
      <w:sz w:val="34"/>
    </w:rPr>
  </w:style>
  <w:style w:type="character" w:styleId="16">
    <w:name w:val="Heading 2 Char"/>
    <w:basedOn w:val="11"/>
    <w:link w:val="15"/>
    <w:uiPriority w:val="9"/>
    <w:pPr>
      <w:pBdr/>
      <w:spacing/>
      <w:ind/>
    </w:pPr>
    <w:rPr>
      <w:rFonts w:ascii="等线" w:hAnsi="等线" w:eastAsia="等线" w:cs="等线"/>
      <w:sz w:val="34"/>
    </w:rPr>
  </w:style>
  <w:style w:type="paragraph" w:styleId="17">
    <w:name w:val="Heading 3"/>
    <w:basedOn w:val="616"/>
    <w:next w:val="616"/>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11"/>
    <w:link w:val="17"/>
    <w:uiPriority w:val="9"/>
    <w:pPr>
      <w:pBdr/>
      <w:spacing/>
      <w:ind/>
    </w:pPr>
    <w:rPr>
      <w:rFonts w:ascii="等线" w:hAnsi="等线" w:eastAsia="等线" w:cs="等线"/>
      <w:sz w:val="30"/>
      <w:szCs w:val="30"/>
    </w:rPr>
  </w:style>
  <w:style w:type="paragraph" w:styleId="19">
    <w:name w:val="Heading 4"/>
    <w:basedOn w:val="616"/>
    <w:next w:val="616"/>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11"/>
    <w:link w:val="19"/>
    <w:uiPriority w:val="9"/>
    <w:pPr>
      <w:pBdr/>
      <w:spacing/>
      <w:ind/>
    </w:pPr>
    <w:rPr>
      <w:rFonts w:ascii="等线" w:hAnsi="等线" w:eastAsia="等线" w:cs="等线"/>
      <w:b/>
      <w:bCs/>
      <w:sz w:val="26"/>
      <w:szCs w:val="26"/>
    </w:rPr>
  </w:style>
  <w:style w:type="paragraph" w:styleId="21">
    <w:name w:val="Heading 5"/>
    <w:basedOn w:val="616"/>
    <w:next w:val="616"/>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11"/>
    <w:link w:val="21"/>
    <w:uiPriority w:val="9"/>
    <w:pPr>
      <w:pBdr/>
      <w:spacing/>
      <w:ind/>
    </w:pPr>
    <w:rPr>
      <w:rFonts w:ascii="等线" w:hAnsi="等线" w:eastAsia="等线" w:cs="等线"/>
      <w:b/>
      <w:bCs/>
      <w:sz w:val="24"/>
      <w:szCs w:val="24"/>
    </w:rPr>
  </w:style>
  <w:style w:type="paragraph" w:styleId="23">
    <w:name w:val="Heading 6"/>
    <w:basedOn w:val="616"/>
    <w:next w:val="616"/>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11"/>
    <w:link w:val="23"/>
    <w:uiPriority w:val="9"/>
    <w:pPr>
      <w:pBdr/>
      <w:spacing/>
      <w:ind/>
    </w:pPr>
    <w:rPr>
      <w:rFonts w:ascii="等线" w:hAnsi="等线" w:eastAsia="等线" w:cs="等线"/>
      <w:b/>
      <w:bCs/>
      <w:sz w:val="22"/>
      <w:szCs w:val="22"/>
    </w:rPr>
  </w:style>
  <w:style w:type="paragraph" w:styleId="25">
    <w:name w:val="Heading 7"/>
    <w:basedOn w:val="616"/>
    <w:next w:val="616"/>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11"/>
    <w:link w:val="25"/>
    <w:uiPriority w:val="9"/>
    <w:pPr>
      <w:pBdr/>
      <w:spacing/>
      <w:ind/>
    </w:pPr>
    <w:rPr>
      <w:rFonts w:ascii="等线" w:hAnsi="等线" w:eastAsia="等线" w:cs="等线"/>
      <w:b/>
      <w:bCs/>
      <w:i/>
      <w:iCs/>
      <w:sz w:val="22"/>
      <w:szCs w:val="22"/>
    </w:rPr>
  </w:style>
  <w:style w:type="paragraph" w:styleId="27">
    <w:name w:val="Heading 8"/>
    <w:basedOn w:val="616"/>
    <w:next w:val="616"/>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11"/>
    <w:link w:val="27"/>
    <w:uiPriority w:val="9"/>
    <w:pPr>
      <w:pBdr/>
      <w:spacing/>
      <w:ind/>
    </w:pPr>
    <w:rPr>
      <w:rFonts w:ascii="等线" w:hAnsi="等线" w:eastAsia="等线" w:cs="等线"/>
      <w:i/>
      <w:iCs/>
      <w:sz w:val="22"/>
      <w:szCs w:val="22"/>
    </w:rPr>
  </w:style>
  <w:style w:type="paragraph" w:styleId="29">
    <w:name w:val="Heading 9"/>
    <w:basedOn w:val="616"/>
    <w:next w:val="616"/>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11"/>
    <w:link w:val="29"/>
    <w:uiPriority w:val="9"/>
    <w:pPr>
      <w:pBdr/>
      <w:spacing/>
      <w:ind/>
    </w:pPr>
    <w:rPr>
      <w:rFonts w:ascii="等线" w:hAnsi="等线" w:eastAsia="等线" w:cs="等线"/>
      <w:i/>
      <w:iCs/>
      <w:sz w:val="21"/>
      <w:szCs w:val="21"/>
    </w:rPr>
  </w:style>
  <w:style w:type="paragraph" w:styleId="33">
    <w:name w:val="No Spacing"/>
    <w:uiPriority w:val="1"/>
    <w:qFormat/>
    <w:pPr>
      <w:pBdr/>
      <w:spacing w:after="0" w:before="0" w:line="240" w:lineRule="auto"/>
      <w:ind/>
    </w:pPr>
  </w:style>
  <w:style w:type="paragraph" w:styleId="34">
    <w:name w:val="Title"/>
    <w:basedOn w:val="616"/>
    <w:next w:val="616"/>
    <w:link w:val="35"/>
    <w:uiPriority w:val="10"/>
    <w:qFormat/>
    <w:pPr>
      <w:pBdr/>
      <w:spacing w:after="200" w:before="300"/>
      <w:ind/>
      <w:contextualSpacing w:val="true"/>
    </w:pPr>
    <w:rPr>
      <w:sz w:val="48"/>
      <w:szCs w:val="48"/>
    </w:rPr>
  </w:style>
  <w:style w:type="character" w:styleId="35">
    <w:name w:val="Title Char"/>
    <w:basedOn w:val="11"/>
    <w:link w:val="34"/>
    <w:uiPriority w:val="10"/>
    <w:pPr>
      <w:pBdr/>
      <w:spacing/>
      <w:ind/>
    </w:pPr>
    <w:rPr>
      <w:sz w:val="48"/>
      <w:szCs w:val="48"/>
    </w:rPr>
  </w:style>
  <w:style w:type="paragraph" w:styleId="36">
    <w:name w:val="Subtitle"/>
    <w:basedOn w:val="616"/>
    <w:next w:val="616"/>
    <w:link w:val="37"/>
    <w:uiPriority w:val="11"/>
    <w:qFormat/>
    <w:pPr>
      <w:pBdr/>
      <w:spacing w:after="200" w:before="200"/>
      <w:ind/>
    </w:pPr>
    <w:rPr>
      <w:sz w:val="24"/>
      <w:szCs w:val="24"/>
    </w:rPr>
  </w:style>
  <w:style w:type="character" w:styleId="37">
    <w:name w:val="Subtitle Char"/>
    <w:basedOn w:val="11"/>
    <w:link w:val="36"/>
    <w:uiPriority w:val="11"/>
    <w:pPr>
      <w:pBdr/>
      <w:spacing/>
      <w:ind/>
    </w:pPr>
    <w:rPr>
      <w:sz w:val="24"/>
      <w:szCs w:val="24"/>
    </w:rPr>
  </w:style>
  <w:style w:type="paragraph" w:styleId="38">
    <w:name w:val="Quote"/>
    <w:basedOn w:val="616"/>
    <w:next w:val="616"/>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16"/>
    <w:next w:val="616"/>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paragraph" w:styleId="42">
    <w:name w:val="Header"/>
    <w:basedOn w:val="616"/>
    <w:link w:val="43"/>
    <w:uiPriority w:val="99"/>
    <w:unhideWhenUsed/>
    <w:pPr>
      <w:pBdr/>
      <w:tabs>
        <w:tab w:val="center" w:leader="none" w:pos="7143"/>
        <w:tab w:val="right" w:leader="none" w:pos="14287"/>
      </w:tabs>
      <w:spacing w:after="0" w:line="240" w:lineRule="auto"/>
      <w:ind/>
    </w:pPr>
  </w:style>
  <w:style w:type="character" w:styleId="43">
    <w:name w:val="Header Char"/>
    <w:basedOn w:val="11"/>
    <w:link w:val="42"/>
    <w:uiPriority w:val="99"/>
    <w:pPr>
      <w:pBdr/>
      <w:spacing/>
      <w:ind/>
    </w:pPr>
  </w:style>
  <w:style w:type="paragraph" w:styleId="44">
    <w:name w:val="Footer"/>
    <w:basedOn w:val="616"/>
    <w:link w:val="47"/>
    <w:uiPriority w:val="99"/>
    <w:unhideWhenUsed/>
    <w:pPr>
      <w:pBdr/>
      <w:tabs>
        <w:tab w:val="center" w:leader="none" w:pos="7143"/>
        <w:tab w:val="right" w:leader="none" w:pos="14287"/>
      </w:tabs>
      <w:spacing w:after="0" w:line="240" w:lineRule="auto"/>
      <w:ind/>
    </w:pPr>
  </w:style>
  <w:style w:type="character" w:styleId="45">
    <w:name w:val="Footer Char"/>
    <w:basedOn w:val="11"/>
    <w:link w:val="44"/>
    <w:uiPriority w:val="99"/>
    <w:pPr>
      <w:pBdr/>
      <w:spacing/>
      <w:ind/>
    </w:pPr>
  </w:style>
  <w:style w:type="paragraph" w:styleId="46">
    <w:name w:val="Caption"/>
    <w:basedOn w:val="616"/>
    <w:next w:val="616"/>
    <w:uiPriority w:val="35"/>
    <w:semiHidden/>
    <w:unhideWhenUsed/>
    <w:qFormat/>
    <w:pPr>
      <w:pBdr/>
      <w:spacing w:line="276" w:lineRule="auto"/>
      <w:ind/>
    </w:pPr>
    <w:rPr>
      <w:b/>
      <w:bCs/>
      <w:color w:val="4f81bd" w:themeColor="accent1"/>
      <w:sz w:val="18"/>
      <w:szCs w:val="18"/>
    </w:rPr>
  </w:style>
  <w:style w:type="character" w:styleId="47">
    <w:name w:val="Caption Char"/>
    <w:basedOn w:val="46"/>
    <w:link w:val="44"/>
    <w:uiPriority w:val="99"/>
    <w:pPr>
      <w:pBdr/>
      <w:spacing/>
      <w:ind/>
    </w:pPr>
  </w:style>
  <w:style w:type="table" w:styleId="48">
    <w:name w:val="Table Grid"/>
    <w:basedOn w:val="32"/>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3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3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32"/>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3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3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3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3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3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3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3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3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cPr>
      <w:tcBorders/>
    </w:tcPr>
    <w:tblStylePr w:type="band1Horz">
      <w:pPr>
        <w:pBdr/>
        <w:spacing/>
        <w:ind/>
      </w:pPr>
      <w:tblPr>
        <w:tblBorders/>
      </w:tblPr>
      <w:tcPr>
        <w:shd w:val="clear" w:color="ffffff" w:themeColor="accent1" w:themeTint="75" w:fill="adc5e0" w:themeFill="accent1" w:themeFillTint="75"/>
        <w:tcBorders/>
      </w:tcPr>
    </w:tblStylePr>
    <w:tblStylePr w:type="band1Vert">
      <w:pPr>
        <w:pBdr/>
        <w:spacing/>
        <w:ind/>
      </w:pPr>
      <w:tblPr>
        <w:tblBorders/>
      </w:tblPr>
      <w:tcPr>
        <w:shd w:val="clear" w:color="ffffff" w:themeColor="accent1" w:themeTint="75" w:fill="adc5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cPr>
      <w:tcBorders/>
    </w:tcPr>
    <w:tblStylePr w:type="band1Horz">
      <w:pPr>
        <w:pBdr/>
        <w:spacing/>
        <w:ind/>
      </w:pPr>
      <w:tblPr>
        <w:tblBorders/>
      </w:tblPr>
      <w:tcPr>
        <w:shd w:val="clear" w:color="ffffff" w:themeColor="accent2" w:themeTint="75" w:fill="e1adac" w:themeFill="accent2" w:themeFillTint="75"/>
        <w:tcBorders/>
      </w:tcPr>
    </w:tblStylePr>
    <w:tblStylePr w:type="band1Vert">
      <w:pPr>
        <w:pBdr/>
        <w:spacing/>
        <w:ind/>
      </w:pPr>
      <w:tblPr>
        <w:tblBorders/>
      </w:tblPr>
      <w:tcPr>
        <w:shd w:val="clear" w:color="ffffff" w:themeColor="accent2" w:themeTint="75" w:fill="e1ada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cPr>
      <w:tcBorders/>
    </w:tcPr>
    <w:tblStylePr w:type="band1Horz">
      <w:pPr>
        <w:pBdr/>
        <w:spacing/>
        <w:ind/>
      </w:pPr>
      <w:tblPr>
        <w:tblBorders/>
      </w:tblPr>
      <w:tcPr>
        <w:shd w:val="clear" w:color="ffffff" w:themeColor="accent3" w:themeTint="75" w:fill="d1dfb2" w:themeFill="accent3" w:themeFillTint="75"/>
        <w:tcBorders/>
      </w:tcPr>
    </w:tblStylePr>
    <w:tblStylePr w:type="band1Vert">
      <w:pPr>
        <w:pBdr/>
        <w:spacing/>
        <w:ind/>
      </w:pPr>
      <w:tblPr>
        <w:tblBorders/>
      </w:tblPr>
      <w:tcPr>
        <w:shd w:val="clear" w:color="ffffff" w:themeColor="accent3" w:themeTint="75" w:fill="d1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4b7d4" w:themeFill="accent4" w:themeFillTint="75"/>
        <w:tcBorders/>
      </w:tcPr>
    </w:tblStylePr>
    <w:tblStylePr w:type="band1Vert">
      <w:pPr>
        <w:pBdr/>
        <w:spacing/>
        <w:ind/>
      </w:pPr>
      <w:tblPr>
        <w:tblBorders/>
      </w:tblPr>
      <w:tcPr>
        <w:shd w:val="clear" w:color="ffffff"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bd9e4" w:themeFill="accent5" w:themeFillTint="75"/>
        <w:tcBorders/>
      </w:tcPr>
    </w:tblStylePr>
    <w:tblStylePr w:type="band1Vert">
      <w:pPr>
        <w:pBdr/>
        <w:spacing/>
        <w:ind/>
      </w:pPr>
      <w:tblPr>
        <w:tblBorders/>
      </w:tblPr>
      <w:tcPr>
        <w:shd w:val="clear" w:color="ffffff" w:themeColor="accent5" w:themeTint="75" w:fill="abd9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cPr>
      <w:tcBorders/>
    </w:tcPr>
    <w:tblStylePr w:type="band1Horz">
      <w:pPr>
        <w:pBdr/>
        <w:spacing/>
        <w:ind/>
      </w:pPr>
      <w:tblPr>
        <w:tblBorders/>
      </w:tblPr>
      <w:tcPr>
        <w:shd w:val="clear" w:color="ffffff" w:themeColor="accent6" w:themeTint="75" w:fill="fbcda8" w:themeFill="accent6" w:themeFillTint="75"/>
        <w:tcBorders/>
      </w:tcPr>
    </w:tblStylePr>
    <w:tblStylePr w:type="band1Vert">
      <w:pPr>
        <w:pBdr/>
        <w:spacing/>
        <w:ind/>
      </w:pPr>
      <w:tblPr>
        <w:tblBorders/>
      </w:tblPr>
      <w:tcPr>
        <w:shd w:val="clear" w:color="ffffff" w:themeColor="accent6" w:themeTint="75" w:fill="fbcd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3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3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70a3" w:themeColor="accent1" w:themeTint="80" w:themeShade="95"/>
      </w:rPr>
      <w:pPr>
        <w:pBdr/>
        <w:spacing/>
        <w:ind/>
      </w:pPr>
      <w:tblPr>
        <w:tblBorders/>
      </w:tblPr>
      <w:tcPr>
        <w:tcBorders/>
      </w:tcPr>
    </w:tblStylePr>
    <w:tblStylePr w:type="firstRow">
      <w:rPr>
        <w:b/>
        <w:color w:val="3e70a3" w:themeColor="accent1" w:themeTint="80" w:themeShade="95"/>
      </w:rPr>
      <w:pPr>
        <w:pBdr/>
        <w:spacing/>
        <w:ind/>
      </w:pPr>
      <w:tblPr>
        <w:tblBorders/>
      </w:tblPr>
      <w:tcPr>
        <w:tcBorders>
          <w:bottom w:val="single" w:color="000000" w:themeColor="accent1" w:themeTint="80" w:sz="12" w:space="0"/>
        </w:tcBorders>
      </w:tcPr>
    </w:tblStylePr>
    <w:tblStylePr w:type="lastCol">
      <w:rPr>
        <w:b/>
        <w:color w:val="3e70a3" w:themeColor="accent1" w:themeTint="80" w:themeShade="95"/>
      </w:rPr>
      <w:pPr>
        <w:pBdr/>
        <w:spacing/>
        <w:ind/>
      </w:pPr>
      <w:tblPr>
        <w:tblBorders/>
      </w:tblPr>
      <w:tcPr>
        <w:tcBorders/>
      </w:tcPr>
    </w:tblStylePr>
    <w:tblStylePr w:type="lastRow">
      <w:rPr>
        <w:b/>
        <w:color w:val="3e70a3"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12"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3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02f" w:themeColor="accent3" w:themeTint="FE" w:themeShade="95"/>
      </w:rPr>
      <w:pPr>
        <w:pBdr/>
        <w:spacing/>
        <w:ind/>
      </w:pPr>
      <w:tblPr>
        <w:tblBorders/>
      </w:tblPr>
      <w:tcPr>
        <w:tcBorders/>
      </w:tcPr>
    </w:tblStylePr>
    <w:tblStylePr w:type="firstRow">
      <w:rPr>
        <w:b/>
        <w:color w:val="5c70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02f" w:themeColor="accent3" w:themeTint="FE" w:themeShade="95"/>
      </w:rPr>
      <w:pPr>
        <w:pBdr/>
        <w:spacing/>
        <w:ind/>
      </w:pPr>
      <w:tblPr>
        <w:tblBorders/>
      </w:tblPr>
      <w:tcPr>
        <w:tcBorders/>
      </w:tcPr>
    </w:tblStylePr>
    <w:tblStylePr w:type="lastRow">
      <w:rPr>
        <w:b/>
        <w:color w:val="5c70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3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5"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3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6"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3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3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70a3"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3e70a3"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70a3"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3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3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02f"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5c70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0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3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3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777"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77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3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05307" w:themeColor="accent6"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b053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05307"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3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3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3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3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3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3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3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3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3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3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1cd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3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9bf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3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3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3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3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3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3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3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3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3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cPr>
      <w:tcBorders/>
    </w:tcPr>
    <w:tblStylePr w:type="band1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3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cPr>
      <w:tcBorders/>
    </w:tcPr>
    <w:tblStylePr w:type="band1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3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cPr>
      <w:tcBorders/>
    </w:tcPr>
    <w:tblStylePr w:type="band1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3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cPr>
      <w:tcBorders/>
    </w:tcPr>
    <w:tblStylePr w:type="band1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3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cPr>
      <w:tcBorders/>
    </w:tcPr>
    <w:tblStylePr w:type="band1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3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3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b71" w:themeColor="accent1" w:themeShade="95"/>
      </w:rPr>
      <w:pPr>
        <w:pBdr/>
        <w:spacing/>
        <w:ind/>
      </w:pPr>
      <w:tblPr>
        <w:tblBorders/>
      </w:tblPr>
      <w:tcPr>
        <w:tcBorders/>
      </w:tcPr>
    </w:tblStylePr>
    <w:tblStylePr w:type="firstRow">
      <w:rPr>
        <w:b/>
        <w:color w:val="2a4b71" w:themeColor="accent1" w:themeShade="95"/>
      </w:rPr>
      <w:pPr>
        <w:pBdr/>
        <w:spacing/>
        <w:ind/>
      </w:pPr>
      <w:tblPr>
        <w:tblBorders/>
      </w:tblPr>
      <w:tcPr>
        <w:tcBorders>
          <w:bottom w:val="single" w:color="000000" w:themeColor="accent1" w:sz="4" w:space="0"/>
        </w:tcBorders>
      </w:tcPr>
    </w:tblStylePr>
    <w:tblStylePr w:type="lastCol">
      <w:rPr>
        <w:b/>
        <w:color w:val="2a4b71" w:themeColor="accent1" w:themeShade="95"/>
      </w:rPr>
      <w:pPr>
        <w:pBdr/>
        <w:spacing/>
        <w:ind/>
      </w:pPr>
      <w:tblPr>
        <w:tblBorders/>
      </w:tblPr>
      <w:tcPr>
        <w:tcBorders/>
      </w:tcPr>
    </w:tblStylePr>
    <w:tblStylePr w:type="lastRow">
      <w:rPr>
        <w:b/>
        <w:color w:val="2a4b71"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3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4"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3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83f" w:themeColor="accent3" w:themeTint="98" w:themeShade="95"/>
      </w:rPr>
      <w:pPr>
        <w:pBdr/>
        <w:spacing/>
        <w:ind/>
      </w:pPr>
      <w:tblPr>
        <w:tblBorders/>
      </w:tblPr>
      <w:tcPr>
        <w:tcBorders/>
      </w:tcPr>
    </w:tblStylePr>
    <w:tblStylePr w:type="firstRow">
      <w:rPr>
        <w:b/>
        <w:color w:val="7c98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83f" w:themeColor="accent3" w:themeTint="98" w:themeShade="95"/>
      </w:rPr>
      <w:pPr>
        <w:pBdr/>
        <w:spacing/>
        <w:ind/>
      </w:pPr>
      <w:tblPr>
        <w:tblBorders/>
      </w:tblPr>
      <w:tcPr>
        <w:tcBorders/>
      </w:tcPr>
    </w:tblStylePr>
    <w:tblStylePr w:type="lastRow">
      <w:rPr>
        <w:b/>
        <w:color w:val="7c98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3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3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aa0" w:themeColor="accent5" w:themeTint="9A" w:themeShade="95"/>
      </w:rPr>
      <w:pPr>
        <w:pBdr/>
        <w:spacing/>
        <w:ind/>
      </w:pPr>
      <w:tblPr>
        <w:tblBorders/>
      </w:tblPr>
      <w:tcPr>
        <w:tcBorders/>
      </w:tcPr>
    </w:tblStylePr>
    <w:tblStylePr w:type="firstRow">
      <w:rPr>
        <w:b/>
        <w:color w:val="338aa0" w:themeColor="accent5" w:themeTint="9A" w:themeShade="95"/>
      </w:rPr>
      <w:pPr>
        <w:pBdr/>
        <w:spacing/>
        <w:ind/>
      </w:pPr>
      <w:tblPr>
        <w:tblBorders/>
      </w:tblPr>
      <w:tcPr>
        <w:tcBorders>
          <w:bottom w:val="single" w:color="000000" w:themeColor="accent5" w:themeTint="9A" w:sz="4" w:space="0"/>
        </w:tcBorders>
      </w:tcPr>
    </w:tblStylePr>
    <w:tblStylePr w:type="lastCol">
      <w:rPr>
        <w:b/>
        <w:color w:val="338aa0" w:themeColor="accent5" w:themeTint="9A" w:themeShade="95"/>
      </w:rPr>
      <w:pPr>
        <w:pBdr/>
        <w:spacing/>
        <w:ind/>
      </w:pPr>
      <w:tblPr>
        <w:tblBorders/>
      </w:tblPr>
      <w:tcPr>
        <w:tcBorders/>
      </w:tcPr>
    </w:tblStylePr>
    <w:tblStylePr w:type="lastRow">
      <w:rPr>
        <w:b/>
        <w:color w:val="338a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3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680c" w:themeColor="accent6" w:themeTint="98" w:themeShade="95"/>
      </w:rPr>
      <w:pPr>
        <w:pBdr/>
        <w:spacing/>
        <w:ind/>
      </w:pPr>
      <w:tblPr>
        <w:tblBorders/>
      </w:tblPr>
      <w:tcPr>
        <w:tcBorders/>
      </w:tcPr>
    </w:tblStylePr>
    <w:tblStylePr w:type="firstRow">
      <w:rPr>
        <w:b/>
        <w:color w:val="d9680c" w:themeColor="accent6" w:themeTint="98" w:themeShade="95"/>
      </w:rPr>
      <w:pPr>
        <w:pBdr/>
        <w:spacing/>
        <w:ind/>
      </w:pPr>
      <w:tblPr>
        <w:tblBorders/>
      </w:tblPr>
      <w:tcPr>
        <w:tcBorders>
          <w:bottom w:val="single" w:color="000000" w:themeColor="accent6" w:themeTint="98" w:sz="4" w:space="0"/>
        </w:tcBorders>
      </w:tcPr>
    </w:tblStylePr>
    <w:tblStylePr w:type="lastCol">
      <w:rPr>
        <w:b/>
        <w:color w:val="d9680c" w:themeColor="accent6" w:themeTint="98" w:themeShade="95"/>
      </w:rPr>
      <w:pPr>
        <w:pBdr/>
        <w:spacing/>
        <w:ind/>
      </w:pPr>
      <w:tblPr>
        <w:tblBorders/>
      </w:tblPr>
      <w:tcPr>
        <w:tcBorders/>
      </w:tcPr>
    </w:tblStylePr>
    <w:tblStylePr w:type="lastRow">
      <w:rPr>
        <w:b/>
        <w:color w:val="d9680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3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3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a4b71"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2a4b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b71"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a4b71" w:themeColor="accent1" w:themeShade="95"/>
        <w:sz w:val="22"/>
      </w:rPr>
      <w:pPr>
        <w:pBdr/>
        <w:spacing/>
        <w:ind/>
      </w:pPr>
      <w:tblPr>
        <w:tblBorders/>
      </w:tblPr>
      <w:tcPr>
        <w:tcBorders/>
      </w:tcPr>
    </w:tblStylePr>
  </w:style>
  <w:style w:type="table" w:styleId="148">
    <w:name w:val="List Table 7 Colorful - Accent 2"/>
    <w:basedOn w:val="3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c3a37" w:themeColor="accent2" w:themeTint="97" w:themeShade="95"/>
        <w:sz w:val="22"/>
      </w:rPr>
      <w:pPr>
        <w:pBdr/>
        <w:spacing/>
        <w:ind/>
      </w:pPr>
      <w:tblPr>
        <w:tblBorders/>
      </w:tblPr>
      <w:tcPr>
        <w:tcBorders/>
      </w:tcPr>
    </w:tblStylePr>
  </w:style>
  <w:style w:type="table" w:styleId="149">
    <w:name w:val="List Table 7 Colorful - Accent 3"/>
    <w:basedOn w:val="3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8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8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8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83f" w:themeColor="accent3" w:themeTint="98" w:themeShade="95"/>
        <w:sz w:val="22"/>
      </w:rPr>
      <w:pPr>
        <w:pBdr/>
        <w:spacing/>
        <w:ind/>
      </w:pPr>
      <w:tblPr>
        <w:tblBorders/>
      </w:tblPr>
      <w:tcPr>
        <w:tcBorders/>
      </w:tcPr>
    </w:tblStylePr>
  </w:style>
  <w:style w:type="table" w:styleId="150">
    <w:name w:val="List Table 7 Colorful - Accent 4"/>
    <w:basedOn w:val="3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2" w:themeColor="accent4" w:themeTint="9A" w:themeShade="95"/>
        <w:sz w:val="22"/>
      </w:rPr>
      <w:pPr>
        <w:pBdr/>
        <w:spacing/>
        <w:ind/>
      </w:pPr>
      <w:tblPr>
        <w:tblBorders/>
      </w:tblPr>
      <w:tcPr>
        <w:tcBorders/>
      </w:tcPr>
    </w:tblStylePr>
  </w:style>
  <w:style w:type="table" w:styleId="151">
    <w:name w:val="List Table 7 Colorful - Accent 5"/>
    <w:basedOn w:val="3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aa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338a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aa0"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aa0" w:themeColor="accent5" w:themeTint="9A" w:themeShade="95"/>
        <w:sz w:val="22"/>
      </w:rPr>
      <w:pPr>
        <w:pBdr/>
        <w:spacing/>
        <w:ind/>
      </w:pPr>
      <w:tblPr>
        <w:tblBorders/>
      </w:tblPr>
      <w:tcPr>
        <w:tcBorders/>
      </w:tcPr>
    </w:tblStylePr>
  </w:style>
  <w:style w:type="table" w:styleId="152">
    <w:name w:val="List Table 7 Colorful - Accent 6"/>
    <w:basedOn w:val="3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9680c"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d9680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680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9680c" w:themeColor="accent6" w:themeTint="98" w:themeShade="95"/>
        <w:sz w:val="22"/>
      </w:rPr>
      <w:pPr>
        <w:pBdr/>
        <w:spacing/>
        <w:ind/>
      </w:pPr>
      <w:tblPr>
        <w:tblBorders/>
      </w:tblPr>
      <w:tcPr>
        <w:tcBorders/>
      </w:tcPr>
    </w:tblStylePr>
  </w:style>
  <w:style w:type="table" w:styleId="153">
    <w:name w:val="Lined - Accent"/>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3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3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3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3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3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3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3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3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616"/>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11"/>
    <w:uiPriority w:val="99"/>
    <w:unhideWhenUsed/>
    <w:pPr>
      <w:pBdr/>
      <w:spacing/>
      <w:ind/>
    </w:pPr>
    <w:rPr>
      <w:vertAlign w:val="superscript"/>
    </w:rPr>
  </w:style>
  <w:style w:type="paragraph" w:styleId="178">
    <w:name w:val="endnote text"/>
    <w:basedOn w:val="616"/>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11"/>
    <w:uiPriority w:val="99"/>
    <w:semiHidden/>
    <w:unhideWhenUsed/>
    <w:pPr>
      <w:pBdr/>
      <w:spacing/>
      <w:ind/>
    </w:pPr>
    <w:rPr>
      <w:vertAlign w:val="superscript"/>
    </w:rPr>
  </w:style>
  <w:style w:type="paragraph" w:styleId="181">
    <w:name w:val="toc 1"/>
    <w:basedOn w:val="616"/>
    <w:next w:val="616"/>
    <w:uiPriority w:val="39"/>
    <w:unhideWhenUsed/>
    <w:pPr>
      <w:pBdr/>
      <w:spacing w:after="57"/>
      <w:ind w:right="0" w:firstLine="0" w:left="0"/>
    </w:pPr>
  </w:style>
  <w:style w:type="paragraph" w:styleId="182">
    <w:name w:val="toc 2"/>
    <w:basedOn w:val="616"/>
    <w:next w:val="616"/>
    <w:uiPriority w:val="39"/>
    <w:unhideWhenUsed/>
    <w:pPr>
      <w:pBdr/>
      <w:spacing w:after="57"/>
      <w:ind w:right="0" w:firstLine="0" w:left="283"/>
    </w:pPr>
  </w:style>
  <w:style w:type="paragraph" w:styleId="183">
    <w:name w:val="toc 3"/>
    <w:basedOn w:val="616"/>
    <w:next w:val="616"/>
    <w:uiPriority w:val="39"/>
    <w:unhideWhenUsed/>
    <w:pPr>
      <w:pBdr/>
      <w:spacing w:after="57"/>
      <w:ind w:right="0" w:firstLine="0" w:left="567"/>
    </w:pPr>
  </w:style>
  <w:style w:type="paragraph" w:styleId="184">
    <w:name w:val="toc 4"/>
    <w:basedOn w:val="616"/>
    <w:next w:val="616"/>
    <w:uiPriority w:val="39"/>
    <w:unhideWhenUsed/>
    <w:pPr>
      <w:pBdr/>
      <w:spacing w:after="57"/>
      <w:ind w:right="0" w:firstLine="0" w:left="850"/>
    </w:pPr>
  </w:style>
  <w:style w:type="paragraph" w:styleId="185">
    <w:name w:val="toc 5"/>
    <w:basedOn w:val="616"/>
    <w:next w:val="616"/>
    <w:uiPriority w:val="39"/>
    <w:unhideWhenUsed/>
    <w:pPr>
      <w:pBdr/>
      <w:spacing w:after="57"/>
      <w:ind w:right="0" w:firstLine="0" w:left="1134"/>
    </w:pPr>
  </w:style>
  <w:style w:type="paragraph" w:styleId="186">
    <w:name w:val="toc 6"/>
    <w:basedOn w:val="616"/>
    <w:next w:val="616"/>
    <w:uiPriority w:val="39"/>
    <w:unhideWhenUsed/>
    <w:pPr>
      <w:pBdr/>
      <w:spacing w:after="57"/>
      <w:ind w:right="0" w:firstLine="0" w:left="1417"/>
    </w:pPr>
  </w:style>
  <w:style w:type="paragraph" w:styleId="187">
    <w:name w:val="toc 7"/>
    <w:basedOn w:val="616"/>
    <w:next w:val="616"/>
    <w:uiPriority w:val="39"/>
    <w:unhideWhenUsed/>
    <w:pPr>
      <w:pBdr/>
      <w:spacing w:after="57"/>
      <w:ind w:right="0" w:firstLine="0" w:left="1701"/>
    </w:pPr>
  </w:style>
  <w:style w:type="paragraph" w:styleId="188">
    <w:name w:val="toc 8"/>
    <w:basedOn w:val="616"/>
    <w:next w:val="616"/>
    <w:uiPriority w:val="39"/>
    <w:unhideWhenUsed/>
    <w:pPr>
      <w:pBdr/>
      <w:spacing w:after="57"/>
      <w:ind w:right="0" w:firstLine="0" w:left="1984"/>
    </w:pPr>
  </w:style>
  <w:style w:type="paragraph" w:styleId="189">
    <w:name w:val="toc 9"/>
    <w:basedOn w:val="616"/>
    <w:next w:val="616"/>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16"/>
    <w:next w:val="616"/>
    <w:uiPriority w:val="99"/>
    <w:unhideWhenUsed/>
    <w:pPr>
      <w:pBdr/>
      <w:spacing w:after="0" w:afterAutospacing="0"/>
      <w:ind/>
    </w:pPr>
  </w:style>
  <w:style w:type="paragraph" w:styleId="616" w:default="1">
    <w:name w:val="Normal"/>
    <w:next w:val="619"/>
    <w:link w:val="616"/>
    <w:qFormat/>
    <w:pPr>
      <w:widowControl w:val="false"/>
      <w:pBdr/>
      <w:spacing/>
      <w:ind/>
      <w:jc w:val="both"/>
    </w:pPr>
    <w:rPr>
      <w:rFonts w:ascii="Calibri" w:hAnsi="Calibri" w:eastAsia="宋体" w:cs="Calibri"/>
      <w:sz w:val="21"/>
      <w:szCs w:val="21"/>
      <w:lang w:val="en-US" w:eastAsia="zh-CN" w:bidi="ar-SA"/>
    </w:rPr>
  </w:style>
  <w:style w:type="character" w:styleId="617">
    <w:name w:val="默认段落字体"/>
    <w:next w:val="617"/>
    <w:link w:val="616"/>
    <w:uiPriority w:val="1"/>
    <w:unhideWhenUsed/>
    <w:qFormat/>
    <w:pPr>
      <w:pBdr/>
      <w:spacing/>
      <w:ind/>
    </w:pPr>
  </w:style>
  <w:style w:type="table" w:styleId="618">
    <w:name w:val="普通表格"/>
    <w:next w:val="618"/>
    <w:link w:val="616"/>
    <w:uiPriority w:val="99"/>
    <w:unhideWhenUsed/>
    <w:qFormat/>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19">
    <w:name w:val="正文首行缩进 2"/>
    <w:basedOn w:val="620"/>
    <w:next w:val="619"/>
    <w:link w:val="616"/>
    <w:uiPriority w:val="99"/>
    <w:qFormat/>
    <w:pPr>
      <w:pBdr/>
      <w:spacing/>
      <w:ind w:firstLine="420"/>
    </w:pPr>
  </w:style>
  <w:style w:type="paragraph" w:styleId="620">
    <w:name w:val="正文文本缩进"/>
    <w:basedOn w:val="616"/>
    <w:next w:val="620"/>
    <w:link w:val="621"/>
    <w:qFormat/>
    <w:pPr>
      <w:widowControl w:val="true"/>
      <w:pBdr/>
      <w:spacing w:after="100" w:afterAutospacing="1" w:before="100" w:beforeAutospacing="1"/>
      <w:ind/>
      <w:jc w:val="left"/>
    </w:pPr>
    <w:rPr>
      <w:rFonts w:ascii="宋体" w:hAnsi="宋体" w:cs="宋体"/>
      <w:sz w:val="24"/>
      <w:szCs w:val="24"/>
    </w:rPr>
  </w:style>
  <w:style w:type="character" w:styleId="621">
    <w:name w:val="正文文本缩进 Char"/>
    <w:basedOn w:val="617"/>
    <w:next w:val="621"/>
    <w:link w:val="620"/>
    <w:qFormat/>
    <w:pPr>
      <w:pBdr/>
      <w:spacing/>
      <w:ind/>
    </w:pPr>
    <w:rPr>
      <w:rFonts w:ascii="宋体" w:hAnsi="宋体" w:eastAsia="宋体" w:cs="宋体"/>
      <w:sz w:val="24"/>
      <w:szCs w:val="24"/>
    </w:rPr>
  </w:style>
  <w:style w:type="paragraph" w:styleId="622">
    <w:name w:val="批注框文本"/>
    <w:basedOn w:val="616"/>
    <w:next w:val="622"/>
    <w:link w:val="623"/>
    <w:uiPriority w:val="99"/>
    <w:unhideWhenUsed/>
    <w:pPr>
      <w:pBdr/>
      <w:spacing/>
      <w:ind/>
    </w:pPr>
    <w:rPr>
      <w:sz w:val="18"/>
      <w:szCs w:val="18"/>
    </w:rPr>
  </w:style>
  <w:style w:type="character" w:styleId="623">
    <w:name w:val="批注框文本 Char"/>
    <w:basedOn w:val="617"/>
    <w:next w:val="623"/>
    <w:link w:val="622"/>
    <w:uiPriority w:val="99"/>
    <w:semiHidden/>
    <w:qFormat/>
    <w:pPr>
      <w:pBdr/>
      <w:spacing/>
      <w:ind/>
    </w:pPr>
    <w:rPr>
      <w:rFonts w:ascii="Calibri" w:hAnsi="Calibri" w:eastAsia="宋体" w:cs="Calibri"/>
      <w:sz w:val="18"/>
      <w:szCs w:val="18"/>
    </w:rPr>
  </w:style>
  <w:style w:type="paragraph" w:styleId="624">
    <w:name w:val="页脚"/>
    <w:basedOn w:val="616"/>
    <w:next w:val="624"/>
    <w:link w:val="625"/>
    <w:uiPriority w:val="99"/>
    <w:unhideWhenUsed/>
    <w:qFormat/>
    <w:pPr>
      <w:pBdr/>
      <w:tabs>
        <w:tab w:val="center" w:leader="none" w:pos="4153"/>
        <w:tab w:val="right" w:leader="none" w:pos="8306"/>
      </w:tabs>
      <w:spacing/>
      <w:ind/>
      <w:jc w:val="left"/>
    </w:pPr>
    <w:rPr>
      <w:sz w:val="18"/>
      <w:szCs w:val="18"/>
    </w:rPr>
  </w:style>
  <w:style w:type="character" w:styleId="625">
    <w:name w:val="页脚 Char"/>
    <w:basedOn w:val="617"/>
    <w:next w:val="625"/>
    <w:link w:val="624"/>
    <w:uiPriority w:val="99"/>
    <w:qFormat/>
    <w:pPr>
      <w:pBdr/>
      <w:spacing/>
      <w:ind/>
    </w:pPr>
    <w:rPr>
      <w:rFonts w:ascii="Calibri" w:hAnsi="Calibri" w:eastAsia="宋体" w:cs="Calibri"/>
      <w:sz w:val="18"/>
      <w:szCs w:val="18"/>
    </w:rPr>
  </w:style>
  <w:style w:type="paragraph" w:styleId="626">
    <w:name w:val="页眉"/>
    <w:basedOn w:val="616"/>
    <w:next w:val="626"/>
    <w:link w:val="627"/>
    <w:uiPriority w:val="99"/>
    <w:unhideWhenUsed/>
    <w:qFormat/>
    <w:pPr>
      <w:pBdr>
        <w:bottom w:val="single" w:color="000000" w:sz="6" w:space="1"/>
      </w:pBdr>
      <w:tabs>
        <w:tab w:val="center" w:leader="none" w:pos="4153"/>
        <w:tab w:val="right" w:leader="none" w:pos="8306"/>
      </w:tabs>
      <w:spacing/>
      <w:ind/>
      <w:jc w:val="center"/>
    </w:pPr>
    <w:rPr>
      <w:sz w:val="18"/>
      <w:szCs w:val="18"/>
    </w:rPr>
  </w:style>
  <w:style w:type="character" w:styleId="627">
    <w:name w:val="页眉 Char"/>
    <w:basedOn w:val="617"/>
    <w:next w:val="627"/>
    <w:link w:val="626"/>
    <w:uiPriority w:val="99"/>
    <w:qFormat/>
    <w:pPr>
      <w:pBdr/>
      <w:spacing/>
      <w:ind/>
    </w:pPr>
    <w:rPr>
      <w:rFonts w:ascii="Calibri" w:hAnsi="Calibri" w:eastAsia="宋体" w:cs="Calibri"/>
      <w:sz w:val="18"/>
      <w:szCs w:val="18"/>
    </w:rPr>
  </w:style>
  <w:style w:type="paragraph" w:styleId="628">
    <w:name w:val="普通(网站)"/>
    <w:basedOn w:val="616"/>
    <w:next w:val="628"/>
    <w:link w:val="616"/>
    <w:qFormat/>
    <w:pPr>
      <w:pBdr/>
      <w:spacing/>
      <w:ind/>
      <w:jc w:val="left"/>
    </w:pPr>
    <w:rPr>
      <w:rFonts w:cs="Times New Roman"/>
      <w:sz w:val="24"/>
      <w:szCs w:val="24"/>
    </w:rPr>
  </w:style>
  <w:style w:type="paragraph" w:styleId="629">
    <w:name w:val="List Paragraph"/>
    <w:basedOn w:val="616"/>
    <w:next w:val="629"/>
    <w:link w:val="616"/>
    <w:uiPriority w:val="99"/>
    <w:qFormat/>
    <w:pPr>
      <w:pBdr/>
      <w:spacing/>
      <w:ind w:firstLine="420"/>
    </w:pPr>
  </w:style>
  <w:style w:type="paragraph" w:styleId="630">
    <w:name w:val="cjk"/>
    <w:basedOn w:val="616"/>
    <w:next w:val="630"/>
    <w:link w:val="616"/>
    <w:qFormat/>
    <w:pPr>
      <w:widowControl w:val="true"/>
      <w:pBdr/>
      <w:spacing w:after="119" w:before="100" w:beforeAutospacing="1"/>
      <w:ind/>
    </w:pPr>
    <w:rPr>
      <w:rFonts w:ascii="宋体" w:hAnsi="宋体" w:cs="宋体"/>
      <w:color w:val="000000"/>
      <w:sz w:val="20"/>
      <w:szCs w:val="20"/>
    </w:rPr>
  </w:style>
  <w:style w:type="character" w:styleId="1158" w:default="1">
    <w:name w:val="Default Paragraph Font"/>
    <w:uiPriority w:val="1"/>
    <w:semiHidden/>
    <w:unhideWhenUsed/>
    <w:pPr>
      <w:pBdr/>
      <w:spacing/>
      <w:ind/>
    </w:pPr>
  </w:style>
  <w:style w:type="numbering" w:styleId="1159" w:default="1">
    <w:name w:val="No List"/>
    <w:uiPriority w:val="99"/>
    <w:semiHidden/>
    <w:unhideWhenUsed/>
    <w:pPr>
      <w:pBdr/>
      <w:spacing/>
      <w:ind/>
    </w:pPr>
  </w:style>
  <w:style w:type="table" w:styleId="1160" w:default="1">
    <w:name w:val="Normal Table"/>
    <w:uiPriority w:val="99"/>
    <w:semiHidden/>
    <w:unhideWhenUsed/>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ONLYOFFICE/7.5.1.23</Application>
  <Company/>
  <DocSecurity>0</DocSecurity>
  <ScaleCrop>false</ScaleCrop>
  <Template>2021年度道县公安局部门整</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dc:creator>
  <cp:lastModifiedBy>匿名</cp:lastModifiedBy>
  <cp:revision>4</cp:revision>
  <dcterms:created xsi:type="dcterms:W3CDTF">2023-09-28T03:26:00Z</dcterms:created>
  <dcterms:modified xsi:type="dcterms:W3CDTF">2025-11-24T07:18:36Z</dcterms:modified>
</cp:coreProperties>
</file>