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hint="eastAsia"/>
          <w:sz w:val="56"/>
          <w:szCs w:val="56"/>
        </w:rPr>
      </w:pPr>
    </w:p>
    <w:p>
      <w:pPr>
        <w:pStyle w:val="10"/>
        <w:jc w:val="center"/>
        <w:rPr>
          <w:sz w:val="56"/>
          <w:szCs w:val="56"/>
        </w:rPr>
      </w:pPr>
    </w:p>
    <w:p>
      <w:pPr>
        <w:pStyle w:val="10"/>
        <w:jc w:val="center"/>
        <w:rPr>
          <w:sz w:val="84"/>
          <w:szCs w:val="84"/>
        </w:rPr>
      </w:pPr>
    </w:p>
    <w:p>
      <w:pPr>
        <w:pStyle w:val="10"/>
        <w:jc w:val="center"/>
        <w:rPr>
          <w:sz w:val="84"/>
          <w:szCs w:val="84"/>
        </w:rPr>
      </w:pPr>
    </w:p>
    <w:p>
      <w:pPr>
        <w:pStyle w:val="10"/>
        <w:jc w:val="center"/>
        <w:rPr>
          <w:sz w:val="84"/>
          <w:szCs w:val="84"/>
        </w:rPr>
      </w:pPr>
      <w:bookmarkStart w:id="3" w:name="_GoBack"/>
      <w:r>
        <w:rPr>
          <w:rFonts w:hint="eastAsia"/>
          <w:sz w:val="84"/>
          <w:szCs w:val="84"/>
        </w:rPr>
        <w:t>2021年度</w:t>
      </w:r>
    </w:p>
    <w:p>
      <w:pPr>
        <w:pStyle w:val="10"/>
        <w:jc w:val="center"/>
        <w:rPr>
          <w:sz w:val="84"/>
          <w:szCs w:val="84"/>
        </w:rPr>
      </w:pPr>
      <w:r>
        <w:rPr>
          <w:rFonts w:hint="eastAsia"/>
          <w:sz w:val="84"/>
          <w:szCs w:val="84"/>
          <w:lang w:eastAsia="zh-CN"/>
        </w:rPr>
        <w:t>道县财政局</w:t>
      </w:r>
      <w:r>
        <w:rPr>
          <w:rFonts w:hint="eastAsia"/>
          <w:sz w:val="84"/>
          <w:szCs w:val="84"/>
        </w:rPr>
        <w:t>部门决算</w:t>
      </w:r>
    </w:p>
    <w:bookmarkEnd w:id="3"/>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56"/>
          <w:szCs w:val="56"/>
        </w:rPr>
      </w:pPr>
    </w:p>
    <w:p>
      <w:pPr>
        <w:pStyle w:val="10"/>
        <w:jc w:val="center"/>
        <w:rPr>
          <w:sz w:val="32"/>
          <w:szCs w:val="32"/>
        </w:rPr>
      </w:pPr>
    </w:p>
    <w:p>
      <w:pPr>
        <w:pStyle w:val="10"/>
        <w:jc w:val="center"/>
        <w:rPr>
          <w:sz w:val="32"/>
          <w:szCs w:val="32"/>
        </w:rPr>
      </w:pPr>
    </w:p>
    <w:p>
      <w:pPr>
        <w:pStyle w:val="10"/>
        <w:jc w:val="center"/>
        <w:rPr>
          <w:sz w:val="32"/>
          <w:szCs w:val="32"/>
        </w:rPr>
      </w:pPr>
    </w:p>
    <w:p>
      <w:pPr>
        <w:pStyle w:val="10"/>
        <w:jc w:val="center"/>
        <w:rPr>
          <w:sz w:val="32"/>
          <w:szCs w:val="32"/>
        </w:rPr>
      </w:pPr>
    </w:p>
    <w:p>
      <w:pPr>
        <w:pStyle w:val="10"/>
        <w:jc w:val="center"/>
        <w:rPr>
          <w:sz w:val="32"/>
          <w:szCs w:val="32"/>
        </w:rPr>
      </w:pPr>
    </w:p>
    <w:p>
      <w:pPr>
        <w:pStyle w:val="10"/>
        <w:spacing w:line="540" w:lineRule="exact"/>
        <w:jc w:val="center"/>
        <w:rPr>
          <w:sz w:val="56"/>
          <w:szCs w:val="56"/>
        </w:rPr>
      </w:pPr>
    </w:p>
    <w:p>
      <w:pPr>
        <w:pStyle w:val="10"/>
        <w:spacing w:line="500" w:lineRule="exact"/>
        <w:jc w:val="center"/>
        <w:rPr>
          <w:b/>
          <w:sz w:val="36"/>
          <w:szCs w:val="28"/>
        </w:rPr>
      </w:pPr>
    </w:p>
    <w:p>
      <w:pPr>
        <w:pStyle w:val="10"/>
        <w:spacing w:line="500" w:lineRule="exact"/>
        <w:jc w:val="center"/>
        <w:rPr>
          <w:b/>
          <w:sz w:val="36"/>
          <w:szCs w:val="28"/>
        </w:rPr>
      </w:pPr>
    </w:p>
    <w:p>
      <w:pPr>
        <w:pStyle w:val="10"/>
        <w:spacing w:line="500" w:lineRule="exact"/>
        <w:jc w:val="center"/>
        <w:rPr>
          <w:b/>
          <w:sz w:val="36"/>
          <w:szCs w:val="28"/>
        </w:rPr>
      </w:pPr>
      <w:r>
        <w:rPr>
          <w:rFonts w:hint="eastAsia"/>
          <w:b/>
          <w:sz w:val="36"/>
          <w:szCs w:val="28"/>
        </w:rPr>
        <w:t>目录</w:t>
      </w:r>
    </w:p>
    <w:p>
      <w:pPr>
        <w:pStyle w:val="10"/>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 xml:space="preserve"> </w:t>
      </w:r>
      <w:r>
        <w:rPr>
          <w:rFonts w:hint="eastAsia"/>
          <w:b/>
          <w:sz w:val="28"/>
          <w:szCs w:val="28"/>
          <w:lang w:eastAsia="zh-CN"/>
        </w:rPr>
        <w:t>道县财政局</w:t>
      </w:r>
      <w:r>
        <w:rPr>
          <w:rFonts w:hint="eastAsia"/>
          <w:b/>
          <w:sz w:val="28"/>
          <w:szCs w:val="28"/>
        </w:rPr>
        <w:t>概况</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val="en-US" w:eastAsia="zh-CN"/>
        </w:rPr>
        <w:t xml:space="preserve"> </w:t>
      </w:r>
      <w:r>
        <w:rPr>
          <w:rFonts w:hAnsi="仿宋_GB2312"/>
          <w:b/>
          <w:sz w:val="28"/>
          <w:szCs w:val="28"/>
        </w:rPr>
        <w:t>20</w:t>
      </w:r>
      <w:r>
        <w:rPr>
          <w:rFonts w:hint="eastAsia" w:hAnsi="仿宋_GB2312"/>
          <w:b/>
          <w:sz w:val="28"/>
          <w:szCs w:val="28"/>
        </w:rPr>
        <w:t>21年度部门决算表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val="en-US" w:eastAsia="zh-CN"/>
        </w:rPr>
        <w:t xml:space="preserve"> </w:t>
      </w:r>
      <w:r>
        <w:rPr>
          <w:rFonts w:hAnsi="仿宋_GB2312"/>
          <w:b/>
          <w:sz w:val="28"/>
          <w:szCs w:val="28"/>
        </w:rPr>
        <w:t>20</w:t>
      </w:r>
      <w:r>
        <w:rPr>
          <w:rFonts w:hint="eastAsia" w:hAnsi="仿宋_GB2312"/>
          <w:b/>
          <w:sz w:val="28"/>
          <w:szCs w:val="28"/>
        </w:rPr>
        <w:t>21年度部门决算情况说明</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w:t>
      </w:r>
      <w:r>
        <w:rPr>
          <w:rFonts w:hint="eastAsia" w:ascii="黑体" w:hAnsi="黑体" w:eastAsia="黑体" w:cs="黑体"/>
          <w:b/>
          <w:color w:val="000000"/>
          <w:kern w:val="0"/>
          <w:sz w:val="28"/>
          <w:szCs w:val="28"/>
          <w:lang w:val="en-US" w:eastAsia="zh-CN"/>
        </w:rPr>
        <w:t xml:space="preserve"> </w:t>
      </w:r>
      <w:r>
        <w:rPr>
          <w:rFonts w:ascii="黑体" w:hAnsi="黑体" w:eastAsia="黑体" w:cs="黑体"/>
          <w:b/>
          <w:color w:val="000000"/>
          <w:kern w:val="0"/>
          <w:sz w:val="28"/>
          <w:szCs w:val="28"/>
        </w:rPr>
        <w:t>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w:t>
      </w:r>
      <w:r>
        <w:rPr>
          <w:rFonts w:hint="eastAsia" w:ascii="黑体" w:hAnsi="黑体" w:eastAsia="黑体" w:cs="黑体"/>
          <w:b/>
          <w:color w:val="000000"/>
          <w:kern w:val="0"/>
          <w:sz w:val="28"/>
          <w:szCs w:val="28"/>
          <w:lang w:val="en-US" w:eastAsia="zh-CN"/>
        </w:rPr>
        <w:t xml:space="preserve"> </w:t>
      </w:r>
      <w:r>
        <w:rPr>
          <w:rFonts w:hint="eastAsia" w:ascii="黑体" w:hAnsi="黑体" w:eastAsia="黑体" w:cs="黑体"/>
          <w:b/>
          <w:color w:val="000000"/>
          <w:kern w:val="0"/>
          <w:sz w:val="28"/>
          <w:szCs w:val="28"/>
        </w:rPr>
        <w:t>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10"/>
        <w:jc w:val="center"/>
        <w:rPr>
          <w:sz w:val="84"/>
          <w:szCs w:val="84"/>
        </w:rPr>
      </w:pPr>
      <w:r>
        <w:rPr>
          <w:rFonts w:hint="eastAsia"/>
          <w:sz w:val="84"/>
          <w:szCs w:val="84"/>
        </w:rPr>
        <w:t>第一部分</w:t>
      </w:r>
      <w:r>
        <w:rPr>
          <w:sz w:val="84"/>
          <w:szCs w:val="84"/>
        </w:rPr>
        <w:t xml:space="preserve"> </w:t>
      </w:r>
    </w:p>
    <w:p>
      <w:pPr>
        <w:pStyle w:val="10"/>
        <w:jc w:val="center"/>
        <w:rPr>
          <w:sz w:val="84"/>
          <w:szCs w:val="84"/>
        </w:rPr>
      </w:pPr>
    </w:p>
    <w:p>
      <w:pPr>
        <w:pStyle w:val="10"/>
        <w:jc w:val="center"/>
        <w:rPr>
          <w:sz w:val="84"/>
          <w:szCs w:val="84"/>
        </w:rPr>
      </w:pPr>
      <w:r>
        <w:rPr>
          <w:rFonts w:hint="eastAsia"/>
          <w:sz w:val="84"/>
          <w:szCs w:val="84"/>
          <w:lang w:eastAsia="zh-CN"/>
        </w:rPr>
        <w:t>道县财政局</w:t>
      </w:r>
      <w:r>
        <w:rPr>
          <w:rFonts w:hint="eastAsia"/>
          <w:sz w:val="84"/>
          <w:szCs w:val="84"/>
        </w:rPr>
        <w:t>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1"/>
        <w:ind w:left="720" w:firstLine="0" w:firstLineChars="0"/>
        <w:jc w:val="left"/>
        <w:rPr>
          <w:rFonts w:ascii="黑体" w:hAnsi="黑体" w:eastAsia="黑体"/>
          <w:sz w:val="32"/>
          <w:szCs w:val="32"/>
        </w:rPr>
      </w:pPr>
    </w:p>
    <w:p>
      <w:pPr>
        <w:pStyle w:val="11"/>
        <w:ind w:left="720" w:firstLine="0" w:firstLineChars="0"/>
        <w:jc w:val="left"/>
        <w:rPr>
          <w:rFonts w:ascii="黑体" w:hAnsi="黑体" w:eastAsia="黑体"/>
          <w:sz w:val="32"/>
          <w:szCs w:val="32"/>
        </w:rPr>
      </w:pPr>
    </w:p>
    <w:p>
      <w:pPr>
        <w:pStyle w:val="11"/>
        <w:ind w:left="720" w:firstLine="0" w:firstLineChars="0"/>
        <w:jc w:val="left"/>
        <w:rPr>
          <w:rFonts w:ascii="黑体" w:hAnsi="黑体" w:eastAsia="黑体"/>
          <w:sz w:val="32"/>
          <w:szCs w:val="32"/>
        </w:rPr>
      </w:pPr>
    </w:p>
    <w:p>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spacing w:line="600" w:lineRule="exact"/>
        <w:ind w:firstLine="600" w:firstLineChars="200"/>
        <w:rPr>
          <w:rFonts w:ascii="仿宋_GB2312" w:hAnsi="宋体" w:eastAsia="仿宋_GB2312"/>
          <w:sz w:val="30"/>
          <w:szCs w:val="30"/>
        </w:rPr>
      </w:pPr>
      <w:r>
        <w:rPr>
          <w:rFonts w:hint="eastAsia" w:ascii="仿宋_GB2312" w:hAnsi="宋体" w:eastAsia="仿宋_GB2312"/>
          <w:sz w:val="30"/>
          <w:szCs w:val="30"/>
        </w:rPr>
        <w:t>(一)贯彻执行国家和省财政税收方针、政策和财政预算决算、财务、会计方面的法规、条例及基本建设财务管理制度，指导全县财政工作。</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(二)编制年度县本级预算草案并组织预算执行；编制县本级财政总决算；代编全县财政收支预算，汇总全县财政总决算；受县政府委托，向县人大报告县本级预算、预算执行情况和财政总决算。</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(三)管理各项财政收入、预算外资金和财政专户；管理有关政策性基金；审核报批收费项目，参与制订、调整收费标准；负责指导农税局的农业税征收管理工作。</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四)管理财政行政法和教科文支出；执行政府采购政策，负责控制社会集团购买力工作；管理财政预算内行政机构、事业单位和社会团体的非贸易外汇。根据国家、省、市统一规定的开支标准和支出政策，结合我县实际，制订具体实施办法，执行《行政单位财务规则》、《事业单位财务规则》。</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(五)管理国有资产；组织实施国有资产的清产核资、产权界定和登记；负责国有资产管理的统计、分析、转让和处置以及产权纠纷调处与行政仲裁。</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(六)管理财政经济发展支出；负责财政性资金投资项目工程预、决算审查；执行《企业财务通则》；负责财政支农、农业财务管理。</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(七)管理财政社会保障支出；执行社会保障资金的财务管理制度。</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(八)执行政府国内债务管理的方针政策、规章制度和管理办法，执行国债发行计划；执行政府外债管理的规章制度；承担世界银行、亚洲开发银行、外国政府贷款的管理职能。</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(九)监督执行会计规章制度，执行《企业会计准则》；监督执行政府预算、行政和事业单位及分行业的会计制度；指导和管理社会审计；负责会计委派和集中会计核算工作。</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(十)监督财税方针政策、法律法规的执行情况；检查反映财政收支管理中的重大问题；提出加强财政管理的政策建议。</w:t>
      </w:r>
      <w:r>
        <w:rPr>
          <w:rFonts w:hint="eastAsia" w:ascii="仿宋_GB2312" w:hAnsi="宋体" w:eastAsia="仿宋_GB2312"/>
          <w:sz w:val="30"/>
          <w:szCs w:val="30"/>
        </w:rPr>
        <w:br w:type="textWrapping"/>
      </w:r>
      <w:r>
        <w:rPr>
          <w:rFonts w:hint="eastAsia" w:ascii="仿宋_GB2312" w:hAnsi="宋体" w:eastAsia="仿宋_GB2312"/>
          <w:sz w:val="30"/>
          <w:szCs w:val="30"/>
        </w:rPr>
        <w:t xml:space="preserve">    (十一)制订财政科学研究和教育规划；组织财政人员培训；负责财政信息和财政宣传工作。</w:t>
      </w:r>
    </w:p>
    <w:p>
      <w:pPr>
        <w:snapToGrid w:val="0"/>
        <w:spacing w:line="600" w:lineRule="exact"/>
        <w:ind w:firstLine="600" w:firstLineChars="200"/>
        <w:rPr>
          <w:rFonts w:ascii="仿宋_GB2312" w:hAnsi="仿宋" w:eastAsia="仿宋_GB2312"/>
          <w:sz w:val="32"/>
          <w:szCs w:val="32"/>
        </w:rPr>
      </w:pPr>
      <w:r>
        <w:rPr>
          <w:rFonts w:hint="eastAsia" w:ascii="仿宋_GB2312" w:hAnsi="宋体" w:eastAsia="仿宋_GB2312"/>
          <w:sz w:val="30"/>
          <w:szCs w:val="30"/>
        </w:rPr>
        <w:t>(十二)承办县委、县人民政府交办的其他事项。</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p>
    <w:p>
      <w:pPr>
        <w:spacing w:line="600" w:lineRule="exact"/>
        <w:ind w:firstLine="640" w:firstLineChars="200"/>
        <w:rPr>
          <w:rFonts w:ascii="仿宋_GB2312" w:hAnsi="宋体" w:eastAsia="仿宋_GB2312"/>
          <w:sz w:val="30"/>
          <w:szCs w:val="30"/>
        </w:rPr>
      </w:pPr>
      <w:r>
        <w:rPr>
          <w:rFonts w:hint="eastAsia" w:ascii="仿宋_GB2312" w:hAnsi="黑体" w:eastAsia="仿宋_GB2312"/>
          <w:sz w:val="32"/>
          <w:szCs w:val="32"/>
        </w:rPr>
        <w:t>2021年部门决算编制范围包括局机关及所属事业单位。道县财政局内设办公室(党建室)、乡镇财政管理股、税政法规股、预算股、国库股、行财股、政法股、科教股、文化股、农业农村股、企业股、金融与债务管理股、会计股、财政监督股、人事教育股、行政审批股16个内设机构，下设国库集中支付中心、国有资产中心、综合中心等12个直属事业单位。道县财政局机关公务员及参照公务员管理人员编制为104人，工资全部纳入财政统发。车辆编制为1台。</w:t>
      </w:r>
    </w:p>
    <w:p>
      <w:pPr>
        <w:widowControl/>
        <w:spacing w:line="600" w:lineRule="exact"/>
        <w:rPr>
          <w:rFonts w:asciiTheme="minorEastAsia" w:hAnsiTheme="minorEastAsia"/>
          <w:bCs/>
          <w:kern w:val="0"/>
          <w:sz w:val="32"/>
          <w:szCs w:val="32"/>
        </w:rPr>
      </w:pPr>
    </w:p>
    <w:p>
      <w:pPr>
        <w:widowControl/>
        <w:numPr>
          <w:ilvl w:val="0"/>
          <w:numId w:val="0"/>
        </w:numPr>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eastAsia="zh-CN"/>
        </w:rPr>
        <w:t>（二）</w:t>
      </w:r>
      <w:r>
        <w:rPr>
          <w:rFonts w:hint="eastAsia" w:asciiTheme="minorEastAsia" w:hAnsiTheme="minorEastAsia"/>
          <w:bCs/>
          <w:kern w:val="0"/>
          <w:sz w:val="32"/>
          <w:szCs w:val="32"/>
        </w:rPr>
        <w:t>决算单位构成。</w:t>
      </w:r>
    </w:p>
    <w:p>
      <w:pPr>
        <w:widowControl/>
        <w:numPr>
          <w:ilvl w:val="0"/>
          <w:numId w:val="0"/>
        </w:numPr>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lang w:eastAsia="zh-CN"/>
        </w:rPr>
        <w:t>道县财政局</w:t>
      </w: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w:t>
      </w:r>
      <w:r>
        <w:rPr>
          <w:rFonts w:hint="eastAsia" w:asciiTheme="minorEastAsia" w:hAnsiTheme="minorEastAsia"/>
          <w:bCs/>
          <w:kern w:val="0"/>
          <w:sz w:val="32"/>
          <w:szCs w:val="32"/>
          <w:lang w:eastAsia="zh-CN"/>
        </w:rPr>
        <w:t>道县财政局</w:t>
      </w:r>
      <w:r>
        <w:rPr>
          <w:rFonts w:hint="eastAsia" w:asciiTheme="minorEastAsia" w:hAnsiTheme="minorEastAsia"/>
          <w:bCs/>
          <w:kern w:val="0"/>
          <w:sz w:val="32"/>
          <w:szCs w:val="32"/>
        </w:rPr>
        <w:t>本级</w:t>
      </w:r>
      <w:r>
        <w:rPr>
          <w:rFonts w:hint="eastAsia" w:asciiTheme="minorEastAsia" w:hAnsiTheme="minorEastAsia"/>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eastAsia="zh-CN"/>
              </w:rPr>
              <w:t>道县财政局</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1,792.68</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1,523.87</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215.71</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53.10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2,405.91</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2,405.91</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372" w:type="dxa"/>
        <w:tblInd w:w="0" w:type="dxa"/>
        <w:tblLayout w:type="autofit"/>
        <w:tblCellMar>
          <w:top w:w="0" w:type="dxa"/>
          <w:left w:w="0" w:type="dxa"/>
          <w:bottom w:w="0" w:type="dxa"/>
          <w:right w:w="0" w:type="dxa"/>
        </w:tblCellMar>
      </w:tblPr>
      <w:tblGrid>
        <w:gridCol w:w="1030"/>
        <w:gridCol w:w="73"/>
        <w:gridCol w:w="1866"/>
        <w:gridCol w:w="1671"/>
        <w:gridCol w:w="1671"/>
        <w:gridCol w:w="1671"/>
        <w:gridCol w:w="1671"/>
        <w:gridCol w:w="1671"/>
        <w:gridCol w:w="1671"/>
        <w:gridCol w:w="2377"/>
      </w:tblGrid>
      <w:tr>
        <w:tblPrEx>
          <w:tblCellMar>
            <w:top w:w="0" w:type="dxa"/>
            <w:left w:w="0" w:type="dxa"/>
            <w:bottom w:w="0" w:type="dxa"/>
            <w:right w:w="0" w:type="dxa"/>
          </w:tblCellMar>
        </w:tblPrEx>
        <w:trPr>
          <w:trHeight w:val="435" w:hRule="atLeast"/>
        </w:trPr>
        <w:tc>
          <w:tcPr>
            <w:tcW w:w="15372" w:type="dxa"/>
            <w:gridSpan w:val="1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color w:val="000000"/>
                <w:kern w:val="0"/>
                <w:sz w:val="20"/>
                <w:szCs w:val="20"/>
                <w:lang w:eastAsia="zh-CN"/>
              </w:rPr>
              <w:t>道县财政局</w:t>
            </w: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10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6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2,405.91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2,405.91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20106</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财政事务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2010601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1,009.77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1,009.77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2010602</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80.32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80.32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2010607</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信息化建设</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15.31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15.31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2010650</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37.40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37.40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2010699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381.07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381.07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215.71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215.71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106.20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106.20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106.20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106.20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抚恤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109.51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109.51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109.51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109.51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613.23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372"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6"/>
        <w:tblW w:w="14093" w:type="dxa"/>
        <w:tblInd w:w="93" w:type="dxa"/>
        <w:tblLayout w:type="autofit"/>
        <w:tblCellMar>
          <w:top w:w="0" w:type="dxa"/>
          <w:left w:w="108" w:type="dxa"/>
          <w:bottom w:w="0" w:type="dxa"/>
          <w:right w:w="108" w:type="dxa"/>
        </w:tblCellMar>
      </w:tblPr>
      <w:tblGrid>
        <w:gridCol w:w="986"/>
        <w:gridCol w:w="804"/>
        <w:gridCol w:w="222"/>
        <w:gridCol w:w="1411"/>
        <w:gridCol w:w="1646"/>
        <w:gridCol w:w="1679"/>
        <w:gridCol w:w="1679"/>
        <w:gridCol w:w="1679"/>
        <w:gridCol w:w="1679"/>
        <w:gridCol w:w="2308"/>
      </w:tblGrid>
      <w:tr>
        <w:tblPrEx>
          <w:tblCellMar>
            <w:top w:w="0" w:type="dxa"/>
            <w:left w:w="108" w:type="dxa"/>
            <w:bottom w:w="0" w:type="dxa"/>
            <w:right w:w="108" w:type="dxa"/>
          </w:tblCellMar>
        </w:tblPrEx>
        <w:trPr>
          <w:trHeight w:val="435" w:hRule="atLeast"/>
        </w:trPr>
        <w:tc>
          <w:tcPr>
            <w:tcW w:w="14093"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道县财政局</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2012"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201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4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2,405.91</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1,720.15</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685.76</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1,142.80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381.07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财政事务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1,523.87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1,142.80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381.07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2010601</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1,009.77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1,009.77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2010602</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80.32</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80.32</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2010607</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信息化建设</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15.31</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15.31</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2010650</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37.40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37.40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2010699</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381.07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381.07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215.71</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215.71</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106.20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106.20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106.20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106.20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109.51</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109.51</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109.51</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109.51</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53.10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613.23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308.54</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304.69</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613.23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308.54</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304.69</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437"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613.23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308.54</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304.69</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630" w:hRule="atLeast"/>
        </w:trPr>
        <w:tc>
          <w:tcPr>
            <w:tcW w:w="14093"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1"/>
        <w:gridCol w:w="436"/>
        <w:gridCol w:w="1095"/>
        <w:gridCol w:w="495"/>
        <w:gridCol w:w="2911"/>
        <w:gridCol w:w="631"/>
        <w:gridCol w:w="435"/>
        <w:gridCol w:w="1571"/>
        <w:gridCol w:w="1392"/>
        <w:gridCol w:w="1392"/>
        <w:gridCol w:w="1572"/>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道县财政局</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1,792.68</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1,523.87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1,523.87</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215.71</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215.71</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53.10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53.10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1,792.68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3411"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2,405.91</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1,792.68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613.23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eastAsia="zh-CN"/>
        </w:rPr>
        <w:t>道县财政局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972"/>
        <w:gridCol w:w="3280"/>
        <w:gridCol w:w="2849"/>
        <w:gridCol w:w="3301"/>
        <w:gridCol w:w="2831"/>
      </w:tblGrid>
      <w:tr>
        <w:tblPrEx>
          <w:tblCellMar>
            <w:top w:w="0" w:type="dxa"/>
            <w:left w:w="108" w:type="dxa"/>
            <w:bottom w:w="0" w:type="dxa"/>
            <w:right w:w="108" w:type="dxa"/>
          </w:tblCellMar>
        </w:tblPrEx>
        <w:trPr>
          <w:trHeight w:val="405" w:hRule="atLeast"/>
          <w:jc w:val="center"/>
        </w:trPr>
        <w:tc>
          <w:tcPr>
            <w:tcW w:w="5238"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81"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58"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0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1"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58"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1"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958"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0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1"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3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4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0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1"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23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1,792.68</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1,411.61</w:t>
            </w:r>
          </w:p>
        </w:tc>
        <w:tc>
          <w:tcPr>
            <w:tcW w:w="283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381.07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1,523.87</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1,142.80</w:t>
            </w:r>
          </w:p>
        </w:tc>
        <w:tc>
          <w:tcPr>
            <w:tcW w:w="283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381.07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财政事务</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1,523.87</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1,142.80</w:t>
            </w:r>
          </w:p>
        </w:tc>
        <w:tc>
          <w:tcPr>
            <w:tcW w:w="283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381.07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2010601</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1,009.77</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1,009.77</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2010602</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80.32</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80.32</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2010607</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信息化建设</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15.31</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15.31</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2010650</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37.40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37.40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2010699</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381.07</w:t>
            </w:r>
          </w:p>
        </w:tc>
        <w:tc>
          <w:tcPr>
            <w:tcW w:w="3301"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381.07</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215.71</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215.71</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106.20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106.20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106.20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106.20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109.51</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109.51</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109.51</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109.51</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252"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84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33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53.10</w:t>
            </w:r>
          </w:p>
        </w:tc>
        <w:tc>
          <w:tcPr>
            <w:tcW w:w="283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83"/>
        <w:gridCol w:w="3215"/>
        <w:gridCol w:w="845"/>
        <w:gridCol w:w="1174"/>
        <w:gridCol w:w="2216"/>
        <w:gridCol w:w="845"/>
        <w:gridCol w:w="1175"/>
        <w:gridCol w:w="4016"/>
        <w:gridCol w:w="845"/>
      </w:tblGrid>
      <w:tr>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lang w:eastAsia="zh-CN"/>
              </w:rPr>
              <w:t>道县财政局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847.29</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443.56</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361.65</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33.17</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207.79</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26.68</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48.95</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15.50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12.45</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69.60</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1.26</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106.20</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5.91</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6.69</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53.10</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13.00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11.62</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14.70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120.76</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11.84</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23.41</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2.77</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109.51</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5.21</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18.60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70.00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68.00</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3.76</w:t>
            </w:r>
          </w:p>
        </w:tc>
        <w:tc>
          <w:tcPr>
            <w:tcW w:w="122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90.64</w:t>
            </w:r>
          </w:p>
        </w:tc>
        <w:tc>
          <w:tcPr>
            <w:tcW w:w="122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11.25</w:t>
            </w: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8.34</w:t>
            </w:r>
          </w:p>
        </w:tc>
        <w:tc>
          <w:tcPr>
            <w:tcW w:w="1223"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968.05</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443.56</w:t>
            </w:r>
          </w:p>
        </w:tc>
      </w:tr>
      <w:tr>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道县财政局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49.93</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41.50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41.50</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8.43</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13.39</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4.96</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4.96</w:t>
            </w:r>
          </w:p>
        </w:tc>
        <w:tc>
          <w:tcPr>
            <w:tcW w:w="1220" w:type="dxa"/>
            <w:tcBorders>
              <w:top w:val="nil"/>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8.43</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eastAsia="zh-CN"/>
        </w:rPr>
        <w:t>道县财政局</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46"/>
        <w:gridCol w:w="1235"/>
        <w:gridCol w:w="1850"/>
        <w:gridCol w:w="1893"/>
        <w:gridCol w:w="1893"/>
        <w:gridCol w:w="1893"/>
        <w:gridCol w:w="1893"/>
        <w:gridCol w:w="18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67"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5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893"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79"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51"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32" w:type="dxa"/>
            <w:gridSpan w:val="2"/>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5"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50" w:type="dxa"/>
            <w:vMerge w:val="continue"/>
            <w:vAlign w:val="center"/>
          </w:tcPr>
          <w:p>
            <w:pPr>
              <w:widowControl/>
              <w:jc w:val="left"/>
              <w:rPr>
                <w:rFonts w:ascii="Times New Roman" w:hAnsi="Times New Roman" w:eastAsia="仿宋_GB2312" w:cs="Times New Roman"/>
                <w:b/>
                <w:kern w:val="0"/>
                <w:szCs w:val="21"/>
              </w:rPr>
            </w:pPr>
          </w:p>
        </w:tc>
        <w:tc>
          <w:tcPr>
            <w:tcW w:w="1893" w:type="dxa"/>
            <w:vMerge w:val="continue"/>
            <w:vAlign w:val="center"/>
          </w:tcPr>
          <w:p>
            <w:pPr>
              <w:widowControl/>
              <w:jc w:val="left"/>
              <w:rPr>
                <w:rFonts w:ascii="Times New Roman" w:hAnsi="Times New Roman" w:eastAsia="仿宋_GB2312" w:cs="Times New Roman"/>
                <w:b/>
                <w:kern w:val="0"/>
                <w:szCs w:val="21"/>
              </w:rPr>
            </w:pPr>
          </w:p>
        </w:tc>
        <w:tc>
          <w:tcPr>
            <w:tcW w:w="1893"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93"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893"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51"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32" w:type="dxa"/>
            <w:gridSpan w:val="2"/>
            <w:vMerge w:val="continue"/>
            <w:vAlign w:val="center"/>
          </w:tcPr>
          <w:p>
            <w:pPr>
              <w:widowControl/>
              <w:jc w:val="left"/>
              <w:rPr>
                <w:rFonts w:ascii="Times New Roman" w:hAnsi="Times New Roman" w:eastAsia="仿宋_GB2312" w:cs="Times New Roman"/>
                <w:kern w:val="0"/>
                <w:szCs w:val="21"/>
              </w:rPr>
            </w:pPr>
          </w:p>
        </w:tc>
        <w:tc>
          <w:tcPr>
            <w:tcW w:w="1235" w:type="dxa"/>
            <w:vMerge w:val="continue"/>
            <w:vAlign w:val="center"/>
          </w:tcPr>
          <w:p>
            <w:pPr>
              <w:widowControl/>
              <w:jc w:val="left"/>
              <w:rPr>
                <w:rFonts w:ascii="Times New Roman" w:hAnsi="Times New Roman" w:eastAsia="仿宋_GB2312" w:cs="Times New Roman"/>
                <w:kern w:val="0"/>
                <w:szCs w:val="21"/>
              </w:rPr>
            </w:pPr>
          </w:p>
        </w:tc>
        <w:tc>
          <w:tcPr>
            <w:tcW w:w="1850"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51"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32" w:type="dxa"/>
            <w:gridSpan w:val="2"/>
            <w:vMerge w:val="continue"/>
            <w:vAlign w:val="center"/>
          </w:tcPr>
          <w:p>
            <w:pPr>
              <w:widowControl/>
              <w:jc w:val="left"/>
              <w:rPr>
                <w:rFonts w:ascii="Times New Roman" w:hAnsi="Times New Roman" w:eastAsia="仿宋_GB2312" w:cs="Times New Roman"/>
                <w:kern w:val="0"/>
                <w:szCs w:val="21"/>
              </w:rPr>
            </w:pPr>
          </w:p>
        </w:tc>
        <w:tc>
          <w:tcPr>
            <w:tcW w:w="1235" w:type="dxa"/>
            <w:vMerge w:val="continue"/>
            <w:vAlign w:val="center"/>
          </w:tcPr>
          <w:p>
            <w:pPr>
              <w:widowControl/>
              <w:jc w:val="left"/>
              <w:rPr>
                <w:rFonts w:ascii="Times New Roman" w:hAnsi="Times New Roman" w:eastAsia="仿宋_GB2312" w:cs="Times New Roman"/>
                <w:kern w:val="0"/>
                <w:szCs w:val="21"/>
              </w:rPr>
            </w:pPr>
          </w:p>
        </w:tc>
        <w:tc>
          <w:tcPr>
            <w:tcW w:w="1850"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93" w:type="dxa"/>
            <w:vMerge w:val="continue"/>
            <w:vAlign w:val="center"/>
          </w:tcPr>
          <w:p>
            <w:pPr>
              <w:widowControl/>
              <w:jc w:val="left"/>
              <w:rPr>
                <w:rFonts w:ascii="Times New Roman" w:hAnsi="Times New Roman" w:eastAsia="仿宋_GB2312" w:cs="Times New Roman"/>
                <w:kern w:val="0"/>
                <w:szCs w:val="21"/>
              </w:rPr>
            </w:pPr>
          </w:p>
        </w:tc>
        <w:tc>
          <w:tcPr>
            <w:tcW w:w="1851"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67" w:type="dxa"/>
            <w:gridSpan w:val="3"/>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85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893"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893"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893"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893"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851"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67" w:type="dxa"/>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50" w:type="dxa"/>
            <w:shd w:val="clear" w:color="auto" w:fill="auto"/>
            <w:vAlign w:val="center"/>
          </w:tcPr>
          <w:p>
            <w:pPr>
              <w:jc w:val="right"/>
              <w:rPr>
                <w:rFonts w:ascii="Times New Roman" w:hAnsi="Times New Roman" w:eastAsia="仿宋_GB2312" w:cs="Times New Roman"/>
                <w:kern w:val="0"/>
                <w:szCs w:val="21"/>
              </w:rPr>
            </w:pP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308.54</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304.69</w:t>
            </w:r>
          </w:p>
        </w:tc>
        <w:tc>
          <w:tcPr>
            <w:tcW w:w="1851"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181"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1850" w:type="dxa"/>
            <w:shd w:val="clear" w:color="auto" w:fill="auto"/>
            <w:vAlign w:val="center"/>
          </w:tcPr>
          <w:p>
            <w:pPr>
              <w:jc w:val="right"/>
              <w:rPr>
                <w:rFonts w:ascii="Times New Roman" w:hAnsi="Times New Roman" w:eastAsia="仿宋_GB2312" w:cs="Times New Roman"/>
                <w:kern w:val="0"/>
                <w:szCs w:val="21"/>
              </w:rPr>
            </w:pP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308.54</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304.69</w:t>
            </w:r>
          </w:p>
        </w:tc>
        <w:tc>
          <w:tcPr>
            <w:tcW w:w="1851"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181"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850" w:type="dxa"/>
            <w:shd w:val="clear" w:color="auto" w:fill="auto"/>
            <w:vAlign w:val="center"/>
          </w:tcPr>
          <w:p>
            <w:pPr>
              <w:jc w:val="right"/>
              <w:rPr>
                <w:rFonts w:ascii="Times New Roman" w:hAnsi="Times New Roman" w:eastAsia="仿宋_GB2312" w:cs="Times New Roman"/>
                <w:kern w:val="0"/>
                <w:szCs w:val="21"/>
              </w:rPr>
            </w:pP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308.54</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304.69</w:t>
            </w:r>
          </w:p>
        </w:tc>
        <w:tc>
          <w:tcPr>
            <w:tcW w:w="1851" w:type="dxa"/>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2120899</w:t>
            </w:r>
          </w:p>
        </w:tc>
        <w:tc>
          <w:tcPr>
            <w:tcW w:w="2181" w:type="dxa"/>
            <w:gridSpan w:val="2"/>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1850" w:type="dxa"/>
            <w:shd w:val="clear" w:color="auto" w:fill="auto"/>
            <w:vAlign w:val="center"/>
          </w:tcPr>
          <w:p>
            <w:pPr>
              <w:jc w:val="right"/>
              <w:rPr>
                <w:rFonts w:ascii="Times New Roman" w:hAnsi="Times New Roman" w:eastAsia="仿宋_GB2312" w:cs="Times New Roman"/>
                <w:kern w:val="0"/>
                <w:szCs w:val="21"/>
              </w:rPr>
            </w:pP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613.23</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308.54</w:t>
            </w:r>
          </w:p>
        </w:tc>
        <w:tc>
          <w:tcPr>
            <w:tcW w:w="1893" w:type="dxa"/>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304.69</w:t>
            </w:r>
          </w:p>
        </w:tc>
        <w:tc>
          <w:tcPr>
            <w:tcW w:w="1851" w:type="dxa"/>
            <w:shd w:val="clear" w:color="auto" w:fill="auto"/>
            <w:vAlign w:val="center"/>
          </w:tcPr>
          <w:p>
            <w:pPr>
              <w:jc w:val="righ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color w:val="000000"/>
                <w:kern w:val="0"/>
                <w:sz w:val="20"/>
                <w:szCs w:val="20"/>
                <w:lang w:eastAsia="zh-CN"/>
              </w:rPr>
              <w:t>道县财政局</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w:t>
            </w:r>
            <w:r>
              <w:rPr>
                <w:rFonts w:hint="eastAsia" w:ascii="宋体" w:hAnsi="宋体" w:eastAsia="宋体" w:cs="宋体"/>
                <w:kern w:val="0"/>
                <w:sz w:val="24"/>
                <w:szCs w:val="24"/>
                <w:lang w:eastAsia="zh-CN"/>
              </w:rPr>
              <w:t>道县财政局无国有资本经营预算财政拨款收入，也没有安排国有资本经营预算财政拨款支出，故本表格无数据。</w:t>
            </w:r>
          </w:p>
        </w:tc>
      </w:tr>
    </w:tbl>
    <w:p>
      <w:pPr>
        <w:pStyle w:val="10"/>
        <w:rPr>
          <w:sz w:val="72"/>
          <w:szCs w:val="72"/>
        </w:rPr>
        <w:sectPr>
          <w:pgSz w:w="16838" w:h="11906" w:orient="landscape"/>
          <w:pgMar w:top="720" w:right="720" w:bottom="720" w:left="720" w:header="851" w:footer="992" w:gutter="0"/>
          <w:cols w:space="425" w:num="1"/>
          <w:docGrid w:type="lines" w:linePitch="312" w:charSpace="0"/>
        </w:sectPr>
      </w:pPr>
    </w:p>
    <w:p>
      <w:pPr>
        <w:pStyle w:val="10"/>
        <w:rPr>
          <w:sz w:val="72"/>
          <w:szCs w:val="72"/>
        </w:rPr>
      </w:pPr>
    </w:p>
    <w:p>
      <w:pPr>
        <w:pStyle w:val="10"/>
        <w:rPr>
          <w:sz w:val="72"/>
          <w:szCs w:val="72"/>
        </w:rPr>
      </w:pPr>
    </w:p>
    <w:p>
      <w:pPr>
        <w:pStyle w:val="10"/>
        <w:rPr>
          <w:sz w:val="72"/>
          <w:szCs w:val="72"/>
        </w:rPr>
      </w:pPr>
    </w:p>
    <w:p>
      <w:pPr>
        <w:pStyle w:val="10"/>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第三部分</w:t>
      </w:r>
    </w:p>
    <w:p>
      <w:pPr>
        <w:pStyle w:val="10"/>
        <w:jc w:val="center"/>
        <w:rPr>
          <w:sz w:val="70"/>
          <w:szCs w:val="70"/>
        </w:rPr>
      </w:pPr>
    </w:p>
    <w:p>
      <w:pPr>
        <w:pStyle w:val="10"/>
        <w:jc w:val="center"/>
        <w:rPr>
          <w:sz w:val="70"/>
          <w:szCs w:val="70"/>
        </w:rPr>
      </w:pPr>
      <w:r>
        <w:rPr>
          <w:sz w:val="70"/>
          <w:szCs w:val="70"/>
        </w:rPr>
        <w:t>20</w:t>
      </w:r>
      <w:r>
        <w:rPr>
          <w:rFonts w:hint="eastAsia"/>
          <w:sz w:val="70"/>
          <w:szCs w:val="70"/>
        </w:rPr>
        <w:t>21年度部门决算情况说明</w:t>
      </w:r>
    </w:p>
    <w:p>
      <w:pPr>
        <w:widowControl/>
        <w:jc w:val="left"/>
        <w:rPr>
          <w:rFonts w:ascii="黑体" w:eastAsia="黑体" w:cs="黑体"/>
          <w:color w:val="000000"/>
          <w:kern w:val="0"/>
          <w:sz w:val="70"/>
          <w:szCs w:val="70"/>
        </w:rPr>
      </w:pPr>
      <w:r>
        <w:rPr>
          <w:sz w:val="70"/>
          <w:szCs w:val="70"/>
        </w:rPr>
        <w:br w:type="page"/>
      </w:r>
    </w:p>
    <w:p>
      <w:pPr>
        <w:pStyle w:val="10"/>
        <w:rPr>
          <w:rFonts w:asciiTheme="minorEastAsia" w:hAnsiTheme="minorEastAsia" w:eastAsiaTheme="minorEastAsia"/>
          <w:sz w:val="32"/>
          <w:szCs w:val="32"/>
        </w:rPr>
      </w:pPr>
    </w:p>
    <w:p>
      <w:pPr>
        <w:pStyle w:val="10"/>
        <w:rPr>
          <w:rFonts w:hAnsi="黑体"/>
          <w:b/>
          <w:sz w:val="32"/>
          <w:szCs w:val="32"/>
        </w:rPr>
      </w:pPr>
      <w:r>
        <w:rPr>
          <w:rFonts w:hint="eastAsia" w:hAnsi="黑体"/>
          <w:b/>
          <w:sz w:val="32"/>
          <w:szCs w:val="32"/>
        </w:rPr>
        <w:t>一、收入支出决算总体情况说明</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2405.91</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294.91</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二、收入决算情况说明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2405.91</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2405.91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三、支出决算情况说明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2405.91</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1720.15</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685.76</w:t>
      </w:r>
      <w:r>
        <w:rPr>
          <w:rFonts w:hint="eastAsia" w:asciiTheme="minorEastAsia" w:hAnsiTheme="minorEastAsia" w:eastAsiaTheme="minorEastAsia"/>
          <w:sz w:val="32"/>
          <w:szCs w:val="32"/>
        </w:rPr>
        <w:t>万元。</w:t>
      </w:r>
    </w:p>
    <w:p>
      <w:pPr>
        <w:pStyle w:val="10"/>
        <w:rPr>
          <w:rFonts w:hAnsi="黑体"/>
          <w:b/>
          <w:sz w:val="32"/>
          <w:szCs w:val="32"/>
        </w:rPr>
      </w:pPr>
      <w:r>
        <w:rPr>
          <w:rFonts w:hint="eastAsia" w:hAnsi="黑体"/>
          <w:b/>
          <w:sz w:val="32"/>
          <w:szCs w:val="32"/>
        </w:rPr>
        <w:t>四、财政拨款收入支出决算总体情况说明</w:t>
      </w:r>
    </w:p>
    <w:p>
      <w:pPr>
        <w:pStyle w:val="1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 xml:space="preserve">    2021年度财政拨款收、支总计</w:t>
      </w:r>
      <w:r>
        <w:rPr>
          <w:rFonts w:hint="eastAsia" w:asciiTheme="minorEastAsia" w:hAnsiTheme="minorEastAsia" w:eastAsiaTheme="minorEastAsia"/>
          <w:sz w:val="32"/>
          <w:szCs w:val="32"/>
          <w:lang w:val="en-US" w:eastAsia="zh-CN"/>
        </w:rPr>
        <w:t>2405.91</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294.91</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五、一般公共预算财政拨款支出决算情况说明</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1792.68</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74.5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0"/>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1792.68</w:t>
      </w:r>
      <w:r>
        <w:rPr>
          <w:rFonts w:hint="eastAsia" w:asciiTheme="minorEastAsia" w:hAnsiTheme="minorEastAsia" w:eastAsiaTheme="minorEastAsia"/>
          <w:sz w:val="32"/>
          <w:szCs w:val="32"/>
        </w:rPr>
        <w:t>万元，主要用于以下方面：一般公共服务支出</w:t>
      </w:r>
      <w:r>
        <w:rPr>
          <w:rFonts w:hint="eastAsia" w:asciiTheme="minorEastAsia" w:hAnsiTheme="minorEastAsia" w:eastAsiaTheme="minorEastAsia"/>
          <w:sz w:val="32"/>
          <w:szCs w:val="32"/>
          <w:lang w:val="en-US" w:eastAsia="zh-CN"/>
        </w:rPr>
        <w:t>1523.87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社会保障和就业支出</w:t>
      </w:r>
      <w:r>
        <w:rPr>
          <w:rFonts w:hint="eastAsia" w:asciiTheme="minorEastAsia" w:hAnsiTheme="minorEastAsia" w:eastAsiaTheme="minorEastAsia"/>
          <w:sz w:val="32"/>
          <w:szCs w:val="32"/>
          <w:lang w:val="en-US" w:eastAsia="zh-CN"/>
        </w:rPr>
        <w:t>215.71万元；卫生健康支出53.10万元；城乡社区支出613.23万元。</w:t>
      </w:r>
    </w:p>
    <w:p>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1765.51</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1792.68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101.53</w:t>
      </w:r>
      <w:r>
        <w:rPr>
          <w:rFonts w:hint="eastAsia" w:asciiTheme="minorEastAsia" w:hAnsiTheme="minorEastAsia" w:eastAsiaTheme="minorEastAsia"/>
          <w:sz w:val="32"/>
          <w:szCs w:val="32"/>
        </w:rPr>
        <w:t>%，其中：</w:t>
      </w:r>
    </w:p>
    <w:p>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1、一般公共服务支出（类）</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行政运行</w:t>
      </w:r>
      <w:r>
        <w:rPr>
          <w:rFonts w:hint="eastAsia" w:asciiTheme="minorEastAsia" w:hAnsiTheme="minorEastAsia" w:eastAsiaTheme="minorEastAsia"/>
          <w:sz w:val="32"/>
          <w:szCs w:val="32"/>
        </w:rPr>
        <w:t>（项）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1009.77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2、一般公共服务支出（类）</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一般行政管理事务</w:t>
      </w:r>
      <w:r>
        <w:rPr>
          <w:rFonts w:hint="eastAsia" w:asciiTheme="minorEastAsia" w:hAnsiTheme="minorEastAsia" w:eastAsiaTheme="minorEastAsia"/>
          <w:sz w:val="32"/>
          <w:szCs w:val="32"/>
        </w:rPr>
        <w:t>（项）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80.32</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numPr>
          <w:ilvl w:val="0"/>
          <w:numId w:val="2"/>
        </w:numPr>
        <w:ind w:left="-330" w:leftChars="0" w:firstLine="960" w:firstLineChars="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一般公共服务支出（类）</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信息化建设</w:t>
      </w:r>
      <w:r>
        <w:rPr>
          <w:rFonts w:hint="eastAsia" w:asciiTheme="minorEastAsia" w:hAnsiTheme="minorEastAsia" w:eastAsiaTheme="minorEastAsia"/>
          <w:sz w:val="32"/>
          <w:szCs w:val="32"/>
        </w:rPr>
        <w:t>（项）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15.31</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numPr>
          <w:ilvl w:val="0"/>
          <w:numId w:val="2"/>
        </w:numPr>
        <w:ind w:left="-330" w:leftChars="0" w:firstLine="960" w:firstLineChars="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一般公共服务支出（类）</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事业运行</w:t>
      </w:r>
      <w:r>
        <w:rPr>
          <w:rFonts w:hint="eastAsia" w:asciiTheme="minorEastAsia" w:hAnsiTheme="minorEastAsia" w:eastAsiaTheme="minorEastAsia"/>
          <w:sz w:val="32"/>
          <w:szCs w:val="32"/>
        </w:rPr>
        <w:t>（项）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37.4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numPr>
          <w:ilvl w:val="0"/>
          <w:numId w:val="2"/>
        </w:numPr>
        <w:ind w:left="-330" w:leftChars="0" w:firstLine="960" w:firstLineChars="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一般公共服务支出（类）</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其他财政事务支出</w:t>
      </w:r>
      <w:r>
        <w:rPr>
          <w:rFonts w:hint="eastAsia" w:asciiTheme="minorEastAsia" w:hAnsiTheme="minorEastAsia" w:eastAsiaTheme="minorEastAsia"/>
          <w:sz w:val="32"/>
          <w:szCs w:val="32"/>
        </w:rPr>
        <w:t>（项）</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381.07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六、一般公共预算财政拨款基本支出决算情况说明</w:t>
      </w:r>
    </w:p>
    <w:p>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1411.5</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968</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68.58</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443.5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31.42</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七、一般公共预算财政拨款“三公”经费支出决算情况说明</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w:t>
      </w:r>
      <w:r>
        <w:rPr>
          <w:rFonts w:hint="eastAsia" w:asciiTheme="minorEastAsia" w:hAnsiTheme="minorEastAsia" w:eastAsiaTheme="minorEastAsia"/>
          <w:sz w:val="32"/>
          <w:szCs w:val="32"/>
          <w:lang w:eastAsia="zh-CN"/>
        </w:rPr>
        <w:t>预算为</w:t>
      </w:r>
      <w:r>
        <w:rPr>
          <w:rFonts w:hint="eastAsia" w:asciiTheme="minorEastAsia" w:hAnsiTheme="minorEastAsia" w:eastAsiaTheme="minorEastAsia"/>
          <w:sz w:val="32"/>
          <w:szCs w:val="32"/>
          <w:lang w:val="en-US" w:eastAsia="zh-CN"/>
        </w:rPr>
        <w:t>91.5万元，支出</w:t>
      </w:r>
      <w:r>
        <w:rPr>
          <w:rFonts w:hint="eastAsia" w:asciiTheme="minorEastAsia" w:hAnsiTheme="minorEastAsia" w:eastAsiaTheme="minorEastAsia"/>
          <w:sz w:val="32"/>
          <w:szCs w:val="32"/>
        </w:rPr>
        <w:t>决算为</w:t>
      </w:r>
      <w:r>
        <w:rPr>
          <w:rFonts w:hint="eastAsia" w:asciiTheme="minorEastAsia" w:hAnsiTheme="minorEastAsia" w:eastAsiaTheme="minorEastAsia"/>
          <w:sz w:val="32"/>
          <w:szCs w:val="32"/>
          <w:lang w:val="en-US" w:eastAsia="zh-CN"/>
        </w:rPr>
        <w:t>6.53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完成预算的</w:t>
      </w:r>
      <w:r>
        <w:rPr>
          <w:rFonts w:hint="eastAsia" w:asciiTheme="minorEastAsia" w:hAnsiTheme="minorEastAsia" w:eastAsiaTheme="minorEastAsia"/>
          <w:sz w:val="32"/>
          <w:szCs w:val="32"/>
          <w:lang w:val="en-US" w:eastAsia="zh-CN"/>
        </w:rPr>
        <w:t>7.14%，</w:t>
      </w:r>
      <w:r>
        <w:rPr>
          <w:rFonts w:hint="eastAsia" w:asciiTheme="minorEastAsia" w:hAnsiTheme="minorEastAsia" w:eastAsiaTheme="minorEastAsia"/>
          <w:sz w:val="32"/>
          <w:szCs w:val="32"/>
        </w:rPr>
        <w:t>其中：</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w:t>
      </w:r>
      <w:r>
        <w:rPr>
          <w:rFonts w:hint="eastAsia" w:asciiTheme="minorEastAsia" w:hAnsiTheme="minorEastAsia" w:eastAsiaTheme="minorEastAsia"/>
          <w:sz w:val="32"/>
          <w:szCs w:val="32"/>
          <w:lang w:eastAsia="zh-CN"/>
        </w:rPr>
        <w:t>预算为</w:t>
      </w:r>
      <w:r>
        <w:rPr>
          <w:rFonts w:hint="eastAsia" w:asciiTheme="minorEastAsia" w:hAnsiTheme="minorEastAsia" w:eastAsiaTheme="minorEastAsia"/>
          <w:sz w:val="32"/>
          <w:szCs w:val="32"/>
          <w:lang w:val="en-US" w:eastAsia="zh-CN"/>
        </w:rPr>
        <w:t>0万元，支出</w:t>
      </w:r>
      <w:r>
        <w:rPr>
          <w:rFonts w:hint="eastAsia" w:asciiTheme="minorEastAsia" w:hAnsiTheme="minorEastAsia" w:eastAsiaTheme="minorEastAsia"/>
          <w:sz w:val="32"/>
          <w:szCs w:val="32"/>
        </w:rPr>
        <w:t>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50万元，</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2.77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，完成预算的</w:t>
      </w:r>
      <w:r>
        <w:rPr>
          <w:rFonts w:hint="eastAsia" w:asciiTheme="minorEastAsia" w:hAnsiTheme="minorEastAsia" w:eastAsiaTheme="minorEastAsia"/>
          <w:sz w:val="32"/>
          <w:szCs w:val="32"/>
          <w:lang w:val="en-US" w:eastAsia="zh-CN"/>
        </w:rPr>
        <w:t>5.54%，与去年相比减少13.39万元</w:t>
      </w:r>
      <w:r>
        <w:rPr>
          <w:rFonts w:hint="eastAsia" w:asciiTheme="minorEastAsia" w:hAnsiTheme="minorEastAsia" w:eastAsiaTheme="minorEastAsia"/>
          <w:sz w:val="32"/>
          <w:szCs w:val="32"/>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本年度本单位无车辆购置</w:t>
      </w:r>
      <w:r>
        <w:rPr>
          <w:rFonts w:hint="eastAsia" w:asciiTheme="minorEastAsia" w:hAnsiTheme="minorEastAsia" w:eastAsiaTheme="minorEastAsia"/>
          <w:sz w:val="32"/>
          <w:szCs w:val="32"/>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41.5万元，</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3.76</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，完成预算的</w:t>
      </w:r>
      <w:r>
        <w:rPr>
          <w:rFonts w:hint="eastAsia" w:asciiTheme="minorEastAsia" w:hAnsiTheme="minorEastAsia" w:eastAsiaTheme="minorEastAsia"/>
          <w:sz w:val="32"/>
          <w:szCs w:val="32"/>
          <w:lang w:val="en-US" w:eastAsia="zh-CN"/>
        </w:rPr>
        <w:t>9.06%，与上年相比减少5.22万元</w:t>
      </w:r>
      <w:r>
        <w:rPr>
          <w:rFonts w:hint="eastAsia" w:asciiTheme="minorEastAsia" w:hAnsiTheme="minorEastAsia" w:eastAsiaTheme="minorEastAsia"/>
          <w:sz w:val="32"/>
          <w:szCs w:val="32"/>
        </w:rPr>
        <w:t>。</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2.77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42.42</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3.76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57.58</w:t>
      </w:r>
      <w:r>
        <w:rPr>
          <w:rFonts w:hint="eastAsia" w:asciiTheme="minorEastAsia" w:hAnsiTheme="minorEastAsia" w:eastAsiaTheme="minorEastAsia"/>
          <w:sz w:val="32"/>
          <w:szCs w:val="32"/>
        </w:rPr>
        <w:t>%。其中：</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2.77</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36</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235</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财政事务</w:t>
      </w:r>
      <w:r>
        <w:rPr>
          <w:rFonts w:hint="eastAsia" w:asciiTheme="minorEastAsia" w:hAnsiTheme="minorEastAsia" w:eastAsiaTheme="minorEastAsia"/>
          <w:sz w:val="32"/>
          <w:szCs w:val="32"/>
        </w:rPr>
        <w:t>发生的接待支出。</w:t>
      </w:r>
    </w:p>
    <w:p>
      <w:pPr>
        <w:ind w:firstLine="640" w:firstLineChars="20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3.76</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sz w:val="32"/>
          <w:szCs w:val="32"/>
          <w:lang w:eastAsia="zh-CN"/>
        </w:rPr>
        <w:t>，公务用车购置</w:t>
      </w:r>
      <w:r>
        <w:rPr>
          <w:rFonts w:hint="eastAsia" w:asciiTheme="minorEastAsia" w:hAnsiTheme="minorEastAsia"/>
          <w:sz w:val="32"/>
          <w:szCs w:val="32"/>
          <w:lang w:val="en-US" w:eastAsia="zh-CN"/>
        </w:rPr>
        <w:t>0辆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3.76</w:t>
      </w:r>
      <w:r>
        <w:rPr>
          <w:rFonts w:hint="eastAsia" w:asciiTheme="minorEastAsia" w:hAnsiTheme="minorEastAsia"/>
          <w:sz w:val="32"/>
          <w:szCs w:val="32"/>
        </w:rPr>
        <w:t>万元，主要是</w:t>
      </w:r>
      <w:r>
        <w:rPr>
          <w:rFonts w:hint="eastAsia" w:asciiTheme="minorEastAsia" w:hAnsiTheme="minorEastAsia"/>
          <w:sz w:val="32"/>
          <w:szCs w:val="32"/>
          <w:lang w:eastAsia="zh-CN"/>
        </w:rPr>
        <w:t>公务车辆消耗、保险、维护等</w:t>
      </w:r>
      <w:r>
        <w:rPr>
          <w:rFonts w:hint="eastAsia" w:asciiTheme="minorEastAsia" w:hAnsiTheme="minorEastAsia"/>
          <w:sz w:val="32"/>
          <w:szCs w:val="32"/>
        </w:rPr>
        <w:t>支出，截止2021年12月31日，我单位开支财政拨款的公务用车保有量为</w:t>
      </w:r>
      <w:r>
        <w:rPr>
          <w:rFonts w:hint="eastAsia" w:asciiTheme="minorEastAsia" w:hAnsiTheme="minorEastAsia"/>
          <w:sz w:val="32"/>
          <w:szCs w:val="32"/>
          <w:lang w:val="en-US" w:eastAsia="zh-CN"/>
        </w:rPr>
        <w:t>1</w:t>
      </w:r>
      <w:r>
        <w:rPr>
          <w:rFonts w:hint="eastAsia" w:asciiTheme="minorEastAsia" w:hAnsiTheme="minorEastAsia"/>
          <w:sz w:val="32"/>
          <w:szCs w:val="32"/>
        </w:rPr>
        <w:t>辆。</w:t>
      </w:r>
    </w:p>
    <w:p>
      <w:pPr>
        <w:pStyle w:val="10"/>
        <w:rPr>
          <w:rFonts w:hAnsi="黑体"/>
          <w:b/>
          <w:sz w:val="32"/>
          <w:szCs w:val="32"/>
        </w:rPr>
      </w:pPr>
      <w:r>
        <w:rPr>
          <w:rFonts w:hint="eastAsia" w:hAnsi="黑体"/>
          <w:b/>
          <w:sz w:val="32"/>
          <w:szCs w:val="32"/>
        </w:rPr>
        <w:t>八、政府性基金预算收入支出决算情况</w:t>
      </w:r>
    </w:p>
    <w:p>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2021年度政府性基金预算财政拨款收入</w:t>
      </w:r>
      <w:r>
        <w:rPr>
          <w:rFonts w:hint="eastAsia" w:asciiTheme="minorEastAsia" w:hAnsiTheme="minorEastAsia" w:eastAsiaTheme="minorEastAsia"/>
          <w:sz w:val="32"/>
          <w:szCs w:val="32"/>
          <w:lang w:val="en-US" w:eastAsia="zh-CN"/>
        </w:rPr>
        <w:t>613.23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0"/>
        <w:rPr>
          <w:rFonts w:hAnsi="黑体"/>
          <w:b/>
          <w:sz w:val="32"/>
          <w:szCs w:val="32"/>
        </w:rPr>
      </w:pPr>
      <w:r>
        <w:rPr>
          <w:rFonts w:hint="eastAsia" w:hAnsi="黑体"/>
          <w:b/>
          <w:sz w:val="32"/>
          <w:szCs w:val="32"/>
        </w:rPr>
        <w:t>九、机关运行经费支出说明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752.1</w:t>
      </w:r>
      <w:r>
        <w:rPr>
          <w:rFonts w:hint="eastAsia" w:asciiTheme="minorEastAsia" w:hAnsiTheme="minorEastAsia" w:eastAsiaTheme="minorEastAsia"/>
          <w:sz w:val="32"/>
          <w:szCs w:val="32"/>
        </w:rPr>
        <w:t>万元。</w:t>
      </w:r>
    </w:p>
    <w:p>
      <w:pPr>
        <w:pStyle w:val="10"/>
        <w:rPr>
          <w:rFonts w:hAnsi="黑体"/>
          <w:b/>
          <w:sz w:val="32"/>
          <w:szCs w:val="32"/>
        </w:rPr>
      </w:pPr>
      <w:r>
        <w:rPr>
          <w:rFonts w:hint="eastAsia" w:hAnsi="黑体"/>
          <w:b/>
          <w:sz w:val="32"/>
          <w:szCs w:val="32"/>
        </w:rPr>
        <w:t>十、一般性支出情况说明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11.84</w:t>
      </w:r>
      <w:r>
        <w:rPr>
          <w:rFonts w:hint="eastAsia" w:asciiTheme="minorEastAsia" w:hAnsiTheme="minorEastAsia" w:eastAsiaTheme="minorEastAsia"/>
          <w:sz w:val="32"/>
          <w:szCs w:val="32"/>
        </w:rPr>
        <w:t>万元，用于召开</w:t>
      </w:r>
      <w:r>
        <w:rPr>
          <w:rFonts w:hint="eastAsia" w:asciiTheme="minorEastAsia" w:hAnsiTheme="minorEastAsia" w:eastAsiaTheme="minorEastAsia"/>
          <w:sz w:val="32"/>
          <w:szCs w:val="32"/>
          <w:lang w:eastAsia="zh-CN"/>
        </w:rPr>
        <w:t>财政事务等工作</w:t>
      </w:r>
      <w:r>
        <w:rPr>
          <w:rFonts w:hint="eastAsia" w:asciiTheme="minorEastAsia" w:hAnsiTheme="minorEastAsia" w:eastAsiaTheme="minorEastAsia"/>
          <w:sz w:val="32"/>
          <w:szCs w:val="32"/>
        </w:rPr>
        <w:t>会议，人数</w:t>
      </w:r>
      <w:r>
        <w:rPr>
          <w:rFonts w:hint="eastAsia" w:asciiTheme="minorEastAsia" w:hAnsiTheme="minorEastAsia" w:eastAsiaTheme="minorEastAsia"/>
          <w:sz w:val="32"/>
          <w:szCs w:val="32"/>
          <w:lang w:val="en-US" w:eastAsia="zh-CN"/>
        </w:rPr>
        <w:t>1800</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eastAsia="zh-CN"/>
        </w:rPr>
        <w:t>预决算编制、国有资产、预算绩效等工作</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23.41</w:t>
      </w:r>
      <w:r>
        <w:rPr>
          <w:rFonts w:hint="eastAsia" w:asciiTheme="minorEastAsia" w:hAnsiTheme="minorEastAsia" w:eastAsiaTheme="minorEastAsia"/>
          <w:sz w:val="32"/>
          <w:szCs w:val="32"/>
        </w:rPr>
        <w:t>万元，用于开展</w:t>
      </w:r>
      <w:r>
        <w:rPr>
          <w:rFonts w:hint="eastAsia" w:asciiTheme="minorEastAsia" w:hAnsiTheme="minorEastAsia" w:eastAsiaTheme="minorEastAsia"/>
          <w:sz w:val="32"/>
          <w:szCs w:val="32"/>
          <w:lang w:eastAsia="zh-CN"/>
        </w:rPr>
        <w:t>会计业务</w:t>
      </w:r>
      <w:r>
        <w:rPr>
          <w:rFonts w:hint="eastAsia" w:asciiTheme="minorEastAsia" w:hAnsiTheme="minorEastAsia" w:eastAsiaTheme="minorEastAsia"/>
          <w:sz w:val="32"/>
          <w:szCs w:val="32"/>
        </w:rPr>
        <w:t>培训，人数</w:t>
      </w:r>
      <w:r>
        <w:rPr>
          <w:rFonts w:hint="eastAsia" w:asciiTheme="minorEastAsia" w:hAnsiTheme="minorEastAsia" w:eastAsiaTheme="minorEastAsia"/>
          <w:sz w:val="32"/>
          <w:szCs w:val="32"/>
          <w:lang w:val="en-US" w:eastAsia="zh-CN"/>
        </w:rPr>
        <w:t>1400</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eastAsia="zh-CN"/>
        </w:rPr>
        <w:t>新政府会计制度培训、会计基础知识及实际操作培训等</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十一、政府采购支出说明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94</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25</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69</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94</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94</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p>
    <w:p>
      <w:pPr>
        <w:pStyle w:val="10"/>
        <w:rPr>
          <w:rFonts w:hAnsi="黑体"/>
          <w:b/>
          <w:sz w:val="32"/>
          <w:szCs w:val="32"/>
        </w:rPr>
      </w:pPr>
      <w:r>
        <w:rPr>
          <w:rFonts w:hint="eastAsia" w:hAnsi="黑体"/>
          <w:b/>
          <w:sz w:val="32"/>
          <w:szCs w:val="32"/>
        </w:rPr>
        <w:t>十二、国有资产占用情况说明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辆，其他用车主要是</w:t>
      </w:r>
      <w:r>
        <w:rPr>
          <w:rFonts w:hint="eastAsia" w:asciiTheme="minorEastAsia" w:hAnsiTheme="minorEastAsia" w:eastAsiaTheme="minorEastAsia"/>
          <w:sz w:val="32"/>
          <w:szCs w:val="32"/>
          <w:lang w:eastAsia="zh-CN"/>
        </w:rPr>
        <w:t>财政紧急事务用车</w:t>
      </w:r>
      <w:r>
        <w:rPr>
          <w:rFonts w:hint="eastAsia" w:asciiTheme="minorEastAsia" w:hAnsiTheme="minorEastAsia" w:eastAsiaTheme="minorEastAsia"/>
          <w:sz w:val="32"/>
          <w:szCs w:val="32"/>
        </w:rPr>
        <w:t>；单位价值50万元以上通用设备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10"/>
        <w:rPr>
          <w:rFonts w:hAnsi="黑体"/>
          <w:b/>
          <w:sz w:val="32"/>
          <w:szCs w:val="32"/>
        </w:rPr>
      </w:pPr>
      <w:r>
        <w:rPr>
          <w:rFonts w:hint="eastAsia" w:hAnsi="黑体"/>
          <w:b/>
          <w:sz w:val="32"/>
          <w:szCs w:val="32"/>
        </w:rPr>
        <w:t>十三、2021年度预算绩效情况说明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按照财政部门预算绩效管理工作部署,20</w:t>
      </w:r>
      <w:r>
        <w:rPr>
          <w:rFonts w:hint="eastAsia" w:asciiTheme="minorEastAsia" w:hAnsiTheme="minorEastAsia" w:eastAsiaTheme="minorEastAsia"/>
          <w:sz w:val="32"/>
          <w:szCs w:val="32"/>
          <w:lang w:val="en-US" w:eastAsia="zh-CN"/>
        </w:rPr>
        <w:t>21</w:t>
      </w:r>
      <w:r>
        <w:rPr>
          <w:rFonts w:hint="eastAsia" w:asciiTheme="minorEastAsia" w:hAnsiTheme="minorEastAsia" w:eastAsiaTheme="minorEastAsia"/>
          <w:sz w:val="32"/>
          <w:szCs w:val="32"/>
        </w:rPr>
        <w:t>年我单位推行部门整体和20万以上项目绩效目标全覆盖。</w:t>
      </w: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rPr>
          <w:sz w:val="72"/>
          <w:szCs w:val="72"/>
        </w:rPr>
      </w:pPr>
    </w:p>
    <w:p>
      <w:pPr>
        <w:pStyle w:val="10"/>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widowControl/>
        <w:numPr>
          <w:ilvl w:val="0"/>
          <w:numId w:val="0"/>
        </w:numPr>
        <w:ind w:firstLine="640" w:firstLineChars="200"/>
        <w:rPr>
          <w:rFonts w:hint="eastAsia" w:asciiTheme="minorEastAsia" w:hAnsiTheme="minorEastAsia" w:eastAsiaTheme="minorEastAsia" w:cstheme="minorEastAsia"/>
          <w:sz w:val="32"/>
          <w:szCs w:val="32"/>
        </w:rPr>
      </w:pPr>
      <w:r>
        <w:rPr>
          <w:rFonts w:hint="eastAsia" w:cs="黑体" w:asciiTheme="minorEastAsia" w:hAnsiTheme="minorEastAsia"/>
          <w:color w:val="000000"/>
          <w:kern w:val="0"/>
          <w:sz w:val="32"/>
          <w:szCs w:val="32"/>
        </w:rPr>
        <w:t>一、</w:t>
      </w:r>
      <w:r>
        <w:rPr>
          <w:rFonts w:hint="eastAsia" w:asciiTheme="minorEastAsia" w:hAnsiTheme="minorEastAsia" w:eastAsiaTheme="minorEastAsia" w:cstheme="minorEastAsia"/>
          <w:sz w:val="32"/>
          <w:szCs w:val="32"/>
        </w:rPr>
        <w:t>“三公</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经费是指因公出国（境）费用、公务用车购置及运行使用维护费、公务接待费等三项具体经费。</w:t>
      </w:r>
    </w:p>
    <w:p>
      <w:pPr>
        <w:widowControl/>
        <w:numPr>
          <w:ilvl w:val="0"/>
          <w:numId w:val="0"/>
        </w:num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eastAsia="zh-CN"/>
        </w:rPr>
        <w:t>二、“机关运行经费”是指办公费、印刷费、水电费、维修费、会议费、培训费、及三公经费等具体经费。</w:t>
      </w: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p>
    <w:p>
      <w:pPr>
        <w:pStyle w:val="10"/>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jc w:val="center"/>
        <w:rPr>
          <w:rFonts w:ascii="黑体" w:eastAsia="黑体" w:cs="黑体"/>
          <w:color w:val="000000"/>
          <w:kern w:val="0"/>
          <w:sz w:val="70"/>
          <w:szCs w:val="70"/>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A708CB3"/>
    <w:multiLevelType w:val="singleLevel"/>
    <w:tmpl w:val="4A708CB3"/>
    <w:lvl w:ilvl="0" w:tentative="0">
      <w:start w:val="3"/>
      <w:numFmt w:val="decimal"/>
      <w:suff w:val="nothing"/>
      <w:lvlText w:val="%1、"/>
      <w:lvlJc w:val="left"/>
      <w:pPr>
        <w:ind w:left="-33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1BF92D97"/>
    <w:rsid w:val="1C063A19"/>
    <w:rsid w:val="240D10DB"/>
    <w:rsid w:val="2455194A"/>
    <w:rsid w:val="2E8C33E0"/>
    <w:rsid w:val="2EEC563D"/>
    <w:rsid w:val="416E0A3F"/>
    <w:rsid w:val="49467A53"/>
    <w:rsid w:val="4ECB7A62"/>
    <w:rsid w:val="69AC1575"/>
    <w:rsid w:val="71D443A6"/>
    <w:rsid w:val="789A5A76"/>
    <w:rsid w:val="7AAB0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9566</Words>
  <Characters>11781</Characters>
  <Lines>69</Lines>
  <Paragraphs>19</Paragraphs>
  <TotalTime>1</TotalTime>
  <ScaleCrop>false</ScaleCrop>
  <LinksUpToDate>false</LinksUpToDate>
  <CharactersWithSpaces>12792</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2023-09-07T01:02:00Z</cp:lastPrinted>
  <dcterms:modified xsi:type="dcterms:W3CDTF">2025-09-11T09:49:12Z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328C83224FC84710A622411EB77EED38</vt:lpwstr>
  </property>
</Properties>
</file>