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3E2F693">
      <w:pPr>
        <w:spacing w:line="570" w:lineRule="atLeast"/>
        <w:ind w:firstLine="420"/>
        <w:jc w:val="center"/>
        <w:rPr>
          <w:rFonts w:hint="eastAsia" w:ascii="方正小标宋简体" w:hAnsi="方正小标宋简体" w:eastAsia="方正小标宋简体" w:cs="方正小标宋简体"/>
          <w:b/>
          <w:sz w:val="44"/>
          <w:szCs w:val="44"/>
        </w:rPr>
      </w:pPr>
    </w:p>
    <w:p w14:paraId="70E37C0D">
      <w:pPr>
        <w:spacing w:line="570" w:lineRule="atLeast"/>
        <w:ind w:firstLine="420"/>
        <w:jc w:val="center"/>
        <w:rPr>
          <w:rFonts w:hint="eastAsia" w:ascii="方正小标宋简体" w:hAnsi="方正小标宋简体" w:eastAsia="方正小标宋简体" w:cs="方正小标宋简体"/>
          <w:b/>
          <w:sz w:val="44"/>
          <w:szCs w:val="44"/>
        </w:rPr>
      </w:pPr>
    </w:p>
    <w:p w14:paraId="487C58C3">
      <w:pPr>
        <w:spacing w:line="570" w:lineRule="atLeast"/>
        <w:ind w:firstLine="420"/>
        <w:jc w:val="center"/>
        <w:rPr>
          <w:rFonts w:hint="eastAsia" w:ascii="方正小标宋简体" w:hAnsi="方正小标宋简体" w:eastAsia="方正小标宋简体" w:cs="方正小标宋简体"/>
          <w:b/>
          <w:sz w:val="44"/>
          <w:szCs w:val="44"/>
        </w:rPr>
      </w:pPr>
    </w:p>
    <w:p w14:paraId="12B233D6">
      <w:pPr>
        <w:spacing w:line="570" w:lineRule="atLeast"/>
        <w:ind w:firstLine="420"/>
        <w:jc w:val="center"/>
        <w:rPr>
          <w:rFonts w:hint="eastAsia" w:ascii="方正小标宋简体" w:hAnsi="方正小标宋简体" w:eastAsia="方正小标宋简体" w:cs="方正小标宋简体"/>
          <w:b/>
          <w:sz w:val="44"/>
          <w:szCs w:val="44"/>
        </w:rPr>
      </w:pPr>
    </w:p>
    <w:p w14:paraId="70739846">
      <w:pPr>
        <w:spacing w:line="570" w:lineRule="atLeast"/>
        <w:ind w:firstLine="420"/>
        <w:jc w:val="center"/>
        <w:rPr>
          <w:rFonts w:hint="eastAsia" w:ascii="方正小标宋简体" w:hAnsi="方正小标宋简体" w:eastAsia="方正小标宋简体" w:cs="方正小标宋简体"/>
          <w:b/>
          <w:sz w:val="44"/>
          <w:szCs w:val="44"/>
        </w:rPr>
      </w:pPr>
    </w:p>
    <w:p w14:paraId="1A356D5A">
      <w:pPr>
        <w:spacing w:line="570" w:lineRule="atLeast"/>
        <w:jc w:val="center"/>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sz w:val="44"/>
          <w:szCs w:val="44"/>
        </w:rPr>
        <w:t>202</w:t>
      </w:r>
      <w:r>
        <w:rPr>
          <w:rFonts w:hint="eastAsia" w:ascii="方正小标宋简体" w:hAnsi="方正小标宋简体" w:eastAsia="方正小标宋简体" w:cs="方正小标宋简体"/>
          <w:b/>
          <w:sz w:val="44"/>
          <w:szCs w:val="44"/>
          <w:lang w:val="en-US" w:eastAsia="zh-CN"/>
        </w:rPr>
        <w:t>4</w:t>
      </w:r>
      <w:r>
        <w:rPr>
          <w:rFonts w:hint="eastAsia" w:ascii="方正小标宋简体" w:hAnsi="方正小标宋简体" w:eastAsia="方正小标宋简体" w:cs="方正小标宋简体"/>
          <w:b/>
          <w:sz w:val="44"/>
          <w:szCs w:val="44"/>
        </w:rPr>
        <w:t>年</w:t>
      </w:r>
      <w:bookmarkStart w:id="0" w:name="AGENCY_NAME_TITLE"/>
      <w:r>
        <w:rPr>
          <w:rFonts w:hint="eastAsia" w:ascii="方正小标宋简体" w:hAnsi="方正小标宋简体" w:eastAsia="方正小标宋简体" w:cs="方正小标宋简体"/>
          <w:b/>
          <w:bCs/>
          <w:sz w:val="44"/>
          <w:szCs w:val="44"/>
        </w:rPr>
        <w:t>道县发展和改革局</w:t>
      </w:r>
      <w:bookmarkEnd w:id="0"/>
    </w:p>
    <w:p w14:paraId="76337482">
      <w:pPr>
        <w:spacing w:line="570" w:lineRule="atLeast"/>
        <w:jc w:val="center"/>
        <w:rPr>
          <w:rFonts w:ascii="方正小标宋简体" w:hAnsi="方正小标宋简体" w:eastAsia="方正小标宋简体" w:cs="方正小标宋简体"/>
          <w:b/>
          <w:sz w:val="44"/>
          <w:szCs w:val="44"/>
        </w:rPr>
        <w:sectPr>
          <w:pgSz w:w="11906" w:h="16838" w:orient="landscape"/>
          <w:pgMar w:top="2098" w:right="1587" w:bottom="1984" w:left="1587" w:header="851" w:footer="992" w:gutter="0"/>
          <w:cols w:space="1701" w:num="1"/>
        </w:sectPr>
      </w:pPr>
      <w:r>
        <w:rPr>
          <w:rFonts w:hint="eastAsia" w:ascii="方正小标宋简体" w:hAnsi="方正小标宋简体" w:eastAsia="方正小标宋简体" w:cs="方正小标宋简体"/>
          <w:b/>
          <w:sz w:val="44"/>
          <w:szCs w:val="44"/>
        </w:rPr>
        <w:t>部门预算公开</w:t>
      </w:r>
    </w:p>
    <w:p w14:paraId="25ABD742">
      <w:pPr>
        <w:widowControl/>
        <w:spacing w:line="570" w:lineRule="atLeast"/>
        <w:jc w:val="center"/>
        <w:rPr>
          <w:rFonts w:eastAsia="黑体"/>
          <w:b/>
          <w:sz w:val="36"/>
          <w:szCs w:val="36"/>
        </w:rPr>
      </w:pPr>
      <w:r>
        <w:rPr>
          <w:rFonts w:eastAsia="黑体"/>
          <w:b/>
          <w:sz w:val="36"/>
          <w:szCs w:val="36"/>
        </w:rPr>
        <w:t xml:space="preserve">目 </w:t>
      </w:r>
      <w:r>
        <w:rPr>
          <w:rFonts w:hint="eastAsia" w:eastAsia="黑体"/>
          <w:b/>
          <w:sz w:val="36"/>
          <w:szCs w:val="36"/>
        </w:rPr>
        <w:t xml:space="preserve">  </w:t>
      </w:r>
      <w:r>
        <w:rPr>
          <w:rFonts w:eastAsia="黑体"/>
          <w:b/>
          <w:sz w:val="36"/>
          <w:szCs w:val="36"/>
        </w:rPr>
        <w:t>录</w:t>
      </w:r>
    </w:p>
    <w:p w14:paraId="5E3A868B">
      <w:pPr>
        <w:widowControl/>
        <w:spacing w:line="570" w:lineRule="atLeast"/>
        <w:ind w:firstLine="630"/>
        <w:rPr>
          <w:rFonts w:hint="eastAsia" w:ascii="黑体" w:hAnsi="黑体" w:eastAsia="黑体" w:cs="黑体"/>
          <w:b/>
          <w:bCs/>
          <w:sz w:val="32"/>
          <w:szCs w:val="32"/>
        </w:rPr>
      </w:pPr>
      <w:r>
        <w:rPr>
          <w:rFonts w:hint="eastAsia" w:ascii="黑体" w:hAnsi="黑体" w:eastAsia="黑体" w:cs="黑体"/>
          <w:b/>
          <w:bCs/>
          <w:sz w:val="32"/>
          <w:szCs w:val="32"/>
        </w:rPr>
        <w:t>第一部分 202</w:t>
      </w:r>
      <w:r>
        <w:rPr>
          <w:rFonts w:hint="eastAsia" w:ascii="黑体" w:hAnsi="黑体" w:eastAsia="黑体" w:cs="黑体"/>
          <w:b/>
          <w:bCs/>
          <w:sz w:val="32"/>
          <w:szCs w:val="32"/>
          <w:lang w:val="en-US" w:eastAsia="zh-CN"/>
        </w:rPr>
        <w:t>4</w:t>
      </w:r>
      <w:r>
        <w:rPr>
          <w:rFonts w:hint="eastAsia" w:ascii="黑体" w:hAnsi="黑体" w:eastAsia="黑体" w:cs="黑体"/>
          <w:b/>
          <w:bCs/>
          <w:sz w:val="32"/>
          <w:szCs w:val="32"/>
        </w:rPr>
        <w:t>年</w:t>
      </w:r>
      <w:r>
        <w:rPr>
          <w:rFonts w:hint="eastAsia" w:ascii="黑体" w:hAnsi="黑体" w:eastAsia="黑体" w:cs="黑体"/>
          <w:b/>
          <w:sz w:val="32"/>
          <w:szCs w:val="32"/>
        </w:rPr>
        <w:t>部门</w:t>
      </w:r>
      <w:r>
        <w:rPr>
          <w:rFonts w:hint="eastAsia" w:ascii="黑体" w:hAnsi="黑体" w:eastAsia="黑体" w:cs="黑体"/>
          <w:b/>
          <w:bCs/>
          <w:sz w:val="32"/>
          <w:szCs w:val="32"/>
        </w:rPr>
        <w:t>预算公开说明</w:t>
      </w:r>
    </w:p>
    <w:p w14:paraId="7B5E15D5">
      <w:pPr>
        <w:widowControl/>
        <w:spacing w:line="570" w:lineRule="atLeast"/>
        <w:ind w:firstLine="630"/>
        <w:rPr>
          <w:rFonts w:eastAsia="黑体"/>
          <w:b/>
          <w:bCs/>
          <w:sz w:val="32"/>
          <w:szCs w:val="32"/>
        </w:rPr>
      </w:pPr>
      <w:r>
        <w:rPr>
          <w:rFonts w:eastAsia="黑体"/>
          <w:b/>
          <w:bCs/>
          <w:sz w:val="32"/>
          <w:szCs w:val="32"/>
        </w:rPr>
        <w:t>一、</w:t>
      </w:r>
      <w:r>
        <w:rPr>
          <w:rFonts w:hint="eastAsia" w:eastAsia="黑体"/>
          <w:b/>
          <w:bCs/>
          <w:sz w:val="32"/>
          <w:szCs w:val="32"/>
        </w:rPr>
        <w:t>部门</w:t>
      </w:r>
      <w:r>
        <w:rPr>
          <w:rFonts w:eastAsia="黑体"/>
          <w:b/>
          <w:bCs/>
          <w:sz w:val="32"/>
          <w:szCs w:val="32"/>
        </w:rPr>
        <w:t>基本概况</w:t>
      </w:r>
    </w:p>
    <w:p w14:paraId="1DA87CFB">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（一）职能职责</w:t>
      </w:r>
    </w:p>
    <w:p w14:paraId="7628C7DA">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（二）机构设置</w:t>
      </w:r>
    </w:p>
    <w:p w14:paraId="366DD290">
      <w:pPr>
        <w:widowControl/>
        <w:spacing w:line="570" w:lineRule="atLeast"/>
        <w:ind w:firstLine="630"/>
        <w:rPr>
          <w:rFonts w:eastAsia="黑体"/>
          <w:b/>
          <w:bCs/>
          <w:sz w:val="32"/>
          <w:szCs w:val="32"/>
        </w:rPr>
      </w:pPr>
      <w:r>
        <w:rPr>
          <w:rFonts w:eastAsia="黑体"/>
          <w:b/>
          <w:bCs/>
          <w:sz w:val="32"/>
          <w:szCs w:val="32"/>
        </w:rPr>
        <w:t>二、</w:t>
      </w:r>
      <w:r>
        <w:rPr>
          <w:rFonts w:hint="eastAsia" w:eastAsia="黑体"/>
          <w:b/>
          <w:bCs/>
          <w:sz w:val="32"/>
          <w:szCs w:val="32"/>
        </w:rPr>
        <w:t>部门预算单位构成</w:t>
      </w:r>
    </w:p>
    <w:p w14:paraId="64292D61">
      <w:pPr>
        <w:widowControl/>
        <w:spacing w:line="570" w:lineRule="atLeast"/>
        <w:ind w:firstLine="630"/>
        <w:rPr>
          <w:rFonts w:hint="eastAsia" w:ascii="黑体" w:hAnsi="黑体" w:eastAsia="黑体" w:cs="黑体"/>
          <w:b/>
          <w:bCs/>
          <w:sz w:val="32"/>
          <w:szCs w:val="32"/>
        </w:rPr>
      </w:pPr>
      <w:r>
        <w:rPr>
          <w:rFonts w:hint="eastAsia" w:ascii="黑体" w:hAnsi="黑体" w:eastAsia="黑体" w:cs="黑体"/>
          <w:b/>
          <w:bCs/>
          <w:sz w:val="32"/>
          <w:szCs w:val="32"/>
        </w:rPr>
        <w:t>三、部门收支总体情况</w:t>
      </w:r>
    </w:p>
    <w:p w14:paraId="59529209">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（一）收入预算</w:t>
      </w:r>
    </w:p>
    <w:p w14:paraId="31C50BA9">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（二）支出预算</w:t>
      </w:r>
    </w:p>
    <w:p w14:paraId="7FADD405">
      <w:pPr>
        <w:widowControl/>
        <w:spacing w:line="570" w:lineRule="atLeast"/>
        <w:ind w:firstLine="660"/>
        <w:rPr>
          <w:rFonts w:eastAsia="黑体"/>
          <w:b/>
          <w:sz w:val="32"/>
          <w:szCs w:val="32"/>
        </w:rPr>
      </w:pPr>
      <w:r>
        <w:rPr>
          <w:rFonts w:hint="eastAsia" w:eastAsia="黑体"/>
          <w:b/>
          <w:sz w:val="32"/>
          <w:szCs w:val="32"/>
        </w:rPr>
        <w:t>四</w:t>
      </w:r>
      <w:r>
        <w:rPr>
          <w:rFonts w:eastAsia="黑体"/>
          <w:b/>
          <w:sz w:val="32"/>
          <w:szCs w:val="32"/>
        </w:rPr>
        <w:t>、一般公共预算拨款支出</w:t>
      </w:r>
    </w:p>
    <w:p w14:paraId="2525E348">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（一）基本支出</w:t>
      </w:r>
    </w:p>
    <w:p w14:paraId="3835DD38">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（二）项目支出</w:t>
      </w:r>
    </w:p>
    <w:p w14:paraId="1F43C180">
      <w:pPr>
        <w:widowControl/>
        <w:spacing w:line="570" w:lineRule="atLeast"/>
        <w:ind w:firstLine="660"/>
        <w:rPr>
          <w:rFonts w:eastAsia="黑体"/>
          <w:b/>
          <w:sz w:val="32"/>
          <w:szCs w:val="32"/>
        </w:rPr>
      </w:pPr>
      <w:r>
        <w:rPr>
          <w:rFonts w:hint="eastAsia" w:eastAsia="黑体"/>
          <w:b/>
          <w:sz w:val="32"/>
          <w:szCs w:val="32"/>
        </w:rPr>
        <w:t>五</w:t>
      </w:r>
      <w:r>
        <w:rPr>
          <w:rFonts w:eastAsia="黑体"/>
          <w:b/>
          <w:sz w:val="32"/>
          <w:szCs w:val="32"/>
        </w:rPr>
        <w:t>、政府性基金预算支出</w:t>
      </w:r>
    </w:p>
    <w:p w14:paraId="5789B85A">
      <w:pPr>
        <w:widowControl/>
        <w:spacing w:line="570" w:lineRule="atLeast"/>
        <w:ind w:firstLine="660"/>
        <w:rPr>
          <w:rFonts w:eastAsia="黑体"/>
          <w:b/>
          <w:sz w:val="32"/>
          <w:szCs w:val="32"/>
        </w:rPr>
      </w:pPr>
      <w:r>
        <w:rPr>
          <w:rFonts w:hint="eastAsia" w:eastAsia="黑体"/>
          <w:b/>
          <w:sz w:val="32"/>
          <w:szCs w:val="32"/>
        </w:rPr>
        <w:t>六</w:t>
      </w:r>
      <w:r>
        <w:rPr>
          <w:rFonts w:eastAsia="黑体"/>
          <w:b/>
          <w:sz w:val="32"/>
          <w:szCs w:val="32"/>
        </w:rPr>
        <w:t>、</w:t>
      </w:r>
      <w:r>
        <w:rPr>
          <w:rFonts w:hint="eastAsia" w:eastAsia="黑体"/>
          <w:b/>
          <w:sz w:val="32"/>
          <w:szCs w:val="32"/>
        </w:rPr>
        <w:t>国有资本经营预算支出</w:t>
      </w:r>
    </w:p>
    <w:p w14:paraId="40C7E49E">
      <w:pPr>
        <w:widowControl/>
        <w:spacing w:line="570" w:lineRule="atLeast"/>
        <w:ind w:firstLine="660"/>
        <w:rPr>
          <w:rFonts w:eastAsia="黑体"/>
          <w:b/>
          <w:sz w:val="32"/>
          <w:szCs w:val="32"/>
        </w:rPr>
      </w:pPr>
      <w:r>
        <w:rPr>
          <w:rFonts w:hint="eastAsia" w:eastAsia="黑体"/>
          <w:b/>
          <w:sz w:val="32"/>
          <w:szCs w:val="32"/>
        </w:rPr>
        <w:t>七</w:t>
      </w:r>
      <w:r>
        <w:rPr>
          <w:rFonts w:eastAsia="黑体"/>
          <w:b/>
          <w:sz w:val="32"/>
          <w:szCs w:val="32"/>
        </w:rPr>
        <w:t>、其他重要事项的情况说明</w:t>
      </w:r>
    </w:p>
    <w:p w14:paraId="1162D93B">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（一）机关运行经费</w:t>
      </w:r>
    </w:p>
    <w:p w14:paraId="71C80D5A">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（二）“三公”经费预算</w:t>
      </w:r>
    </w:p>
    <w:p w14:paraId="0E0F7656">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（三）一般性支出情况</w:t>
      </w:r>
    </w:p>
    <w:p w14:paraId="0E7B65A4">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（四）政府采购情况</w:t>
      </w:r>
    </w:p>
    <w:p w14:paraId="78FEF260">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（五）国有资产占用使用及新增资产配置情况</w:t>
      </w:r>
    </w:p>
    <w:p w14:paraId="0F15ABE5">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（六）预算绩效目标说明</w:t>
      </w:r>
    </w:p>
    <w:p w14:paraId="1D1BE203">
      <w:pPr>
        <w:widowControl/>
        <w:spacing w:line="570" w:lineRule="atLeast"/>
        <w:ind w:firstLine="660"/>
        <w:rPr>
          <w:rFonts w:eastAsia="黑体"/>
          <w:b/>
          <w:sz w:val="32"/>
          <w:szCs w:val="32"/>
        </w:rPr>
      </w:pPr>
      <w:r>
        <w:rPr>
          <w:rFonts w:hint="eastAsia" w:eastAsia="黑体"/>
          <w:b/>
          <w:sz w:val="32"/>
          <w:szCs w:val="32"/>
        </w:rPr>
        <w:t>八</w:t>
      </w:r>
      <w:r>
        <w:rPr>
          <w:rFonts w:eastAsia="黑体"/>
          <w:b/>
          <w:sz w:val="32"/>
          <w:szCs w:val="32"/>
        </w:rPr>
        <w:t>、名词解释</w:t>
      </w:r>
    </w:p>
    <w:p w14:paraId="640EC481">
      <w:pPr>
        <w:widowControl/>
        <w:spacing w:line="570" w:lineRule="atLeast"/>
        <w:ind w:firstLine="660"/>
        <w:rPr>
          <w:rFonts w:hint="eastAsia" w:ascii="黑体" w:hAnsi="黑体" w:eastAsia="黑体" w:cs="黑体"/>
          <w:b/>
          <w:sz w:val="32"/>
          <w:szCs w:val="32"/>
        </w:rPr>
      </w:pPr>
      <w:r>
        <w:rPr>
          <w:rFonts w:hint="eastAsia" w:ascii="黑体" w:hAnsi="黑体" w:eastAsia="黑体" w:cs="黑体"/>
          <w:b/>
          <w:sz w:val="32"/>
          <w:szCs w:val="32"/>
        </w:rPr>
        <w:t>第二部分 202</w:t>
      </w:r>
      <w:r>
        <w:rPr>
          <w:rFonts w:hint="eastAsia" w:ascii="黑体" w:hAnsi="黑体" w:eastAsia="黑体" w:cs="黑体"/>
          <w:b/>
          <w:sz w:val="32"/>
          <w:szCs w:val="32"/>
          <w:lang w:val="en-US" w:eastAsia="zh-CN"/>
        </w:rPr>
        <w:t>4</w:t>
      </w:r>
      <w:r>
        <w:rPr>
          <w:rFonts w:hint="eastAsia" w:ascii="黑体" w:hAnsi="黑体" w:eastAsia="黑体" w:cs="黑体"/>
          <w:b/>
          <w:sz w:val="32"/>
          <w:szCs w:val="32"/>
        </w:rPr>
        <w:t>年部门预算表</w:t>
      </w:r>
    </w:p>
    <w:p w14:paraId="54ED8617">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1、收支总表</w:t>
      </w:r>
    </w:p>
    <w:p w14:paraId="43529489">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2、收入总表</w:t>
      </w:r>
    </w:p>
    <w:p w14:paraId="6B419D60">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3、支出总表</w:t>
      </w:r>
    </w:p>
    <w:p w14:paraId="3F9249B0">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4、支出预算分类汇总表（按政府预算经济分类）</w:t>
      </w:r>
    </w:p>
    <w:p w14:paraId="16EDEBC7">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5、支出预算分类汇总表（按部门预算经济分类）</w:t>
      </w:r>
    </w:p>
    <w:p w14:paraId="72B29836">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6、财政拨款收支总表</w:t>
      </w:r>
    </w:p>
    <w:p w14:paraId="7E910EAC">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7、一般公共预算支出表</w:t>
      </w:r>
    </w:p>
    <w:p w14:paraId="241447D0">
      <w:pPr>
        <w:spacing w:line="570" w:lineRule="atLeast"/>
        <w:ind w:firstLine="640"/>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8</w:t>
      </w:r>
      <w:r>
        <w:rPr>
          <w:rFonts w:hint="eastAsia" w:ascii="仿宋_GB2312" w:hAnsi="仿宋_GB2312" w:eastAsia="仿宋_GB2312" w:cs="仿宋_GB2312"/>
          <w:color w:val="000000"/>
          <w:sz w:val="32"/>
          <w:szCs w:val="32"/>
          <w:shd w:val="clear" w:color="auto" w:fill="FFFFFF"/>
        </w:rPr>
        <w:t>、一般公共预算基本支出表</w:t>
      </w:r>
    </w:p>
    <w:p w14:paraId="1229E774">
      <w:pPr>
        <w:spacing w:line="570" w:lineRule="atLeast"/>
        <w:ind w:firstLine="640"/>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9</w:t>
      </w:r>
      <w:r>
        <w:rPr>
          <w:rFonts w:hint="eastAsia" w:ascii="仿宋_GB2312" w:hAnsi="仿宋_GB2312" w:eastAsia="仿宋_GB2312" w:cs="仿宋_GB2312"/>
          <w:color w:val="000000"/>
          <w:sz w:val="32"/>
          <w:szCs w:val="32"/>
          <w:shd w:val="clear" w:color="auto" w:fill="FFFFFF"/>
        </w:rPr>
        <w:t>、一般公共预算基本支出表--人员经费(工资福利支出)(按政府预算经济分类)</w:t>
      </w:r>
    </w:p>
    <w:p w14:paraId="27D722E8">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w:t>
      </w:r>
      <w:r>
        <w:rPr>
          <w:rFonts w:ascii="仿宋_GB2312" w:hAnsi="仿宋_GB2312" w:eastAsia="仿宋_GB2312" w:cs="仿宋_GB2312"/>
          <w:color w:val="000000"/>
          <w:sz w:val="32"/>
          <w:szCs w:val="32"/>
          <w:shd w:val="clear" w:color="auto" w:fill="FFFFFF"/>
        </w:rPr>
        <w:t>0</w:t>
      </w:r>
      <w:r>
        <w:rPr>
          <w:rFonts w:hint="eastAsia" w:ascii="仿宋_GB2312" w:hAnsi="仿宋_GB2312" w:eastAsia="仿宋_GB2312" w:cs="仿宋_GB2312"/>
          <w:color w:val="000000"/>
          <w:sz w:val="32"/>
          <w:szCs w:val="32"/>
          <w:shd w:val="clear" w:color="auto" w:fill="FFFFFF"/>
        </w:rPr>
        <w:t>、一般公共预算基本支出表--人员经费(工资福利支出)(按</w:t>
      </w:r>
      <w:r>
        <w:rPr>
          <w:rFonts w:hint="eastAsia" w:ascii="仿宋_GB2312" w:hAnsi="仿宋_GB2312" w:eastAsia="仿宋_GB2312" w:cs="仿宋_GB2312"/>
          <w:color w:val="000000"/>
          <w:sz w:val="32"/>
          <w:szCs w:val="32"/>
          <w:shd w:val="clear" w:color="auto" w:fill="FFFFFF"/>
          <w:lang w:val="en-US" w:eastAsia="zh-CN"/>
        </w:rPr>
        <w:t>部门</w:t>
      </w:r>
      <w:r>
        <w:rPr>
          <w:rFonts w:hint="eastAsia" w:ascii="仿宋_GB2312" w:hAnsi="仿宋_GB2312" w:eastAsia="仿宋_GB2312" w:cs="仿宋_GB2312"/>
          <w:color w:val="000000"/>
          <w:sz w:val="32"/>
          <w:szCs w:val="32"/>
          <w:shd w:val="clear" w:color="auto" w:fill="FFFFFF"/>
        </w:rPr>
        <w:t>预算经济分类)</w:t>
      </w:r>
    </w:p>
    <w:p w14:paraId="7A6ADD0E">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w:t>
      </w:r>
      <w:r>
        <w:rPr>
          <w:rFonts w:ascii="仿宋_GB2312" w:hAnsi="仿宋_GB2312" w:eastAsia="仿宋_GB2312" w:cs="仿宋_GB2312"/>
          <w:color w:val="000000"/>
          <w:sz w:val="32"/>
          <w:szCs w:val="32"/>
          <w:shd w:val="clear" w:color="auto" w:fill="FFFFFF"/>
        </w:rPr>
        <w:t>1</w:t>
      </w:r>
      <w:r>
        <w:rPr>
          <w:rFonts w:hint="eastAsia" w:ascii="仿宋_GB2312" w:hAnsi="仿宋_GB2312" w:eastAsia="仿宋_GB2312" w:cs="仿宋_GB2312"/>
          <w:color w:val="000000"/>
          <w:sz w:val="32"/>
          <w:szCs w:val="32"/>
          <w:shd w:val="clear" w:color="auto" w:fill="FFFFFF"/>
        </w:rPr>
        <w:t>、一般公共预算基本支出表--人员经费(对个人和家庭的补助)（按政府预算经济分类）</w:t>
      </w:r>
    </w:p>
    <w:p w14:paraId="74D14F67">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w:t>
      </w:r>
      <w:r>
        <w:rPr>
          <w:rFonts w:ascii="仿宋_GB2312" w:hAnsi="仿宋_GB2312" w:eastAsia="仿宋_GB2312" w:cs="仿宋_GB2312"/>
          <w:color w:val="000000"/>
          <w:sz w:val="32"/>
          <w:szCs w:val="32"/>
          <w:shd w:val="clear" w:color="auto" w:fill="FFFFFF"/>
        </w:rPr>
        <w:t>2</w:t>
      </w:r>
      <w:r>
        <w:rPr>
          <w:rFonts w:hint="eastAsia" w:ascii="仿宋_GB2312" w:hAnsi="仿宋_GB2312" w:eastAsia="仿宋_GB2312" w:cs="仿宋_GB2312"/>
          <w:color w:val="000000"/>
          <w:sz w:val="32"/>
          <w:szCs w:val="32"/>
          <w:shd w:val="clear" w:color="auto" w:fill="FFFFFF"/>
        </w:rPr>
        <w:t>、一般公共预算基本支出表--人员经费(对个人和家庭的补助)（按部门预算经济分类）</w:t>
      </w:r>
    </w:p>
    <w:p w14:paraId="24C89BA2">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w:t>
      </w:r>
      <w:r>
        <w:rPr>
          <w:rFonts w:ascii="仿宋_GB2312" w:hAnsi="仿宋_GB2312" w:eastAsia="仿宋_GB2312" w:cs="仿宋_GB2312"/>
          <w:color w:val="000000"/>
          <w:sz w:val="32"/>
          <w:szCs w:val="32"/>
          <w:shd w:val="clear" w:color="auto" w:fill="FFFFFF"/>
        </w:rPr>
        <w:t>3</w:t>
      </w:r>
      <w:r>
        <w:rPr>
          <w:rFonts w:hint="eastAsia" w:ascii="仿宋_GB2312" w:hAnsi="仿宋_GB2312" w:eastAsia="仿宋_GB2312" w:cs="仿宋_GB2312"/>
          <w:color w:val="000000"/>
          <w:sz w:val="32"/>
          <w:szCs w:val="32"/>
          <w:shd w:val="clear" w:color="auto" w:fill="FFFFFF"/>
        </w:rPr>
        <w:t>、一般公共预算基本支出表--公用经费(商品和服务支出)(按政府预算经济分类)</w:t>
      </w:r>
    </w:p>
    <w:p w14:paraId="4D62E3F8">
      <w:pPr>
        <w:pStyle w:val="2"/>
        <w:rPr>
          <w:rFonts w:eastAsia="仿宋_GB2312"/>
          <w:lang w:val="en-US" w:eastAsia="zh-CN"/>
        </w:rPr>
      </w:pPr>
      <w:r>
        <w:rPr>
          <w:rFonts w:hint="eastAsia" w:ascii="仿宋_GB2312" w:hAnsi="仿宋_GB2312" w:eastAsia="仿宋_GB2312" w:cs="仿宋_GB2312"/>
          <w:color w:val="000000"/>
          <w:sz w:val="32"/>
          <w:szCs w:val="32"/>
          <w:shd w:val="clear" w:color="auto" w:fill="FFFFFF"/>
          <w:lang w:val="en-US" w:eastAsia="zh-CN"/>
        </w:rPr>
        <w:t xml:space="preserve"> 14、</w:t>
      </w:r>
      <w:r>
        <w:rPr>
          <w:rFonts w:hint="eastAsia" w:ascii="仿宋_GB2312" w:hAnsi="仿宋_GB2312" w:eastAsia="仿宋_GB2312" w:cs="仿宋_GB2312"/>
          <w:color w:val="000000"/>
          <w:sz w:val="32"/>
          <w:szCs w:val="32"/>
          <w:shd w:val="clear" w:color="auto" w:fill="FFFFFF"/>
        </w:rPr>
        <w:t>一般公共预算基本支出表--公用经费(商品和服务支出)</w:t>
      </w:r>
      <w:r>
        <w:rPr>
          <w:rFonts w:hint="eastAsia" w:ascii="仿宋_GB2312" w:hAnsi="仿宋_GB2312" w:eastAsia="仿宋_GB2312" w:cs="仿宋_GB2312"/>
          <w:color w:val="000000"/>
          <w:sz w:val="32"/>
          <w:szCs w:val="32"/>
          <w:shd w:val="clear" w:color="auto" w:fill="FFFFFF"/>
          <w:lang w:eastAsia="zh-CN"/>
        </w:rPr>
        <w:t>（</w:t>
      </w:r>
      <w:r>
        <w:rPr>
          <w:rFonts w:hint="eastAsia" w:ascii="仿宋_GB2312" w:hAnsi="仿宋_GB2312" w:eastAsia="仿宋_GB2312" w:cs="仿宋_GB2312"/>
          <w:color w:val="000000"/>
          <w:sz w:val="32"/>
          <w:szCs w:val="32"/>
          <w:shd w:val="clear" w:color="auto" w:fill="FFFFFF"/>
          <w:lang w:val="en-US" w:eastAsia="zh-CN"/>
        </w:rPr>
        <w:t>按部门预算经济分类）</w:t>
      </w:r>
    </w:p>
    <w:p w14:paraId="1F415945">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w:t>
      </w:r>
      <w:r>
        <w:rPr>
          <w:rFonts w:hint="eastAsia" w:ascii="仿宋_GB2312" w:hAnsi="仿宋_GB2312" w:eastAsia="仿宋_GB2312" w:cs="仿宋_GB2312"/>
          <w:color w:val="000000"/>
          <w:sz w:val="32"/>
          <w:szCs w:val="32"/>
          <w:shd w:val="clear" w:color="auto" w:fill="FFFFFF"/>
          <w:lang w:val="en-US" w:eastAsia="zh-CN"/>
        </w:rPr>
        <w:t>5</w:t>
      </w:r>
      <w:r>
        <w:rPr>
          <w:rFonts w:hint="eastAsia" w:ascii="仿宋_GB2312" w:hAnsi="仿宋_GB2312" w:eastAsia="仿宋_GB2312" w:cs="仿宋_GB2312"/>
          <w:color w:val="000000"/>
          <w:sz w:val="32"/>
          <w:szCs w:val="32"/>
          <w:shd w:val="clear" w:color="auto" w:fill="FFFFFF"/>
        </w:rPr>
        <w:t>、一般公共预算“三公”经费支出表</w:t>
      </w:r>
    </w:p>
    <w:p w14:paraId="05599BFB">
      <w:pPr>
        <w:spacing w:line="570" w:lineRule="atLeast"/>
        <w:ind w:firstLine="640"/>
        <w:rPr>
          <w:rFonts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w:t>
      </w:r>
      <w:r>
        <w:rPr>
          <w:rFonts w:hint="eastAsia" w:ascii="仿宋_GB2312" w:hAnsi="仿宋_GB2312" w:eastAsia="仿宋_GB2312" w:cs="仿宋_GB2312"/>
          <w:color w:val="000000"/>
          <w:sz w:val="32"/>
          <w:szCs w:val="32"/>
          <w:shd w:val="clear" w:color="auto" w:fill="FFFFFF"/>
          <w:lang w:val="en-US" w:eastAsia="zh-CN"/>
        </w:rPr>
        <w:t>6</w:t>
      </w:r>
      <w:r>
        <w:rPr>
          <w:rFonts w:hint="eastAsia" w:ascii="仿宋_GB2312" w:hAnsi="仿宋_GB2312" w:eastAsia="仿宋_GB2312" w:cs="仿宋_GB2312"/>
          <w:color w:val="000000"/>
          <w:sz w:val="32"/>
          <w:szCs w:val="32"/>
          <w:shd w:val="clear" w:color="auto" w:fill="FFFFFF"/>
        </w:rPr>
        <w:t>、政府性基金预算支出表</w:t>
      </w:r>
    </w:p>
    <w:p w14:paraId="28207396">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w:t>
      </w:r>
      <w:r>
        <w:rPr>
          <w:rFonts w:hint="eastAsia" w:ascii="仿宋_GB2312" w:hAnsi="仿宋_GB2312" w:eastAsia="仿宋_GB2312" w:cs="仿宋_GB2312"/>
          <w:color w:val="000000"/>
          <w:sz w:val="32"/>
          <w:szCs w:val="32"/>
          <w:shd w:val="clear" w:color="auto" w:fill="FFFFFF"/>
          <w:lang w:val="en-US" w:eastAsia="zh-CN"/>
        </w:rPr>
        <w:t>7</w:t>
      </w:r>
      <w:r>
        <w:rPr>
          <w:rFonts w:hint="eastAsia" w:ascii="仿宋_GB2312" w:hAnsi="仿宋_GB2312" w:eastAsia="仿宋_GB2312" w:cs="仿宋_GB2312"/>
          <w:color w:val="000000"/>
          <w:sz w:val="32"/>
          <w:szCs w:val="32"/>
          <w:shd w:val="clear" w:color="auto" w:fill="FFFFFF"/>
        </w:rPr>
        <w:t>、政府性基金预算支出分类汇总表（按政府预算经济分类）</w:t>
      </w:r>
    </w:p>
    <w:p w14:paraId="2BA1C35A">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w:t>
      </w:r>
      <w:r>
        <w:rPr>
          <w:rFonts w:hint="eastAsia" w:ascii="仿宋_GB2312" w:hAnsi="仿宋_GB2312" w:eastAsia="仿宋_GB2312" w:cs="仿宋_GB2312"/>
          <w:color w:val="000000"/>
          <w:sz w:val="32"/>
          <w:szCs w:val="32"/>
          <w:shd w:val="clear" w:color="auto" w:fill="FFFFFF"/>
          <w:lang w:val="en-US" w:eastAsia="zh-CN"/>
        </w:rPr>
        <w:t>8</w:t>
      </w:r>
      <w:r>
        <w:rPr>
          <w:rFonts w:hint="eastAsia" w:ascii="仿宋_GB2312" w:hAnsi="仿宋_GB2312" w:eastAsia="仿宋_GB2312" w:cs="仿宋_GB2312"/>
          <w:color w:val="000000"/>
          <w:sz w:val="32"/>
          <w:szCs w:val="32"/>
          <w:shd w:val="clear" w:color="auto" w:fill="FFFFFF"/>
        </w:rPr>
        <w:t>、政府性基金预算支出分类汇总表（按部门预算经济分类）</w:t>
      </w:r>
    </w:p>
    <w:p w14:paraId="54EFA199">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w:t>
      </w:r>
      <w:r>
        <w:rPr>
          <w:rFonts w:hint="eastAsia" w:ascii="仿宋_GB2312" w:hAnsi="仿宋_GB2312" w:eastAsia="仿宋_GB2312" w:cs="仿宋_GB2312"/>
          <w:color w:val="000000"/>
          <w:sz w:val="32"/>
          <w:szCs w:val="32"/>
          <w:shd w:val="clear" w:color="auto" w:fill="FFFFFF"/>
          <w:lang w:val="en-US" w:eastAsia="zh-CN"/>
        </w:rPr>
        <w:t>9</w:t>
      </w:r>
      <w:r>
        <w:rPr>
          <w:rFonts w:hint="eastAsia" w:ascii="仿宋_GB2312" w:hAnsi="仿宋_GB2312" w:eastAsia="仿宋_GB2312" w:cs="仿宋_GB2312"/>
          <w:color w:val="000000"/>
          <w:sz w:val="32"/>
          <w:szCs w:val="32"/>
          <w:shd w:val="clear" w:color="auto" w:fill="FFFFFF"/>
        </w:rPr>
        <w:t>、国有资本经营预算支出表</w:t>
      </w:r>
    </w:p>
    <w:p w14:paraId="40CDB461">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lang w:val="en-US" w:eastAsia="zh-CN"/>
        </w:rPr>
        <w:t>20</w:t>
      </w:r>
      <w:r>
        <w:rPr>
          <w:rFonts w:hint="eastAsia" w:ascii="仿宋_GB2312" w:hAnsi="仿宋_GB2312" w:eastAsia="仿宋_GB2312" w:cs="仿宋_GB2312"/>
          <w:color w:val="000000"/>
          <w:sz w:val="32"/>
          <w:szCs w:val="32"/>
          <w:shd w:val="clear" w:color="auto" w:fill="FFFFFF"/>
        </w:rPr>
        <w:t>、财政专户管理资金预算支出表</w:t>
      </w:r>
    </w:p>
    <w:p w14:paraId="430AEB4A">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2</w:t>
      </w:r>
      <w:r>
        <w:rPr>
          <w:rFonts w:hint="eastAsia" w:ascii="仿宋_GB2312" w:hAnsi="仿宋_GB2312" w:eastAsia="仿宋_GB2312" w:cs="仿宋_GB2312"/>
          <w:color w:val="000000"/>
          <w:sz w:val="32"/>
          <w:szCs w:val="32"/>
          <w:shd w:val="clear" w:color="auto" w:fill="FFFFFF"/>
          <w:lang w:val="en-US" w:eastAsia="zh-CN"/>
        </w:rPr>
        <w:t>1</w:t>
      </w:r>
      <w:r>
        <w:rPr>
          <w:rFonts w:hint="eastAsia" w:ascii="仿宋_GB2312" w:hAnsi="仿宋_GB2312" w:eastAsia="仿宋_GB2312" w:cs="仿宋_GB2312"/>
          <w:color w:val="000000"/>
          <w:sz w:val="32"/>
          <w:szCs w:val="32"/>
          <w:shd w:val="clear" w:color="auto" w:fill="FFFFFF"/>
        </w:rPr>
        <w:t>、专项资金预算汇总表</w:t>
      </w:r>
    </w:p>
    <w:p w14:paraId="40B29BF8">
      <w:pPr>
        <w:pStyle w:val="2"/>
        <w:rPr>
          <w:rFonts w:hint="eastAsia" w:ascii="仿宋_GB2312" w:hAnsi="仿宋_GB2312" w:eastAsia="仿宋_GB2312" w:cs="仿宋_GB2312"/>
          <w:color w:val="000000"/>
          <w:sz w:val="32"/>
          <w:szCs w:val="32"/>
          <w:shd w:val="clear" w:color="auto" w:fill="FFFFFF"/>
        </w:rPr>
        <w:sectPr>
          <w:pgSz w:w="11906" w:h="16838" w:orient="landscape"/>
          <w:pgMar w:top="2098" w:right="1587" w:bottom="1984" w:left="1587" w:header="851" w:footer="992" w:gutter="0"/>
          <w:cols w:space="1701" w:num="1"/>
        </w:sectPr>
      </w:pPr>
      <w:r>
        <w:rPr>
          <w:rFonts w:hint="eastAsia" w:ascii="仿宋_GB2312" w:hAnsi="仿宋_GB2312" w:eastAsia="仿宋_GB2312" w:cs="仿宋_GB2312"/>
          <w:color w:val="000000"/>
          <w:sz w:val="32"/>
          <w:szCs w:val="32"/>
          <w:shd w:val="clear" w:color="auto" w:fill="FFFFFF"/>
        </w:rPr>
        <w:t>注：以上部门预算报表中，空表表示本部门无相关收支情况。</w:t>
      </w:r>
    </w:p>
    <w:p w14:paraId="46E18435">
      <w:pPr>
        <w:widowControl/>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sz w:val="36"/>
          <w:szCs w:val="36"/>
        </w:rPr>
        <w:t>第一部分 202</w:t>
      </w:r>
      <w:r>
        <w:rPr>
          <w:rFonts w:hint="eastAsia" w:ascii="方正小标宋_GBK" w:hAnsi="方正小标宋_GBK" w:eastAsia="方正小标宋_GBK" w:cs="方正小标宋_GBK"/>
          <w:b/>
          <w:bCs/>
          <w:sz w:val="36"/>
          <w:szCs w:val="36"/>
          <w:lang w:val="en-US" w:eastAsia="zh-CN"/>
        </w:rPr>
        <w:t>4</w:t>
      </w:r>
      <w:r>
        <w:rPr>
          <w:rFonts w:hint="eastAsia" w:ascii="方正小标宋_GBK" w:hAnsi="方正小标宋_GBK" w:eastAsia="方正小标宋_GBK" w:cs="方正小标宋_GBK"/>
          <w:b/>
          <w:bCs/>
          <w:sz w:val="36"/>
          <w:szCs w:val="36"/>
        </w:rPr>
        <w:t>年部门预算公开说明</w:t>
      </w:r>
    </w:p>
    <w:p w14:paraId="59822C83">
      <w:pPr>
        <w:widowControl/>
        <w:jc w:val="left"/>
        <w:rPr>
          <w:rFonts w:hint="eastAsia" w:ascii="仿宋_GB2312" w:hAnsi="宋体" w:eastAsia="仿宋_GB2312" w:cs="宋体"/>
          <w:b/>
          <w:bCs/>
          <w:color w:val="000000"/>
          <w:sz w:val="30"/>
          <w:szCs w:val="30"/>
        </w:rPr>
      </w:pPr>
    </w:p>
    <w:p w14:paraId="6D3ECCD0">
      <w:pPr>
        <w:widowControl/>
        <w:numPr>
          <w:ilvl w:val="0"/>
          <w:numId w:val="1"/>
        </w:numPr>
        <w:spacing w:line="570" w:lineRule="atLeast"/>
        <w:ind w:firstLine="643"/>
        <w:rPr>
          <w:rFonts w:eastAsia="黑体"/>
          <w:b/>
          <w:bCs/>
          <w:sz w:val="32"/>
          <w:szCs w:val="32"/>
        </w:rPr>
      </w:pPr>
      <w:r>
        <w:rPr>
          <w:rFonts w:hint="eastAsia" w:eastAsia="黑体"/>
          <w:b/>
          <w:bCs/>
          <w:sz w:val="32"/>
          <w:szCs w:val="32"/>
        </w:rPr>
        <w:t>部门</w:t>
      </w:r>
      <w:r>
        <w:rPr>
          <w:rFonts w:eastAsia="黑体"/>
          <w:b/>
          <w:bCs/>
          <w:sz w:val="32"/>
          <w:szCs w:val="32"/>
        </w:rPr>
        <w:t>基本概况</w:t>
      </w:r>
    </w:p>
    <w:p w14:paraId="5CAA4185">
      <w:pPr>
        <w:spacing w:line="570" w:lineRule="atLeast"/>
        <w:ind w:firstLine="643"/>
        <w:rPr>
          <w:rFonts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b/>
          <w:bCs/>
          <w:color w:val="000000"/>
          <w:sz w:val="32"/>
          <w:szCs w:val="32"/>
          <w:shd w:val="clear" w:color="auto" w:fill="FFFFFF"/>
        </w:rPr>
        <w:t>（一）职能职责</w:t>
      </w:r>
    </w:p>
    <w:p w14:paraId="7AE3A902">
      <w:pPr>
        <w:spacing w:line="570" w:lineRule="atLeast"/>
        <w:ind w:firstLine="640"/>
        <w:rPr>
          <w:rFonts w:ascii="仿宋_GB2312" w:hAnsi="仿宋_GB2312" w:eastAsia="仿宋_GB2312" w:cs="仿宋_GB2312"/>
          <w:color w:val="000000"/>
          <w:sz w:val="32"/>
          <w:szCs w:val="32"/>
          <w:shd w:val="clear" w:color="auto" w:fill="FFFFFF"/>
        </w:rPr>
      </w:pPr>
      <w:bookmarkStart w:id="1" w:name="AGENCY_NAME_TITLE3"/>
      <w:r>
        <w:rPr>
          <w:rFonts w:hint="eastAsia" w:ascii="仿宋_GB2312" w:hAnsi="仿宋_GB2312" w:eastAsia="仿宋_GB2312" w:cs="仿宋_GB2312"/>
          <w:color w:val="000000"/>
          <w:sz w:val="32"/>
          <w:szCs w:val="32"/>
          <w:shd w:val="clear" w:color="auto" w:fill="FFFFFF"/>
        </w:rPr>
        <w:t>道县发展和改革局</w:t>
      </w:r>
      <w:bookmarkEnd w:id="1"/>
      <w:r>
        <w:rPr>
          <w:rFonts w:hint="eastAsia" w:ascii="仿宋_GB2312" w:hAnsi="仿宋_GB2312" w:eastAsia="仿宋_GB2312" w:cs="仿宋_GB2312"/>
          <w:color w:val="000000"/>
          <w:sz w:val="32"/>
          <w:szCs w:val="32"/>
          <w:shd w:val="clear" w:color="auto" w:fill="FFFFFF"/>
        </w:rPr>
        <w:t>的主要职责是：</w:t>
      </w:r>
    </w:p>
    <w:p w14:paraId="66FB875F">
      <w:pPr>
        <w:spacing w:line="570" w:lineRule="atLeast"/>
        <w:ind w:firstLine="640"/>
        <w:rPr>
          <w:rFonts w:ascii="仿宋_GB2312" w:hAnsi="仿宋_GB2312" w:eastAsia="仿宋_GB2312" w:cs="仿宋_GB2312"/>
          <w:color w:val="000000"/>
          <w:sz w:val="32"/>
          <w:szCs w:val="32"/>
          <w:shd w:val="clear" w:color="auto" w:fill="FFFFFF"/>
        </w:rPr>
      </w:pPr>
      <w:bookmarkStart w:id="2" w:name="FUNCRESP"/>
      <w:r>
        <w:rPr>
          <w:rFonts w:hint="eastAsia" w:ascii="仿宋_GB2312" w:hAnsi="仿宋_GB2312" w:eastAsia="仿宋_GB2312" w:cs="仿宋_GB2312"/>
          <w:color w:val="000000"/>
          <w:sz w:val="32"/>
          <w:szCs w:val="32"/>
          <w:shd w:val="clear" w:color="auto" w:fill="FFFFFF"/>
        </w:rPr>
        <w:t>1.拟订并组织实施全县国民经济和社会发展战略、中长期规划和年度计划并监督管理。</w:t>
      </w:r>
    </w:p>
    <w:p w14:paraId="5378FA97">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2.监测全县宏观经济和社会发展态势并协调解决宏观经济运行中的重大问题。</w:t>
      </w:r>
    </w:p>
    <w:p w14:paraId="5DE3BEBA">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3.产业政策、全口径外债、投资基金、企业债券的监督管理。</w:t>
      </w:r>
    </w:p>
    <w:p w14:paraId="00EA37CA">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4.协调促进专项经济体制改革。</w:t>
      </w:r>
    </w:p>
    <w:p w14:paraId="09F4AAF8">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5.服务业、全县物流、高新技术产业的监督管理。</w:t>
      </w:r>
    </w:p>
    <w:p w14:paraId="4A8A39E8">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6.全县重大建设项目和固定资产投资的监督管理。</w:t>
      </w:r>
    </w:p>
    <w:p w14:paraId="6152D450">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7.区域经济和城镇化发展管理。</w:t>
      </w:r>
    </w:p>
    <w:p w14:paraId="41C2B864">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8.市场调控和国家战略物资监督管理。</w:t>
      </w:r>
    </w:p>
    <w:p w14:paraId="160DFF57">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9.人口和计划生育、教育、文化、卫生、民政等发展政策的贯彻执行。</w:t>
      </w:r>
    </w:p>
    <w:p w14:paraId="4EBA7CD1">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10.负责节能减排的综合协调工作。</w:t>
      </w:r>
    </w:p>
    <w:p w14:paraId="7C131982">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11.组织实施国民经济动员和装备动员有关工作。</w:t>
      </w:r>
    </w:p>
    <w:p w14:paraId="143B43F5">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12.指导和协调本行政区域内招标投标活动，并对重大建设项目的招投标活动进行监督检查执法。</w:t>
      </w:r>
    </w:p>
    <w:p w14:paraId="15966A53">
      <w:pPr>
        <w:spacing w:line="570" w:lineRule="atLeast"/>
        <w:ind w:firstLine="640"/>
        <w:rPr>
          <w:rFonts w:hint="eastAsia" w:ascii="仿宋_GB2312" w:hAnsi="仿宋_GB2312" w:eastAsia="仿宋_GB2312" w:cs="仿宋_GB2312"/>
          <w:color w:val="000000"/>
          <w:sz w:val="32"/>
          <w:szCs w:val="32"/>
          <w:shd w:val="clear" w:color="auto" w:fill="FFFFFF"/>
          <w:lang w:val="en-US" w:eastAsia="zh-CN"/>
        </w:rPr>
      </w:pPr>
      <w:r>
        <w:rPr>
          <w:rFonts w:hint="eastAsia" w:ascii="仿宋_GB2312" w:hAnsi="仿宋_GB2312" w:eastAsia="仿宋_GB2312" w:cs="仿宋_GB2312"/>
          <w:color w:val="000000"/>
          <w:sz w:val="32"/>
          <w:szCs w:val="32"/>
          <w:shd w:val="clear" w:color="auto" w:fill="FFFFFF"/>
        </w:rPr>
        <w:t>13.承办县委、县委领导和上级业务部门交办的其他工作</w:t>
      </w:r>
      <w:bookmarkEnd w:id="2"/>
      <w:r>
        <w:rPr>
          <w:rFonts w:hint="eastAsia" w:ascii="仿宋_GB2312" w:hAnsi="仿宋_GB2312" w:eastAsia="仿宋_GB2312" w:cs="仿宋_GB2312"/>
          <w:color w:val="000000"/>
          <w:sz w:val="32"/>
          <w:szCs w:val="32"/>
          <w:shd w:val="clear" w:color="auto" w:fill="FFFFFF"/>
          <w:lang w:eastAsia="zh-CN"/>
        </w:rPr>
        <w:t>。</w:t>
      </w:r>
    </w:p>
    <w:p w14:paraId="5FD8DA74">
      <w:pPr>
        <w:spacing w:line="570" w:lineRule="atLeast"/>
        <w:ind w:left="640"/>
        <w:rPr>
          <w:rFonts w:hint="eastAsia" w:ascii="仿宋_GB2312" w:hAnsi="仿宋_GB2312" w:eastAsia="仿宋_GB2312" w:cs="仿宋_GB2312"/>
          <w:b/>
          <w:bCs/>
          <w:color w:val="000000"/>
          <w:sz w:val="32"/>
          <w:szCs w:val="32"/>
          <w:shd w:val="clear" w:color="auto" w:fill="FFFFFF"/>
        </w:rPr>
      </w:pPr>
      <w:r>
        <w:rPr>
          <w:rFonts w:hint="eastAsia" w:ascii="仿宋_GB2312" w:hAnsi="仿宋_GB2312" w:eastAsia="仿宋_GB2312" w:cs="仿宋_GB2312"/>
          <w:b/>
          <w:bCs/>
          <w:color w:val="000000"/>
          <w:sz w:val="32"/>
          <w:szCs w:val="32"/>
          <w:shd w:val="clear" w:color="auto" w:fill="FFFFFF"/>
        </w:rPr>
        <w:t>（二）机构设置</w:t>
      </w:r>
    </w:p>
    <w:p w14:paraId="3B461406">
      <w:pPr>
        <w:spacing w:line="570" w:lineRule="atLeast"/>
        <w:ind w:firstLine="640"/>
        <w:rPr>
          <w:rFonts w:hint="eastAsia" w:ascii="仿宋_GB2312" w:hAnsi="仿宋_GB2312" w:eastAsia="仿宋_GB2312" w:cs="仿宋_GB2312"/>
          <w:color w:val="000000"/>
          <w:sz w:val="32"/>
          <w:szCs w:val="32"/>
          <w:shd w:val="clear" w:color="auto" w:fill="FFFFFF"/>
        </w:rPr>
      </w:pPr>
      <w:bookmarkStart w:id="3" w:name="ORG_SET"/>
      <w:r>
        <w:rPr>
          <w:rFonts w:hint="eastAsia" w:ascii="仿宋_GB2312" w:hAnsi="仿宋_GB2312" w:eastAsia="仿宋_GB2312" w:cs="仿宋_GB2312"/>
          <w:color w:val="000000"/>
          <w:sz w:val="32"/>
          <w:szCs w:val="32"/>
          <w:shd w:val="clear" w:color="auto" w:fill="FFFFFF"/>
        </w:rPr>
        <w:t>道县发改局内设机构10个：办公室（政工股）、综合规划和社会发展股、法规股（县公共资源交易管理委员会办公室）、固定资产投资股（加挂重大项目前期工作办公室牌子）、农村经济股、工交服务业股（县国民经济动员办公室）、能源股（挂道县能源局牌子）、资源节约和环境保护股（县节能减排工作领导小组办公室，加挂县节能监察中心牌子）、重大项目稽察股、价格管理股（道县价格调节基金管理办公室）下属事业单位3个：道县重点建设工程领导小组办公室（副科级公益一类事业单位）、价格认证中心（正股级公益一类事业单位）、价格监测中心（正股级公益一类单位）。行政编制2</w:t>
      </w:r>
      <w:r>
        <w:rPr>
          <w:rFonts w:hint="eastAsia" w:ascii="仿宋_GB2312" w:hAnsi="仿宋_GB2312" w:eastAsia="仿宋_GB2312" w:cs="仿宋_GB2312"/>
          <w:color w:val="000000"/>
          <w:sz w:val="32"/>
          <w:szCs w:val="32"/>
          <w:shd w:val="clear" w:color="auto" w:fill="FFFFFF"/>
          <w:lang w:val="en-US" w:eastAsia="zh-CN"/>
        </w:rPr>
        <w:t>3</w:t>
      </w:r>
      <w:r>
        <w:rPr>
          <w:rFonts w:hint="eastAsia" w:ascii="仿宋_GB2312" w:hAnsi="仿宋_GB2312" w:eastAsia="仿宋_GB2312" w:cs="仿宋_GB2312"/>
          <w:color w:val="000000"/>
          <w:sz w:val="32"/>
          <w:szCs w:val="32"/>
          <w:shd w:val="clear" w:color="auto" w:fill="FFFFFF"/>
        </w:rPr>
        <w:t>人，事业编制</w:t>
      </w:r>
      <w:r>
        <w:rPr>
          <w:rFonts w:hint="eastAsia" w:ascii="仿宋_GB2312" w:hAnsi="仿宋_GB2312" w:eastAsia="仿宋_GB2312" w:cs="仿宋_GB2312"/>
          <w:color w:val="000000"/>
          <w:sz w:val="32"/>
          <w:szCs w:val="32"/>
          <w:shd w:val="clear" w:color="auto" w:fill="FFFFFF"/>
          <w:lang w:val="en-US" w:eastAsia="zh-CN"/>
        </w:rPr>
        <w:t>19</w:t>
      </w:r>
      <w:r>
        <w:rPr>
          <w:rFonts w:hint="eastAsia" w:ascii="仿宋_GB2312" w:hAnsi="仿宋_GB2312" w:eastAsia="仿宋_GB2312" w:cs="仿宋_GB2312"/>
          <w:color w:val="000000"/>
          <w:sz w:val="32"/>
          <w:szCs w:val="32"/>
          <w:shd w:val="clear" w:color="auto" w:fill="FFFFFF"/>
        </w:rPr>
        <w:t>人，实有人员5</w:t>
      </w:r>
      <w:r>
        <w:rPr>
          <w:rFonts w:hint="eastAsia" w:ascii="仿宋_GB2312" w:hAnsi="仿宋_GB2312" w:eastAsia="仿宋_GB2312" w:cs="仿宋_GB2312"/>
          <w:color w:val="000000"/>
          <w:sz w:val="32"/>
          <w:szCs w:val="32"/>
          <w:shd w:val="clear" w:color="auto" w:fill="FFFFFF"/>
          <w:lang w:val="en-US" w:eastAsia="zh-CN"/>
        </w:rPr>
        <w:t>0</w:t>
      </w:r>
      <w:r>
        <w:rPr>
          <w:rFonts w:hint="eastAsia" w:ascii="仿宋_GB2312" w:hAnsi="仿宋_GB2312" w:eastAsia="仿宋_GB2312" w:cs="仿宋_GB2312"/>
          <w:color w:val="000000"/>
          <w:sz w:val="32"/>
          <w:szCs w:val="32"/>
          <w:shd w:val="clear" w:color="auto" w:fill="FFFFFF"/>
        </w:rPr>
        <w:t>人。</w:t>
      </w:r>
      <w:bookmarkEnd w:id="3"/>
    </w:p>
    <w:p w14:paraId="3936869A">
      <w:pPr>
        <w:widowControl/>
        <w:spacing w:line="570" w:lineRule="atLeast"/>
        <w:ind w:firstLine="643"/>
        <w:rPr>
          <w:rFonts w:ascii="黑体" w:hAnsi="黑体" w:eastAsia="黑体" w:cs="黑体"/>
          <w:b/>
          <w:color w:val="000000"/>
          <w:sz w:val="32"/>
          <w:szCs w:val="32"/>
        </w:rPr>
      </w:pPr>
      <w:r>
        <w:rPr>
          <w:rFonts w:hint="eastAsia" w:ascii="黑体" w:hAnsi="黑体" w:eastAsia="黑体" w:cs="黑体"/>
          <w:b/>
          <w:color w:val="000000"/>
          <w:sz w:val="32"/>
          <w:szCs w:val="32"/>
        </w:rPr>
        <w:t>二、部门预算单位构成</w:t>
      </w:r>
    </w:p>
    <w:p w14:paraId="765C5BB8">
      <w:pPr>
        <w:spacing w:line="570" w:lineRule="atLeast"/>
        <w:ind w:firstLine="640"/>
        <w:rPr>
          <w:rFonts w:hint="eastAsia" w:ascii="仿宋_GB2312" w:hAnsi="仿宋_GB2312" w:eastAsia="仿宋_GB2312" w:cs="仿宋_GB2312"/>
          <w:color w:val="000000"/>
          <w:sz w:val="32"/>
          <w:szCs w:val="32"/>
          <w:shd w:val="clear" w:color="auto" w:fill="FFFFFF"/>
        </w:rPr>
      </w:pPr>
      <w:bookmarkStart w:id="4" w:name="DEPT_COMPOSE"/>
      <w:r>
        <w:rPr>
          <w:rFonts w:hint="eastAsia" w:ascii="仿宋_GB2312" w:hAnsi="仿宋_GB2312" w:eastAsia="仿宋_GB2312" w:cs="仿宋_GB2312"/>
          <w:color w:val="000000"/>
          <w:sz w:val="32"/>
          <w:szCs w:val="32"/>
          <w:shd w:val="clear" w:color="auto" w:fill="FFFFFF"/>
        </w:rPr>
        <w:t>道县发展和改革局部门只有本级，没有其他二级预算单位，因此，纳入202</w:t>
      </w:r>
      <w:r>
        <w:rPr>
          <w:rFonts w:hint="eastAsia" w:ascii="仿宋_GB2312" w:hAnsi="仿宋_GB2312" w:eastAsia="仿宋_GB2312" w:cs="仿宋_GB2312"/>
          <w:color w:val="000000"/>
          <w:sz w:val="32"/>
          <w:szCs w:val="32"/>
          <w:shd w:val="clear" w:color="auto" w:fill="FFFFFF"/>
          <w:lang w:val="en-US" w:eastAsia="zh-CN"/>
        </w:rPr>
        <w:t>4</w:t>
      </w:r>
      <w:r>
        <w:rPr>
          <w:rFonts w:hint="eastAsia" w:ascii="仿宋_GB2312" w:hAnsi="仿宋_GB2312" w:eastAsia="仿宋_GB2312" w:cs="仿宋_GB2312"/>
          <w:color w:val="000000"/>
          <w:sz w:val="32"/>
          <w:szCs w:val="32"/>
          <w:shd w:val="clear" w:color="auto" w:fill="FFFFFF"/>
        </w:rPr>
        <w:t>年部门预算编制范围的只有道县发展和改革局本级。</w:t>
      </w:r>
      <w:bookmarkEnd w:id="4"/>
    </w:p>
    <w:p w14:paraId="4E1EAC9D">
      <w:pPr>
        <w:widowControl/>
        <w:spacing w:line="570" w:lineRule="atLeast"/>
        <w:ind w:firstLine="643"/>
        <w:rPr>
          <w:rFonts w:hint="eastAsia" w:ascii="黑体" w:hAnsi="黑体" w:eastAsia="黑体" w:cs="黑体"/>
          <w:b/>
          <w:color w:val="000000"/>
          <w:sz w:val="32"/>
          <w:szCs w:val="32"/>
        </w:rPr>
      </w:pPr>
      <w:r>
        <w:rPr>
          <w:rFonts w:hint="eastAsia" w:ascii="黑体" w:hAnsi="黑体" w:eastAsia="黑体" w:cs="黑体"/>
          <w:b/>
          <w:color w:val="000000"/>
          <w:sz w:val="32"/>
          <w:szCs w:val="32"/>
        </w:rPr>
        <w:t>三、</w:t>
      </w:r>
      <w:r>
        <w:rPr>
          <w:rFonts w:hint="eastAsia" w:eastAsia="黑体"/>
          <w:b/>
          <w:bCs/>
          <w:sz w:val="32"/>
          <w:szCs w:val="32"/>
        </w:rPr>
        <w:t>部门</w:t>
      </w:r>
      <w:r>
        <w:rPr>
          <w:rFonts w:hint="eastAsia" w:ascii="黑体" w:hAnsi="黑体" w:eastAsia="黑体" w:cs="黑体"/>
          <w:b/>
          <w:color w:val="000000"/>
          <w:sz w:val="32"/>
          <w:szCs w:val="32"/>
        </w:rPr>
        <w:t>收支总体情况</w:t>
      </w:r>
    </w:p>
    <w:p w14:paraId="66F6EDEE">
      <w:pPr>
        <w:numPr>
          <w:ilvl w:val="0"/>
          <w:numId w:val="2"/>
        </w:numPr>
        <w:spacing w:line="570" w:lineRule="atLeast"/>
        <w:ind w:firstLine="643"/>
        <w:rPr>
          <w:rFonts w:hint="eastAsia" w:ascii="仿宋_GB2312" w:hAnsi="仿宋" w:eastAsia="仿宋_GB2312" w:cs="宋体"/>
          <w:color w:val="000000"/>
          <w:sz w:val="30"/>
          <w:szCs w:val="30"/>
        </w:rPr>
      </w:pPr>
      <w:r>
        <w:rPr>
          <w:rFonts w:hint="eastAsia" w:eastAsia="仿宋_GB2312"/>
          <w:b/>
          <w:sz w:val="32"/>
          <w:szCs w:val="32"/>
        </w:rPr>
        <w:t>收入预算</w:t>
      </w:r>
      <w:r>
        <w:rPr>
          <w:rFonts w:eastAsia="仿宋_GB2312"/>
          <w:b/>
          <w:sz w:val="32"/>
          <w:szCs w:val="32"/>
        </w:rPr>
        <w:t>：</w:t>
      </w:r>
      <w:r>
        <w:rPr>
          <w:rFonts w:eastAsia="仿宋_GB2312"/>
          <w:sz w:val="32"/>
          <w:szCs w:val="32"/>
        </w:rPr>
        <w:t>包括一般公共预算、政府性基金、国有资本经营预算等财政拨款收入，以及经营收入、事业收入等单位资金。</w:t>
      </w:r>
      <w:r>
        <w:rPr>
          <w:rFonts w:hint="eastAsia" w:ascii="仿宋_GB2312" w:hAnsi="仿宋_GB2312" w:eastAsia="仿宋_GB2312" w:cs="仿宋_GB2312"/>
          <w:color w:val="000000"/>
          <w:sz w:val="32"/>
          <w:szCs w:val="32"/>
          <w:shd w:val="clear" w:color="auto" w:fill="FFFFFF"/>
        </w:rPr>
        <w:t>202</w:t>
      </w:r>
      <w:r>
        <w:rPr>
          <w:rFonts w:hint="eastAsia" w:ascii="仿宋_GB2312" w:hAnsi="仿宋_GB2312" w:eastAsia="仿宋_GB2312" w:cs="仿宋_GB2312"/>
          <w:color w:val="000000"/>
          <w:sz w:val="32"/>
          <w:szCs w:val="32"/>
          <w:shd w:val="clear" w:color="auto" w:fill="FFFFFF"/>
          <w:lang w:val="en-US" w:eastAsia="zh-CN"/>
        </w:rPr>
        <w:t>4</w:t>
      </w:r>
      <w:r>
        <w:rPr>
          <w:rFonts w:eastAsia="仿宋_GB2312"/>
          <w:sz w:val="32"/>
          <w:szCs w:val="32"/>
        </w:rPr>
        <w:t>年本</w:t>
      </w:r>
      <w:r>
        <w:rPr>
          <w:rFonts w:hint="eastAsia" w:ascii="仿宋_GB2312" w:hAnsi="仿宋_GB2312" w:eastAsia="仿宋_GB2312" w:cs="仿宋_GB2312"/>
          <w:color w:val="000000"/>
          <w:sz w:val="32"/>
          <w:szCs w:val="32"/>
          <w:shd w:val="clear" w:color="auto" w:fill="FFFFFF"/>
        </w:rPr>
        <w:t>部门</w:t>
      </w:r>
      <w:r>
        <w:rPr>
          <w:rFonts w:eastAsia="仿宋_GB2312"/>
          <w:sz w:val="32"/>
          <w:szCs w:val="32"/>
        </w:rPr>
        <w:t>收入预算</w:t>
      </w:r>
      <w:r>
        <w:rPr>
          <w:rFonts w:hint="eastAsia" w:ascii="仿宋_GB2312" w:hAnsi="仿宋_GB2312" w:eastAsia="仿宋_GB2312" w:cs="仿宋_GB2312"/>
          <w:color w:val="000000"/>
          <w:sz w:val="32"/>
          <w:szCs w:val="32"/>
          <w:shd w:val="clear" w:color="auto" w:fill="FFFFFF"/>
          <w:lang w:val="en-US" w:eastAsia="zh-CN"/>
        </w:rPr>
        <w:t>2307.89</w:t>
      </w:r>
      <w:r>
        <w:rPr>
          <w:rFonts w:hint="eastAsia" w:ascii="仿宋_GB2312" w:hAnsi="仿宋_GB2312" w:eastAsia="仿宋_GB2312" w:cs="仿宋_GB2312"/>
          <w:color w:val="000000"/>
          <w:sz w:val="32"/>
          <w:szCs w:val="32"/>
          <w:shd w:val="clear" w:color="auto" w:fill="FFFFFF"/>
        </w:rPr>
        <w:t>万元，其中：一般公共预算拨款</w:t>
      </w:r>
      <w:r>
        <w:rPr>
          <w:rFonts w:hint="eastAsia" w:ascii="仿宋_GB2312" w:hAnsi="仿宋_GB2312" w:eastAsia="仿宋_GB2312" w:cs="仿宋_GB2312"/>
          <w:color w:val="000000"/>
          <w:sz w:val="32"/>
          <w:szCs w:val="32"/>
          <w:shd w:val="clear" w:color="auto" w:fill="FFFFFF"/>
          <w:lang w:val="en-US" w:eastAsia="zh-CN"/>
        </w:rPr>
        <w:t>2159.99</w:t>
      </w:r>
      <w:r>
        <w:rPr>
          <w:rFonts w:hint="eastAsia" w:ascii="仿宋_GB2312" w:hAnsi="仿宋_GB2312" w:eastAsia="仿宋_GB2312" w:cs="仿宋_GB2312"/>
          <w:color w:val="000000"/>
          <w:sz w:val="32"/>
          <w:szCs w:val="32"/>
          <w:shd w:val="clear" w:color="auto" w:fill="FFFFFF"/>
        </w:rPr>
        <w:t>万元，政府性基金预算拨款</w:t>
      </w:r>
      <w:r>
        <w:rPr>
          <w:rFonts w:hint="eastAsia" w:ascii="仿宋_GB2312" w:hAnsi="仿宋_GB2312" w:eastAsia="仿宋_GB2312" w:cs="仿宋_GB2312"/>
          <w:color w:val="000000"/>
          <w:sz w:val="32"/>
          <w:szCs w:val="32"/>
          <w:shd w:val="clear" w:color="auto" w:fill="FFFFFF"/>
          <w:lang w:val="en-US" w:eastAsia="zh-CN"/>
        </w:rPr>
        <w:t>147.91</w:t>
      </w:r>
      <w:r>
        <w:rPr>
          <w:rFonts w:hint="eastAsia" w:ascii="仿宋_GB2312" w:hAnsi="仿宋_GB2312" w:eastAsia="仿宋_GB2312" w:cs="仿宋_GB2312"/>
          <w:color w:val="000000"/>
          <w:sz w:val="32"/>
          <w:szCs w:val="32"/>
          <w:shd w:val="clear" w:color="auto" w:fill="FFFFFF"/>
        </w:rPr>
        <w:t>万元，</w:t>
      </w:r>
      <w:r>
        <w:rPr>
          <w:rFonts w:eastAsia="仿宋_GB2312"/>
          <w:sz w:val="32"/>
          <w:szCs w:val="32"/>
        </w:rPr>
        <w:t>国有资本经营预算拨款</w:t>
      </w:r>
      <w:bookmarkStart w:id="5" w:name="INCOME_GYZBJYYSBK_AMT"/>
      <w:r>
        <w:rPr>
          <w:rFonts w:hint="eastAsia" w:ascii="仿宋_GB2312" w:hAnsi="仿宋_GB2312" w:eastAsia="仿宋_GB2312" w:cs="仿宋_GB2312"/>
          <w:sz w:val="32"/>
          <w:szCs w:val="32"/>
        </w:rPr>
        <w:t>0.00</w:t>
      </w:r>
      <w:bookmarkEnd w:id="5"/>
      <w:r>
        <w:rPr>
          <w:rFonts w:hint="eastAsia" w:ascii="仿宋_GB2312" w:hAnsi="仿宋_GB2312" w:eastAsia="仿宋_GB2312" w:cs="仿宋_GB2312"/>
          <w:color w:val="000000"/>
          <w:sz w:val="32"/>
          <w:szCs w:val="32"/>
          <w:shd w:val="clear" w:color="auto" w:fill="FFFFFF"/>
        </w:rPr>
        <w:t>万元，社会保障基金预算资金</w:t>
      </w:r>
      <w:bookmarkStart w:id="6" w:name="INCOME_SHBZJJYSZJ_AMT"/>
      <w:r>
        <w:rPr>
          <w:rFonts w:hint="eastAsia" w:ascii="仿宋_GB2312" w:hAnsi="仿宋_GB2312" w:eastAsia="仿宋_GB2312" w:cs="仿宋_GB2312"/>
          <w:color w:val="000000"/>
          <w:sz w:val="32"/>
          <w:szCs w:val="32"/>
          <w:shd w:val="clear" w:color="auto" w:fill="FFFFFF"/>
        </w:rPr>
        <w:t>0.00</w:t>
      </w:r>
      <w:bookmarkEnd w:id="6"/>
      <w:r>
        <w:rPr>
          <w:rFonts w:hint="eastAsia" w:ascii="仿宋_GB2312" w:hAnsi="仿宋_GB2312" w:eastAsia="仿宋_GB2312" w:cs="仿宋_GB2312"/>
          <w:color w:val="000000"/>
          <w:sz w:val="32"/>
          <w:szCs w:val="32"/>
          <w:shd w:val="clear" w:color="auto" w:fill="FFFFFF"/>
        </w:rPr>
        <w:t>万元，财政专户管理资金收入</w:t>
      </w:r>
      <w:bookmarkStart w:id="7" w:name="INCOME_CZZHGLDFSSRBK_AMT"/>
      <w:r>
        <w:rPr>
          <w:rFonts w:hint="eastAsia" w:ascii="仿宋_GB2312" w:hAnsi="仿宋_GB2312" w:eastAsia="仿宋_GB2312" w:cs="仿宋_GB2312"/>
          <w:color w:val="000000"/>
          <w:sz w:val="32"/>
          <w:szCs w:val="32"/>
          <w:shd w:val="clear" w:color="auto" w:fill="FFFFFF"/>
        </w:rPr>
        <w:t>0.00</w:t>
      </w:r>
      <w:bookmarkEnd w:id="7"/>
      <w:r>
        <w:rPr>
          <w:rFonts w:hint="eastAsia" w:ascii="仿宋_GB2312" w:hAnsi="仿宋_GB2312" w:eastAsia="仿宋_GB2312" w:cs="仿宋_GB2312"/>
          <w:color w:val="000000"/>
          <w:sz w:val="32"/>
          <w:szCs w:val="32"/>
          <w:shd w:val="clear" w:color="auto" w:fill="FFFFFF"/>
        </w:rPr>
        <w:t>万元，上级财政补助收入</w:t>
      </w:r>
      <w:bookmarkStart w:id="8" w:name="INCOME_SJBZS_AMT"/>
      <w:r>
        <w:rPr>
          <w:rFonts w:hint="eastAsia" w:ascii="仿宋_GB2312" w:hAnsi="仿宋_GB2312" w:eastAsia="仿宋_GB2312" w:cs="仿宋_GB2312"/>
          <w:color w:val="000000"/>
          <w:sz w:val="32"/>
          <w:szCs w:val="32"/>
          <w:shd w:val="clear" w:color="auto" w:fill="FFFFFF"/>
        </w:rPr>
        <w:t>0.00</w:t>
      </w:r>
      <w:bookmarkEnd w:id="8"/>
      <w:r>
        <w:rPr>
          <w:rFonts w:hint="eastAsia" w:ascii="仿宋_GB2312" w:hAnsi="仿宋_GB2312" w:eastAsia="仿宋_GB2312" w:cs="仿宋_GB2312"/>
          <w:color w:val="000000"/>
          <w:sz w:val="32"/>
          <w:szCs w:val="32"/>
          <w:shd w:val="clear" w:color="auto" w:fill="FFFFFF"/>
        </w:rPr>
        <w:t>万元，事业收入</w:t>
      </w:r>
      <w:bookmarkStart w:id="9" w:name="INCOME_SYSR_AMT"/>
      <w:r>
        <w:rPr>
          <w:rFonts w:hint="eastAsia" w:ascii="仿宋_GB2312" w:hAnsi="仿宋_GB2312" w:eastAsia="仿宋_GB2312" w:cs="仿宋_GB2312"/>
          <w:color w:val="000000"/>
          <w:sz w:val="32"/>
          <w:szCs w:val="32"/>
          <w:shd w:val="clear" w:color="auto" w:fill="FFFFFF"/>
        </w:rPr>
        <w:t>0.00</w:t>
      </w:r>
      <w:bookmarkEnd w:id="9"/>
      <w:r>
        <w:rPr>
          <w:rFonts w:hint="eastAsia" w:ascii="仿宋_GB2312" w:hAnsi="仿宋_GB2312" w:eastAsia="仿宋_GB2312" w:cs="仿宋_GB2312"/>
          <w:color w:val="000000"/>
          <w:sz w:val="32"/>
          <w:szCs w:val="32"/>
          <w:shd w:val="clear" w:color="auto" w:fill="FFFFFF"/>
        </w:rPr>
        <w:t>万元，事业单位经营服务收入</w:t>
      </w:r>
      <w:bookmarkStart w:id="10" w:name="INCOME_SYDWJYFWSR_AMT"/>
      <w:r>
        <w:rPr>
          <w:rFonts w:hint="eastAsia" w:ascii="仿宋_GB2312" w:hAnsi="仿宋_GB2312" w:eastAsia="仿宋_GB2312" w:cs="仿宋_GB2312"/>
          <w:color w:val="000000"/>
          <w:sz w:val="32"/>
          <w:szCs w:val="32"/>
          <w:shd w:val="clear" w:color="auto" w:fill="FFFFFF"/>
        </w:rPr>
        <w:t>0.00</w:t>
      </w:r>
      <w:bookmarkEnd w:id="10"/>
      <w:r>
        <w:rPr>
          <w:rFonts w:hint="eastAsia" w:ascii="仿宋_GB2312" w:hAnsi="仿宋_GB2312" w:eastAsia="仿宋_GB2312" w:cs="仿宋_GB2312"/>
          <w:color w:val="000000"/>
          <w:sz w:val="32"/>
          <w:szCs w:val="32"/>
          <w:shd w:val="clear" w:color="auto" w:fill="FFFFFF"/>
        </w:rPr>
        <w:t>万元，上级单位补助收入</w:t>
      </w:r>
      <w:bookmarkStart w:id="11" w:name="INCOME_SJDWBZSR_AMT"/>
      <w:r>
        <w:rPr>
          <w:rFonts w:hint="eastAsia" w:ascii="仿宋_GB2312" w:hAnsi="仿宋_GB2312" w:eastAsia="仿宋_GB2312" w:cs="仿宋_GB2312"/>
          <w:color w:val="000000"/>
          <w:sz w:val="32"/>
          <w:szCs w:val="32"/>
          <w:shd w:val="clear" w:color="auto" w:fill="FFFFFF"/>
        </w:rPr>
        <w:t>0.00</w:t>
      </w:r>
      <w:bookmarkEnd w:id="11"/>
      <w:r>
        <w:rPr>
          <w:rFonts w:hint="eastAsia" w:ascii="仿宋_GB2312" w:hAnsi="仿宋_GB2312" w:eastAsia="仿宋_GB2312" w:cs="仿宋_GB2312"/>
          <w:color w:val="000000"/>
          <w:sz w:val="32"/>
          <w:szCs w:val="32"/>
          <w:shd w:val="clear" w:color="auto" w:fill="FFFFFF"/>
        </w:rPr>
        <w:t>万元，附属单位上缴收入</w:t>
      </w:r>
      <w:bookmarkStart w:id="12" w:name="INCOME_FSDWSJSR_AMT"/>
      <w:r>
        <w:rPr>
          <w:rFonts w:hint="eastAsia" w:ascii="仿宋_GB2312" w:hAnsi="仿宋_GB2312" w:eastAsia="仿宋_GB2312" w:cs="仿宋_GB2312"/>
          <w:color w:val="000000"/>
          <w:sz w:val="32"/>
          <w:szCs w:val="32"/>
          <w:shd w:val="clear" w:color="auto" w:fill="FFFFFF"/>
        </w:rPr>
        <w:t>0.00</w:t>
      </w:r>
      <w:bookmarkEnd w:id="12"/>
      <w:r>
        <w:rPr>
          <w:rFonts w:hint="eastAsia" w:ascii="仿宋_GB2312" w:hAnsi="仿宋_GB2312" w:eastAsia="仿宋_GB2312" w:cs="仿宋_GB2312"/>
          <w:color w:val="000000"/>
          <w:sz w:val="32"/>
          <w:szCs w:val="32"/>
          <w:shd w:val="clear" w:color="auto" w:fill="FFFFFF"/>
        </w:rPr>
        <w:t>万元，其他收入</w:t>
      </w:r>
      <w:bookmarkStart w:id="13" w:name="INCOME_QTSR_AMT"/>
      <w:r>
        <w:rPr>
          <w:rFonts w:hint="eastAsia" w:ascii="仿宋_GB2312" w:hAnsi="仿宋_GB2312" w:eastAsia="仿宋_GB2312" w:cs="仿宋_GB2312"/>
          <w:color w:val="000000"/>
          <w:sz w:val="32"/>
          <w:szCs w:val="32"/>
          <w:shd w:val="clear" w:color="auto" w:fill="FFFFFF"/>
        </w:rPr>
        <w:t>0.00</w:t>
      </w:r>
      <w:bookmarkEnd w:id="13"/>
      <w:r>
        <w:rPr>
          <w:rFonts w:hint="eastAsia" w:ascii="仿宋_GB2312" w:hAnsi="仿宋_GB2312" w:eastAsia="仿宋_GB2312" w:cs="仿宋_GB2312"/>
          <w:color w:val="000000"/>
          <w:sz w:val="32"/>
          <w:szCs w:val="32"/>
          <w:shd w:val="clear" w:color="auto" w:fill="FFFFFF"/>
        </w:rPr>
        <w:t>万元</w:t>
      </w:r>
      <w:r>
        <w:rPr>
          <w:rFonts w:eastAsia="仿宋_GB2312"/>
          <w:sz w:val="32"/>
          <w:szCs w:val="32"/>
        </w:rPr>
        <w:t>。</w:t>
      </w:r>
      <w:r>
        <w:rPr>
          <w:rFonts w:hint="eastAsia" w:ascii="仿宋_GB2312" w:hAnsi="仿宋_GB2312" w:eastAsia="仿宋_GB2312" w:cs="仿宋_GB2312"/>
          <w:color w:val="000000"/>
          <w:sz w:val="32"/>
          <w:szCs w:val="32"/>
          <w:shd w:val="clear" w:color="auto" w:fill="FFFFFF"/>
        </w:rPr>
        <w:t>202</w:t>
      </w:r>
      <w:r>
        <w:rPr>
          <w:rFonts w:hint="eastAsia" w:ascii="仿宋_GB2312" w:hAnsi="仿宋_GB2312" w:eastAsia="仿宋_GB2312" w:cs="仿宋_GB2312"/>
          <w:color w:val="000000"/>
          <w:sz w:val="32"/>
          <w:szCs w:val="32"/>
          <w:shd w:val="clear" w:color="auto" w:fill="FFFFFF"/>
          <w:lang w:val="en-US" w:eastAsia="zh-CN"/>
        </w:rPr>
        <w:t>4</w:t>
      </w:r>
      <w:r>
        <w:rPr>
          <w:rFonts w:eastAsia="仿宋_GB2312"/>
          <w:sz w:val="32"/>
          <w:szCs w:val="32"/>
        </w:rPr>
        <w:t>年</w:t>
      </w:r>
      <w:bookmarkStart w:id="14" w:name="START_IS_ZERO_04_1"/>
      <w:bookmarkEnd w:id="14"/>
      <w:bookmarkStart w:id="15" w:name="IS_ZERO_04"/>
      <w:bookmarkEnd w:id="15"/>
      <w:bookmarkStart w:id="16" w:name="DIS_MARK_IS_ZERO_04_1"/>
      <w:r>
        <w:rPr>
          <w:rFonts w:hint="eastAsia" w:eastAsia="仿宋_GB2312"/>
          <w:sz w:val="32"/>
          <w:szCs w:val="32"/>
        </w:rPr>
        <w:t>收入较去年</w:t>
      </w:r>
      <w:bookmarkStart w:id="17" w:name="INCOME_BJBD_AMT"/>
      <w:r>
        <w:rPr>
          <w:rFonts w:hint="eastAsia" w:eastAsia="仿宋_GB2312"/>
          <w:sz w:val="32"/>
          <w:szCs w:val="32"/>
        </w:rPr>
        <w:t>增加</w:t>
      </w:r>
      <w:bookmarkEnd w:id="16"/>
      <w:r>
        <w:rPr>
          <w:rFonts w:hint="eastAsia" w:eastAsia="仿宋_GB2312"/>
          <w:sz w:val="32"/>
          <w:szCs w:val="32"/>
          <w:lang w:val="en-US" w:eastAsia="zh-CN"/>
        </w:rPr>
        <w:t>827.74</w:t>
      </w:r>
      <w:r>
        <w:rPr>
          <w:rFonts w:hint="eastAsia" w:eastAsia="仿宋_GB2312"/>
          <w:sz w:val="32"/>
          <w:szCs w:val="32"/>
        </w:rPr>
        <w:t>万元</w:t>
      </w:r>
      <w:bookmarkEnd w:id="17"/>
      <w:bookmarkStart w:id="18" w:name="START_IS_ZERO_05"/>
      <w:bookmarkEnd w:id="18"/>
      <w:bookmarkStart w:id="19" w:name="IS_ZERO_05"/>
      <w:bookmarkStart w:id="20" w:name="DIS_MARK_IS_ZERO_05"/>
      <w:r>
        <w:rPr>
          <w:rFonts w:hint="eastAsia" w:eastAsia="仿宋_GB2312"/>
          <w:sz w:val="32"/>
          <w:szCs w:val="32"/>
        </w:rPr>
        <w:t>，</w:t>
      </w:r>
      <w:bookmarkStart w:id="21" w:name="INCOME_BJBD_AMT_BL"/>
      <w:r>
        <w:rPr>
          <w:rFonts w:hint="eastAsia" w:eastAsia="仿宋_GB2312"/>
          <w:sz w:val="32"/>
          <w:szCs w:val="32"/>
        </w:rPr>
        <w:t>上升</w:t>
      </w:r>
      <w:r>
        <w:rPr>
          <w:rFonts w:hint="eastAsia" w:eastAsia="仿宋_GB2312"/>
          <w:sz w:val="32"/>
          <w:szCs w:val="32"/>
          <w:lang w:val="en-US" w:eastAsia="zh-CN"/>
        </w:rPr>
        <w:t>56</w:t>
      </w:r>
      <w:r>
        <w:rPr>
          <w:rFonts w:hint="eastAsia" w:eastAsia="仿宋_GB2312"/>
          <w:sz w:val="32"/>
          <w:szCs w:val="32"/>
        </w:rPr>
        <w:t>%</w:t>
      </w:r>
      <w:bookmarkEnd w:id="19"/>
      <w:bookmarkEnd w:id="20"/>
      <w:bookmarkEnd w:id="21"/>
      <w:bookmarkStart w:id="22" w:name="END_IS_ZERO_05"/>
      <w:r>
        <w:rPr>
          <w:rFonts w:hint="eastAsia" w:eastAsia="仿宋_GB2312"/>
          <w:sz w:val="32"/>
          <w:szCs w:val="32"/>
        </w:rPr>
        <w:t>，主要是</w:t>
      </w:r>
      <w:bookmarkStart w:id="23" w:name="INCOME_BJBD_MAIN"/>
      <w:r>
        <w:rPr>
          <w:rFonts w:hint="eastAsia" w:eastAsia="仿宋_GB2312"/>
          <w:sz w:val="32"/>
          <w:szCs w:val="32"/>
        </w:rPr>
        <w:t>因为粮食</w:t>
      </w:r>
      <w:r>
        <w:rPr>
          <w:rFonts w:hint="eastAsia" w:eastAsia="仿宋_GB2312"/>
          <w:sz w:val="32"/>
          <w:szCs w:val="32"/>
          <w:lang w:eastAsia="zh-CN"/>
        </w:rPr>
        <w:t>和国防</w:t>
      </w:r>
      <w:r>
        <w:rPr>
          <w:rFonts w:hint="eastAsia" w:eastAsia="仿宋_GB2312"/>
          <w:sz w:val="32"/>
          <w:szCs w:val="32"/>
        </w:rPr>
        <w:t>部分职责职能合并到发改之后，职责职能的增加导致资金开支增加。主要有：完成全县县级储备粮轮换工作任务；完成全县入统粮食企业监管监测工作任务；完成全县收购的县临储粮储存及销售处置工作任务，给予承储企业保管费、价差亏损、轮换费用</w:t>
      </w:r>
      <w:r>
        <w:rPr>
          <w:rFonts w:hint="eastAsia" w:eastAsia="仿宋_GB2312"/>
          <w:sz w:val="32"/>
          <w:szCs w:val="32"/>
          <w:lang w:eastAsia="zh-CN"/>
        </w:rPr>
        <w:t>、管理差价及人员社保问题处理</w:t>
      </w:r>
      <w:r>
        <w:rPr>
          <w:rFonts w:hint="eastAsia" w:eastAsia="仿宋_GB2312"/>
          <w:sz w:val="32"/>
          <w:szCs w:val="32"/>
        </w:rPr>
        <w:t>；完成全县县级储备粮储备及轮换工作任务；政策性粮食挂账利息</w:t>
      </w:r>
      <w:bookmarkEnd w:id="22"/>
      <w:r>
        <w:rPr>
          <w:rFonts w:hint="eastAsia" w:eastAsia="仿宋_GB2312"/>
          <w:sz w:val="32"/>
          <w:szCs w:val="32"/>
          <w:lang w:eastAsia="zh-CN"/>
        </w:rPr>
        <w:t>；国防人防相关工作任务</w:t>
      </w:r>
      <w:bookmarkEnd w:id="23"/>
      <w:bookmarkStart w:id="24" w:name="END_IS_ZERO_04_2"/>
      <w:bookmarkEnd w:id="24"/>
      <w:bookmarkStart w:id="25" w:name="DIS_MARK_IS_ZERO_04_2"/>
      <w:bookmarkEnd w:id="25"/>
      <w:bookmarkStart w:id="26" w:name="START_IS_ZERO_04_2"/>
      <w:bookmarkEnd w:id="26"/>
      <w:bookmarkStart w:id="27" w:name="END_IS_ZERO_04_1"/>
      <w:bookmarkEnd w:id="27"/>
      <w:r>
        <w:rPr>
          <w:rFonts w:hint="eastAsia" w:eastAsia="仿宋_GB2312"/>
          <w:sz w:val="32"/>
          <w:szCs w:val="32"/>
          <w:lang w:eastAsia="zh-CN"/>
        </w:rPr>
        <w:t>。</w:t>
      </w:r>
    </w:p>
    <w:p w14:paraId="7EABDE4C">
      <w:pPr>
        <w:numPr>
          <w:ilvl w:val="0"/>
          <w:numId w:val="2"/>
        </w:numPr>
        <w:spacing w:line="570" w:lineRule="atLeast"/>
        <w:ind w:firstLine="643"/>
        <w:rPr>
          <w:rFonts w:hint="eastAsia" w:ascii="仿宋_GB2312" w:hAnsi="仿宋" w:eastAsia="仿宋_GB2312" w:cs="宋体"/>
          <w:color w:val="000000"/>
          <w:sz w:val="30"/>
          <w:szCs w:val="30"/>
        </w:rPr>
      </w:pPr>
      <w:r>
        <w:rPr>
          <w:rFonts w:hint="eastAsia" w:eastAsia="仿宋_GB2312"/>
          <w:b/>
          <w:sz w:val="32"/>
          <w:szCs w:val="32"/>
        </w:rPr>
        <w:t>支出预算：</w:t>
      </w:r>
      <w:r>
        <w:rPr>
          <w:rFonts w:hint="eastAsia" w:ascii="仿宋_GB2312" w:hAnsi="仿宋_GB2312" w:eastAsia="仿宋_GB2312" w:cs="仿宋_GB2312"/>
          <w:color w:val="000000"/>
          <w:sz w:val="32"/>
          <w:szCs w:val="32"/>
          <w:shd w:val="clear" w:color="auto" w:fill="FFFFFF"/>
        </w:rPr>
        <w:t>202</w:t>
      </w:r>
      <w:r>
        <w:rPr>
          <w:rFonts w:hint="eastAsia" w:ascii="仿宋_GB2312" w:hAnsi="仿宋_GB2312" w:eastAsia="仿宋_GB2312" w:cs="仿宋_GB2312"/>
          <w:color w:val="000000"/>
          <w:sz w:val="32"/>
          <w:szCs w:val="32"/>
          <w:shd w:val="clear" w:color="auto" w:fill="FFFFFF"/>
          <w:lang w:val="en-US" w:eastAsia="zh-CN"/>
        </w:rPr>
        <w:t>4</w:t>
      </w:r>
      <w:r>
        <w:rPr>
          <w:rFonts w:hint="eastAsia" w:ascii="仿宋_GB2312" w:hAnsi="仿宋_GB2312" w:eastAsia="仿宋_GB2312" w:cs="仿宋_GB2312"/>
          <w:color w:val="000000"/>
          <w:sz w:val="32"/>
          <w:szCs w:val="32"/>
          <w:shd w:val="clear" w:color="auto" w:fill="FFFFFF"/>
        </w:rPr>
        <w:t>年本部门支出预算</w:t>
      </w:r>
      <w:r>
        <w:rPr>
          <w:rFonts w:hint="eastAsia" w:ascii="仿宋_GB2312" w:hAnsi="仿宋_GB2312" w:eastAsia="仿宋_GB2312" w:cs="仿宋_GB2312"/>
          <w:color w:val="000000"/>
          <w:sz w:val="32"/>
          <w:szCs w:val="32"/>
          <w:shd w:val="clear" w:color="auto" w:fill="FFFFFF"/>
          <w:lang w:val="en-US" w:eastAsia="zh-CN"/>
        </w:rPr>
        <w:t>2307.89</w:t>
      </w:r>
      <w:r>
        <w:rPr>
          <w:rFonts w:hint="eastAsia" w:ascii="仿宋_GB2312" w:hAnsi="仿宋_GB2312" w:eastAsia="仿宋_GB2312" w:cs="仿宋_GB2312"/>
          <w:color w:val="000000"/>
          <w:sz w:val="32"/>
          <w:szCs w:val="32"/>
          <w:shd w:val="clear" w:color="auto" w:fill="FFFFFF"/>
        </w:rPr>
        <w:t>万元，</w:t>
      </w:r>
      <w:bookmarkStart w:id="28" w:name="START_PAY_BGT_AMT"/>
      <w:bookmarkEnd w:id="28"/>
      <w:bookmarkStart w:id="29" w:name="DIS_MARK_PAY_BGT_AMT"/>
      <w:r>
        <w:rPr>
          <w:rFonts w:hint="eastAsia" w:ascii="仿宋_GB2312" w:hAnsi="仿宋_GB2312" w:eastAsia="仿宋_GB2312" w:cs="仿宋_GB2312"/>
          <w:color w:val="000000"/>
          <w:sz w:val="32"/>
          <w:szCs w:val="32"/>
          <w:shd w:val="clear" w:color="auto" w:fill="FFFFFF"/>
        </w:rPr>
        <w:t>其中：一般公共服务支出1101.</w:t>
      </w:r>
      <w:r>
        <w:rPr>
          <w:rFonts w:hint="eastAsia" w:ascii="仿宋_GB2312" w:hAnsi="仿宋_GB2312" w:eastAsia="仿宋_GB2312" w:cs="仿宋_GB2312"/>
          <w:color w:val="000000"/>
          <w:sz w:val="32"/>
          <w:szCs w:val="32"/>
          <w:shd w:val="clear" w:color="auto" w:fill="FFFFFF"/>
          <w:lang w:val="en-US" w:eastAsia="zh-CN"/>
        </w:rPr>
        <w:t>18</w:t>
      </w:r>
      <w:r>
        <w:rPr>
          <w:rFonts w:hint="eastAsia" w:ascii="仿宋_GB2312" w:hAnsi="仿宋_GB2312" w:eastAsia="仿宋_GB2312" w:cs="仿宋_GB2312"/>
          <w:color w:val="000000"/>
          <w:sz w:val="32"/>
          <w:szCs w:val="32"/>
          <w:shd w:val="clear" w:color="auto" w:fill="FFFFFF"/>
        </w:rPr>
        <w:t>万元，社会保障和就业支出</w:t>
      </w:r>
      <w:r>
        <w:rPr>
          <w:rFonts w:hint="eastAsia" w:ascii="仿宋_GB2312" w:hAnsi="仿宋_GB2312" w:eastAsia="仿宋_GB2312" w:cs="仿宋_GB2312"/>
          <w:color w:val="000000"/>
          <w:sz w:val="32"/>
          <w:szCs w:val="32"/>
          <w:shd w:val="clear" w:color="auto" w:fill="FFFFFF"/>
          <w:lang w:val="en-US" w:eastAsia="zh-CN"/>
        </w:rPr>
        <w:t>300万元，城乡社区支出147.91万元，</w:t>
      </w:r>
      <w:r>
        <w:rPr>
          <w:rFonts w:hint="eastAsia" w:ascii="仿宋_GB2312" w:hAnsi="仿宋_GB2312" w:eastAsia="仿宋_GB2312" w:cs="仿宋_GB2312"/>
          <w:color w:val="000000"/>
          <w:sz w:val="32"/>
          <w:szCs w:val="32"/>
          <w:shd w:val="clear" w:color="auto" w:fill="FFFFFF"/>
        </w:rPr>
        <w:t>粮油物资储备支出</w:t>
      </w:r>
      <w:r>
        <w:rPr>
          <w:rFonts w:hint="eastAsia" w:ascii="仿宋_GB2312" w:hAnsi="仿宋_GB2312" w:eastAsia="仿宋_GB2312" w:cs="仿宋_GB2312"/>
          <w:color w:val="000000"/>
          <w:sz w:val="32"/>
          <w:szCs w:val="32"/>
          <w:shd w:val="clear" w:color="auto" w:fill="FFFFFF"/>
          <w:lang w:val="en-US" w:eastAsia="zh-CN"/>
        </w:rPr>
        <w:t>758.81</w:t>
      </w:r>
      <w:r>
        <w:rPr>
          <w:rFonts w:hint="eastAsia" w:ascii="仿宋_GB2312" w:hAnsi="仿宋_GB2312" w:eastAsia="仿宋_GB2312" w:cs="仿宋_GB2312"/>
          <w:color w:val="000000"/>
          <w:sz w:val="32"/>
          <w:szCs w:val="32"/>
          <w:shd w:val="clear" w:color="auto" w:fill="FFFFFF"/>
        </w:rPr>
        <w:t>万元。</w:t>
      </w:r>
      <w:bookmarkEnd w:id="29"/>
      <w:bookmarkStart w:id="30" w:name="END_PAY_ZHFZJYJGLZC_AMT"/>
      <w:bookmarkEnd w:id="30"/>
      <w:bookmarkStart w:id="31" w:name="DIS_MARK_PAY_ZHFZJYJGLZC_AMT"/>
      <w:bookmarkEnd w:id="31"/>
      <w:bookmarkStart w:id="32" w:name="START_PAY_ZHFZJYJGLZC_AMT"/>
      <w:bookmarkEnd w:id="32"/>
      <w:bookmarkStart w:id="33" w:name="END_PAY_GYZBJYYSZC_AMT"/>
      <w:bookmarkEnd w:id="33"/>
      <w:bookmarkStart w:id="34" w:name="DIS_MARK_PAY_GYZBJYYSZC_AMT"/>
      <w:bookmarkEnd w:id="34"/>
      <w:bookmarkStart w:id="35" w:name="START_PAY_ZYXZC_AMT"/>
      <w:bookmarkEnd w:id="35"/>
      <w:bookmarkStart w:id="36" w:name="END_PAY_QTZC_AMT"/>
      <w:bookmarkEnd w:id="36"/>
      <w:bookmarkStart w:id="37" w:name="DIS_MARK_PAY_QTZC_AMT"/>
      <w:bookmarkEnd w:id="37"/>
      <w:bookmarkStart w:id="38" w:name="END_PAY_YBF_AMT"/>
      <w:bookmarkEnd w:id="38"/>
      <w:bookmarkStart w:id="39" w:name="START_PAY_QTZC_AMT"/>
      <w:bookmarkEnd w:id="39"/>
      <w:bookmarkStart w:id="40" w:name="DIS_MARK_PAY_YBF_AMT"/>
      <w:bookmarkEnd w:id="40"/>
      <w:bookmarkStart w:id="41" w:name="DIS_MARK_PAY_ZYXZC_AMT"/>
      <w:bookmarkEnd w:id="41"/>
      <w:bookmarkStart w:id="42" w:name="END_PAY_ZYXZC_AMT"/>
      <w:bookmarkEnd w:id="42"/>
      <w:bookmarkStart w:id="43" w:name="START_IS_ZERO_01_1"/>
      <w:bookmarkEnd w:id="43"/>
      <w:bookmarkStart w:id="44" w:name="START_PAY_KYTBGZAPDZC_AMT"/>
      <w:bookmarkEnd w:id="44"/>
      <w:bookmarkStart w:id="45" w:name="START_PAY_ZWFXZC_AMT"/>
      <w:bookmarkEnd w:id="45"/>
      <w:bookmarkStart w:id="46" w:name="END_PAY_ZWFXZC_AMT"/>
      <w:bookmarkEnd w:id="46"/>
      <w:bookmarkStart w:id="47" w:name="START_PAY_ZWHBZC_AMT"/>
      <w:bookmarkEnd w:id="47"/>
      <w:bookmarkStart w:id="48" w:name="END_PAY_KYTBGZAPDZC_AMT"/>
      <w:bookmarkEnd w:id="48"/>
      <w:bookmarkStart w:id="49" w:name="START_PAY_ZWFXFYZC_AMT"/>
      <w:bookmarkEnd w:id="49"/>
      <w:bookmarkStart w:id="50" w:name="END_PAY_ZWHBZC_AMT"/>
      <w:bookmarkEnd w:id="50"/>
      <w:bookmarkStart w:id="51" w:name="IS_ZERO_01"/>
      <w:bookmarkEnd w:id="51"/>
      <w:bookmarkStart w:id="52" w:name="END_PAY_ZWFXFYZC_AMT"/>
      <w:bookmarkEnd w:id="52"/>
      <w:bookmarkStart w:id="53" w:name="DIS_MARK_PAY_ZWHBZC_AMT"/>
      <w:bookmarkEnd w:id="53"/>
      <w:bookmarkStart w:id="54" w:name="END_PAY_BGT_AMT"/>
      <w:bookmarkEnd w:id="54"/>
      <w:bookmarkStart w:id="55" w:name="DIS_MARK_PAY_ZWFXFYZC_AMT"/>
      <w:bookmarkEnd w:id="55"/>
      <w:bookmarkStart w:id="56" w:name="DIS_MARK_PAY_ZWFXZC_AMT"/>
      <w:bookmarkEnd w:id="56"/>
      <w:bookmarkStart w:id="57" w:name="END_PAY_LYWZCBZC_AMT"/>
      <w:bookmarkEnd w:id="57"/>
      <w:bookmarkStart w:id="58" w:name="DIS_MARK_PAY_KYTBGZAPDZC_AMT"/>
      <w:bookmarkEnd w:id="58"/>
      <w:bookmarkStart w:id="59" w:name="START_PAY_GYZBJYYSZC_AMT"/>
      <w:bookmarkEnd w:id="59"/>
      <w:bookmarkStart w:id="60" w:name="START_PAY_YBF_AMT"/>
      <w:bookmarkEnd w:id="60"/>
      <w:bookmarkStart w:id="61" w:name="DIS_MARK_IS_ZERO_01_1"/>
      <w:r>
        <w:rPr>
          <w:rFonts w:hint="eastAsia" w:ascii="仿宋_GB2312" w:hAnsi="仿宋_GB2312" w:eastAsia="仿宋_GB2312" w:cs="仿宋_GB2312"/>
          <w:color w:val="000000"/>
          <w:sz w:val="32"/>
          <w:szCs w:val="32"/>
          <w:shd w:val="clear" w:color="auto" w:fill="FFFFFF"/>
        </w:rPr>
        <w:t>支出较去年</w:t>
      </w:r>
      <w:bookmarkStart w:id="62" w:name="PAY_BJBD_AMT"/>
      <w:r>
        <w:rPr>
          <w:rFonts w:hint="eastAsia" w:ascii="仿宋_GB2312" w:hAnsi="仿宋_GB2312" w:eastAsia="仿宋_GB2312" w:cs="仿宋_GB2312"/>
          <w:color w:val="000000"/>
          <w:sz w:val="32"/>
          <w:szCs w:val="32"/>
          <w:shd w:val="clear" w:color="auto" w:fill="FFFFFF"/>
        </w:rPr>
        <w:t>增加</w:t>
      </w:r>
      <w:bookmarkEnd w:id="61"/>
      <w:r>
        <w:rPr>
          <w:rFonts w:hint="eastAsia" w:eastAsia="仿宋_GB2312"/>
          <w:sz w:val="32"/>
          <w:szCs w:val="32"/>
          <w:lang w:val="en-US" w:eastAsia="zh-CN"/>
        </w:rPr>
        <w:t>827.74</w:t>
      </w:r>
      <w:r>
        <w:rPr>
          <w:rFonts w:hint="eastAsia" w:ascii="仿宋_GB2312" w:hAnsi="仿宋_GB2312" w:eastAsia="仿宋_GB2312" w:cs="仿宋_GB2312"/>
          <w:color w:val="000000"/>
          <w:sz w:val="32"/>
          <w:szCs w:val="32"/>
          <w:shd w:val="clear" w:color="auto" w:fill="FFFFFF"/>
        </w:rPr>
        <w:t>万元</w:t>
      </w:r>
      <w:bookmarkEnd w:id="62"/>
      <w:bookmarkStart w:id="63" w:name="START_IS_ZERO_00"/>
      <w:bookmarkEnd w:id="63"/>
      <w:bookmarkStart w:id="64" w:name="IS_ZERO_00"/>
      <w:bookmarkStart w:id="65" w:name="DIS_MARK_IS_ZERO_00"/>
      <w:r>
        <w:rPr>
          <w:rFonts w:hint="eastAsia" w:ascii="仿宋_GB2312" w:hAnsi="仿宋_GB2312" w:eastAsia="仿宋_GB2312" w:cs="仿宋_GB2312"/>
          <w:color w:val="000000"/>
          <w:sz w:val="32"/>
          <w:szCs w:val="32"/>
          <w:shd w:val="clear" w:color="auto" w:fill="FFFFFF"/>
        </w:rPr>
        <w:t>，</w:t>
      </w:r>
      <w:bookmarkStart w:id="66" w:name="PAY_BJBD_AMT_BL"/>
      <w:r>
        <w:rPr>
          <w:rFonts w:hint="eastAsia" w:ascii="仿宋_GB2312" w:hAnsi="仿宋_GB2312" w:eastAsia="仿宋_GB2312" w:cs="仿宋_GB2312"/>
          <w:color w:val="000000"/>
          <w:sz w:val="32"/>
          <w:szCs w:val="32"/>
          <w:shd w:val="clear" w:color="auto" w:fill="FFFFFF"/>
        </w:rPr>
        <w:t>上升</w:t>
      </w:r>
      <w:r>
        <w:rPr>
          <w:rFonts w:hint="eastAsia" w:ascii="仿宋_GB2312" w:hAnsi="仿宋_GB2312" w:eastAsia="仿宋_GB2312" w:cs="仿宋_GB2312"/>
          <w:color w:val="000000"/>
          <w:sz w:val="32"/>
          <w:szCs w:val="32"/>
          <w:shd w:val="clear" w:color="auto" w:fill="FFFFFF"/>
          <w:lang w:val="en-US" w:eastAsia="zh-CN"/>
        </w:rPr>
        <w:t>56</w:t>
      </w:r>
      <w:r>
        <w:rPr>
          <w:rFonts w:hint="eastAsia" w:ascii="仿宋_GB2312" w:hAnsi="仿宋_GB2312" w:eastAsia="仿宋_GB2312" w:cs="仿宋_GB2312"/>
          <w:color w:val="000000"/>
          <w:sz w:val="32"/>
          <w:szCs w:val="32"/>
          <w:shd w:val="clear" w:color="auto" w:fill="FFFFFF"/>
        </w:rPr>
        <w:t>%</w:t>
      </w:r>
      <w:bookmarkEnd w:id="64"/>
      <w:bookmarkEnd w:id="65"/>
      <w:bookmarkEnd w:id="66"/>
      <w:bookmarkStart w:id="67" w:name="END_IS_ZERO_00"/>
      <w:r>
        <w:rPr>
          <w:rFonts w:hint="eastAsia" w:ascii="仿宋_GB2312" w:hAnsi="仿宋_GB2312" w:eastAsia="仿宋_GB2312" w:cs="仿宋_GB2312"/>
          <w:color w:val="000000"/>
          <w:sz w:val="32"/>
          <w:szCs w:val="32"/>
          <w:shd w:val="clear" w:color="auto" w:fill="FFFFFF"/>
        </w:rPr>
        <w:t>，</w:t>
      </w:r>
      <w:bookmarkEnd w:id="67"/>
      <w:bookmarkStart w:id="68" w:name="END_IS_ZERO_01_1"/>
      <w:bookmarkEnd w:id="68"/>
      <w:bookmarkStart w:id="69" w:name="START_IS_ZERO_01_2"/>
      <w:bookmarkEnd w:id="69"/>
      <w:bookmarkStart w:id="70" w:name="DIS_MARK_IS_ZERO_01_2"/>
      <w:bookmarkEnd w:id="70"/>
      <w:bookmarkStart w:id="71" w:name="END_IS_ZERO_01_2"/>
      <w:bookmarkEnd w:id="71"/>
      <w:r>
        <w:rPr>
          <w:rFonts w:hint="eastAsia" w:eastAsia="仿宋_GB2312"/>
          <w:sz w:val="32"/>
          <w:szCs w:val="32"/>
        </w:rPr>
        <w:t>主要是因为粮食</w:t>
      </w:r>
      <w:r>
        <w:rPr>
          <w:rFonts w:hint="eastAsia" w:eastAsia="仿宋_GB2312"/>
          <w:sz w:val="32"/>
          <w:szCs w:val="32"/>
          <w:lang w:eastAsia="zh-CN"/>
        </w:rPr>
        <w:t>和国防</w:t>
      </w:r>
      <w:r>
        <w:rPr>
          <w:rFonts w:hint="eastAsia" w:eastAsia="仿宋_GB2312"/>
          <w:sz w:val="32"/>
          <w:szCs w:val="32"/>
        </w:rPr>
        <w:t>部分职责职能合并到发改之后，职责职能的增加导致资金开支增加。主要有：完成全县县级储备粮轮换工作任务；完成全县入统粮食企业监管监测工作任务；完成全县收购的县临储粮储存及销售处置工作任务，给予承储企业保管费、价差亏损、轮换费用</w:t>
      </w:r>
      <w:r>
        <w:rPr>
          <w:rFonts w:hint="eastAsia" w:eastAsia="仿宋_GB2312"/>
          <w:sz w:val="32"/>
          <w:szCs w:val="32"/>
          <w:lang w:eastAsia="zh-CN"/>
        </w:rPr>
        <w:t>、管理差价及人员社保问题处理</w:t>
      </w:r>
      <w:r>
        <w:rPr>
          <w:rFonts w:hint="eastAsia" w:eastAsia="仿宋_GB2312"/>
          <w:sz w:val="32"/>
          <w:szCs w:val="32"/>
        </w:rPr>
        <w:t>；完成全县县级储备粮储备及轮换工作任务；政策性粮食挂账利息</w:t>
      </w:r>
      <w:r>
        <w:rPr>
          <w:rFonts w:hint="eastAsia" w:eastAsia="仿宋_GB2312"/>
          <w:sz w:val="32"/>
          <w:szCs w:val="32"/>
          <w:lang w:eastAsia="zh-CN"/>
        </w:rPr>
        <w:t>；国防人防相关工作任务</w:t>
      </w:r>
      <w:r>
        <w:rPr>
          <w:rFonts w:eastAsia="仿宋_GB2312"/>
          <w:sz w:val="32"/>
          <w:szCs w:val="32"/>
        </w:rPr>
        <w:t>。</w:t>
      </w:r>
    </w:p>
    <w:p w14:paraId="40213C10">
      <w:pPr>
        <w:widowControl/>
        <w:spacing w:line="570" w:lineRule="atLeast"/>
        <w:ind w:firstLine="643"/>
        <w:rPr>
          <w:rFonts w:hint="eastAsia" w:ascii="黑体" w:hAnsi="黑体" w:eastAsia="黑体" w:cs="黑体"/>
          <w:b/>
          <w:color w:val="000000"/>
          <w:sz w:val="32"/>
          <w:szCs w:val="32"/>
        </w:rPr>
      </w:pPr>
      <w:r>
        <w:rPr>
          <w:rFonts w:hint="eastAsia" w:ascii="黑体" w:hAnsi="黑体" w:eastAsia="黑体" w:cs="黑体"/>
          <w:b/>
          <w:color w:val="000000"/>
          <w:sz w:val="32"/>
          <w:szCs w:val="32"/>
        </w:rPr>
        <w:t>四、一般公共预算拨款支出</w:t>
      </w:r>
    </w:p>
    <w:p w14:paraId="5881143F">
      <w:pPr>
        <w:spacing w:line="570" w:lineRule="atLeast"/>
        <w:ind w:firstLine="640"/>
        <w:rPr>
          <w:rFonts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202</w:t>
      </w:r>
      <w:r>
        <w:rPr>
          <w:rFonts w:hint="eastAsia" w:ascii="仿宋_GB2312" w:hAnsi="仿宋_GB2312" w:eastAsia="仿宋_GB2312" w:cs="仿宋_GB2312"/>
          <w:color w:val="000000"/>
          <w:sz w:val="32"/>
          <w:szCs w:val="32"/>
          <w:shd w:val="clear" w:color="auto" w:fill="FFFFFF"/>
          <w:lang w:val="en-US" w:eastAsia="zh-CN"/>
        </w:rPr>
        <w:t>4</w:t>
      </w:r>
      <w:r>
        <w:rPr>
          <w:rFonts w:ascii="仿宋_GB2312" w:hAnsi="仿宋_GB2312" w:eastAsia="仿宋_GB2312" w:cs="仿宋_GB2312"/>
          <w:color w:val="000000"/>
          <w:sz w:val="32"/>
          <w:szCs w:val="32"/>
          <w:shd w:val="clear" w:color="auto" w:fill="FFFFFF"/>
        </w:rPr>
        <w:t>年本</w:t>
      </w:r>
      <w:r>
        <w:rPr>
          <w:rFonts w:hint="eastAsia" w:ascii="仿宋_GB2312" w:hAnsi="仿宋_GB2312" w:eastAsia="仿宋_GB2312" w:cs="仿宋_GB2312"/>
          <w:color w:val="000000"/>
          <w:sz w:val="32"/>
          <w:szCs w:val="32"/>
          <w:shd w:val="clear" w:color="auto" w:fill="FFFFFF"/>
        </w:rPr>
        <w:t>部门</w:t>
      </w:r>
      <w:r>
        <w:rPr>
          <w:rFonts w:ascii="仿宋_GB2312" w:hAnsi="仿宋_GB2312" w:eastAsia="仿宋_GB2312" w:cs="仿宋_GB2312"/>
          <w:color w:val="000000"/>
          <w:sz w:val="32"/>
          <w:szCs w:val="32"/>
          <w:shd w:val="clear" w:color="auto" w:fill="FFFFFF"/>
        </w:rPr>
        <w:t>一般公共预算拨款支出</w:t>
      </w:r>
      <w:r>
        <w:rPr>
          <w:rFonts w:hint="eastAsia" w:ascii="仿宋_GB2312" w:hAnsi="仿宋_GB2312" w:eastAsia="仿宋_GB2312" w:cs="仿宋_GB2312"/>
          <w:color w:val="000000"/>
          <w:sz w:val="32"/>
          <w:szCs w:val="32"/>
          <w:shd w:val="clear" w:color="auto" w:fill="FFFFFF"/>
          <w:lang w:val="en-US" w:eastAsia="zh-CN"/>
        </w:rPr>
        <w:t>2159.99</w:t>
      </w:r>
      <w:r>
        <w:rPr>
          <w:rFonts w:hint="eastAsia" w:ascii="仿宋_GB2312" w:hAnsi="仿宋_GB2312" w:eastAsia="仿宋_GB2312" w:cs="仿宋_GB2312"/>
          <w:color w:val="000000"/>
          <w:sz w:val="32"/>
          <w:szCs w:val="32"/>
          <w:shd w:val="clear" w:color="auto" w:fill="FFFFFF"/>
        </w:rPr>
        <w:t>万元</w:t>
      </w:r>
      <w:r>
        <w:rPr>
          <w:rFonts w:ascii="仿宋_GB2312" w:hAnsi="仿宋_GB2312" w:eastAsia="仿宋_GB2312" w:cs="仿宋_GB2312"/>
          <w:color w:val="000000"/>
          <w:sz w:val="32"/>
          <w:szCs w:val="32"/>
          <w:shd w:val="clear" w:color="auto" w:fill="FFFFFF"/>
        </w:rPr>
        <w:t>（含上级财政补助</w:t>
      </w:r>
      <w:bookmarkStart w:id="72" w:name="PAY_SJCZBZZC_AMT"/>
      <w:r>
        <w:rPr>
          <w:rFonts w:ascii="仿宋_GB2312" w:hAnsi="仿宋_GB2312" w:eastAsia="仿宋_GB2312" w:cs="仿宋_GB2312"/>
          <w:color w:val="000000"/>
          <w:sz w:val="32"/>
          <w:szCs w:val="32"/>
          <w:shd w:val="clear" w:color="auto" w:fill="FFFFFF"/>
        </w:rPr>
        <w:t>0.00</w:t>
      </w:r>
      <w:bookmarkEnd w:id="72"/>
      <w:r>
        <w:rPr>
          <w:rFonts w:hint="eastAsia" w:ascii="仿宋_GB2312" w:hAnsi="仿宋_GB2312" w:eastAsia="仿宋_GB2312" w:cs="仿宋_GB2312"/>
          <w:color w:val="000000"/>
          <w:sz w:val="32"/>
          <w:szCs w:val="32"/>
          <w:shd w:val="clear" w:color="auto" w:fill="FFFFFF"/>
        </w:rPr>
        <w:t>万元</w:t>
      </w:r>
      <w:r>
        <w:rPr>
          <w:rFonts w:ascii="仿宋_GB2312" w:hAnsi="仿宋_GB2312" w:eastAsia="仿宋_GB2312" w:cs="仿宋_GB2312"/>
          <w:color w:val="000000"/>
          <w:sz w:val="32"/>
          <w:szCs w:val="32"/>
          <w:shd w:val="clear" w:color="auto" w:fill="FFFFFF"/>
        </w:rPr>
        <w:t>），</w:t>
      </w:r>
      <w:bookmarkStart w:id="73" w:name="START_PAY_YBGGYSBKZC"/>
      <w:bookmarkEnd w:id="73"/>
      <w:bookmarkStart w:id="74" w:name="DIS_MARK_PAY_YBGGYSBKZC"/>
      <w:r>
        <w:rPr>
          <w:rFonts w:ascii="仿宋_GB2312" w:hAnsi="仿宋_GB2312" w:eastAsia="仿宋_GB2312" w:cs="仿宋_GB2312"/>
          <w:color w:val="000000"/>
          <w:sz w:val="32"/>
          <w:szCs w:val="32"/>
          <w:shd w:val="clear" w:color="auto" w:fill="FFFFFF"/>
        </w:rPr>
        <w:t>其中：一般公共服务支出1101.</w:t>
      </w:r>
      <w:r>
        <w:rPr>
          <w:rFonts w:hint="eastAsia" w:ascii="仿宋_GB2312" w:hAnsi="仿宋_GB2312" w:eastAsia="仿宋_GB2312" w:cs="仿宋_GB2312"/>
          <w:color w:val="000000"/>
          <w:sz w:val="32"/>
          <w:szCs w:val="32"/>
          <w:shd w:val="clear" w:color="auto" w:fill="FFFFFF"/>
          <w:lang w:val="en-US" w:eastAsia="zh-CN"/>
        </w:rPr>
        <w:t>18</w:t>
      </w:r>
      <w:r>
        <w:rPr>
          <w:rFonts w:ascii="仿宋_GB2312" w:hAnsi="仿宋_GB2312" w:eastAsia="仿宋_GB2312" w:cs="仿宋_GB2312"/>
          <w:color w:val="000000"/>
          <w:sz w:val="32"/>
          <w:szCs w:val="32"/>
          <w:shd w:val="clear" w:color="auto" w:fill="FFFFFF"/>
        </w:rPr>
        <w:t>万元，占</w:t>
      </w:r>
      <w:r>
        <w:rPr>
          <w:rFonts w:hint="eastAsia" w:ascii="仿宋_GB2312" w:hAnsi="仿宋_GB2312" w:eastAsia="仿宋_GB2312" w:cs="仿宋_GB2312"/>
          <w:color w:val="000000"/>
          <w:sz w:val="32"/>
          <w:szCs w:val="32"/>
          <w:shd w:val="clear" w:color="auto" w:fill="FFFFFF"/>
          <w:lang w:val="en-US" w:eastAsia="zh-CN"/>
        </w:rPr>
        <w:t>51</w:t>
      </w:r>
      <w:r>
        <w:rPr>
          <w:rFonts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color w:val="000000"/>
          <w:sz w:val="32"/>
          <w:szCs w:val="32"/>
          <w:shd w:val="clear" w:color="auto" w:fill="FFFFFF"/>
        </w:rPr>
        <w:t>社会保障和就业支出</w:t>
      </w:r>
      <w:r>
        <w:rPr>
          <w:rFonts w:hint="eastAsia" w:ascii="仿宋_GB2312" w:hAnsi="仿宋_GB2312" w:eastAsia="仿宋_GB2312" w:cs="仿宋_GB2312"/>
          <w:color w:val="000000"/>
          <w:sz w:val="32"/>
          <w:szCs w:val="32"/>
          <w:shd w:val="clear" w:color="auto" w:fill="FFFFFF"/>
          <w:lang w:val="en-US" w:eastAsia="zh-CN"/>
        </w:rPr>
        <w:t>300万元，占14%；</w:t>
      </w:r>
      <w:r>
        <w:rPr>
          <w:rFonts w:ascii="仿宋_GB2312" w:hAnsi="仿宋_GB2312" w:eastAsia="仿宋_GB2312" w:cs="仿宋_GB2312"/>
          <w:color w:val="000000"/>
          <w:sz w:val="32"/>
          <w:szCs w:val="32"/>
          <w:shd w:val="clear" w:color="auto" w:fill="FFFFFF"/>
        </w:rPr>
        <w:t>粮油物资储备支出</w:t>
      </w:r>
      <w:r>
        <w:rPr>
          <w:rFonts w:hint="eastAsia" w:ascii="仿宋_GB2312" w:hAnsi="仿宋_GB2312" w:eastAsia="仿宋_GB2312" w:cs="仿宋_GB2312"/>
          <w:color w:val="000000"/>
          <w:sz w:val="32"/>
          <w:szCs w:val="32"/>
          <w:shd w:val="clear" w:color="auto" w:fill="FFFFFF"/>
          <w:lang w:val="en-US" w:eastAsia="zh-CN"/>
        </w:rPr>
        <w:t>758.81</w:t>
      </w:r>
      <w:r>
        <w:rPr>
          <w:rFonts w:ascii="仿宋_GB2312" w:hAnsi="仿宋_GB2312" w:eastAsia="仿宋_GB2312" w:cs="仿宋_GB2312"/>
          <w:color w:val="000000"/>
          <w:sz w:val="32"/>
          <w:szCs w:val="32"/>
          <w:shd w:val="clear" w:color="auto" w:fill="FFFFFF"/>
        </w:rPr>
        <w:t>万元，占</w:t>
      </w:r>
      <w:r>
        <w:rPr>
          <w:rFonts w:hint="eastAsia" w:ascii="仿宋_GB2312" w:hAnsi="仿宋_GB2312" w:eastAsia="仿宋_GB2312" w:cs="仿宋_GB2312"/>
          <w:color w:val="000000"/>
          <w:sz w:val="32"/>
          <w:szCs w:val="32"/>
          <w:shd w:val="clear" w:color="auto" w:fill="FFFFFF"/>
          <w:lang w:val="en-US" w:eastAsia="zh-CN"/>
        </w:rPr>
        <w:t>35</w:t>
      </w:r>
      <w:r>
        <w:rPr>
          <w:rFonts w:ascii="仿宋_GB2312" w:hAnsi="仿宋_GB2312" w:eastAsia="仿宋_GB2312" w:cs="仿宋_GB2312"/>
          <w:color w:val="000000"/>
          <w:sz w:val="32"/>
          <w:szCs w:val="32"/>
          <w:shd w:val="clear" w:color="auto" w:fill="FFFFFF"/>
        </w:rPr>
        <w:t>%。</w:t>
      </w:r>
      <w:bookmarkEnd w:id="74"/>
      <w:bookmarkStart w:id="75" w:name="END_PAY_ZHFZJYJGLZC_AMT_1"/>
      <w:bookmarkEnd w:id="75"/>
      <w:bookmarkStart w:id="76" w:name="START_PAY_YBF_AMT_1"/>
      <w:bookmarkEnd w:id="76"/>
      <w:bookmarkStart w:id="77" w:name="DIS_MARK_PAY_YBF_AMT_1"/>
      <w:bookmarkEnd w:id="77"/>
      <w:bookmarkStart w:id="78" w:name="END_PAY_YBF_AMT_1"/>
      <w:bookmarkEnd w:id="78"/>
      <w:bookmarkStart w:id="79" w:name="START_PAY_QTZC_AMT_1"/>
      <w:bookmarkEnd w:id="79"/>
      <w:bookmarkStart w:id="80" w:name="DIS_MARK_PAY_QTZC_AMT_1"/>
      <w:bookmarkEnd w:id="80"/>
      <w:bookmarkStart w:id="81" w:name="END_PAY_QTZC_AMT_1"/>
      <w:bookmarkEnd w:id="81"/>
      <w:bookmarkStart w:id="82" w:name="START_PAY_ZYXZCZC_AMT_1"/>
      <w:bookmarkEnd w:id="82"/>
      <w:bookmarkStart w:id="83" w:name="DIS_MARK_PAY_ZYXZCZC_AMT_1"/>
      <w:bookmarkEnd w:id="83"/>
      <w:bookmarkStart w:id="84" w:name="END_PAY_ZYXZCZC_AMT_1"/>
      <w:bookmarkEnd w:id="84"/>
      <w:bookmarkStart w:id="85" w:name="START_PAY_ZWHBZC_AMT_1"/>
      <w:bookmarkEnd w:id="85"/>
      <w:bookmarkStart w:id="86" w:name="DIS_MARK_PAY_ZWHBZC_AMT_1"/>
      <w:bookmarkEnd w:id="86"/>
      <w:bookmarkStart w:id="87" w:name="END_PAY_ZWHBZC_AMT_1"/>
      <w:bookmarkEnd w:id="87"/>
      <w:bookmarkStart w:id="88" w:name="START_PAY_ZWFXZC_AMT_1"/>
      <w:bookmarkEnd w:id="88"/>
      <w:bookmarkStart w:id="89" w:name="DIS_MARK_PAY_ZWFXZC_AMT_1"/>
      <w:bookmarkEnd w:id="89"/>
      <w:bookmarkStart w:id="90" w:name="END_PAY_ZWFXZC_AMT_1"/>
      <w:bookmarkEnd w:id="90"/>
      <w:bookmarkStart w:id="91" w:name="START_PAY_ZWFXFZC_AMT_1"/>
      <w:bookmarkEnd w:id="91"/>
      <w:bookmarkStart w:id="92" w:name="DIS_MARK_PAY_ZWFXFZC_AMT_1"/>
      <w:bookmarkEnd w:id="92"/>
      <w:bookmarkStart w:id="93" w:name="END_PAY_ZWFXFZC_AMT_1"/>
      <w:bookmarkEnd w:id="93"/>
      <w:bookmarkStart w:id="94" w:name="END_PAY_YBGGYSBKZC"/>
      <w:bookmarkEnd w:id="94"/>
      <w:bookmarkStart w:id="95" w:name="END_PAY_LYWZCBZC_AMT_1"/>
      <w:bookmarkEnd w:id="95"/>
      <w:bookmarkStart w:id="96" w:name="START_PAY_ZHFZJYJGLZC_AMT_1"/>
      <w:bookmarkEnd w:id="96"/>
      <w:bookmarkStart w:id="97" w:name="DIS_MARK_PAY_ZHFZJYJGLZC_AMT_1"/>
      <w:bookmarkEnd w:id="97"/>
      <w:r>
        <w:rPr>
          <w:rFonts w:ascii="仿宋_GB2312" w:hAnsi="仿宋_GB2312" w:eastAsia="仿宋_GB2312" w:cs="仿宋_GB2312"/>
          <w:color w:val="000000"/>
          <w:sz w:val="32"/>
          <w:szCs w:val="32"/>
          <w:shd w:val="clear" w:color="auto" w:fill="FFFFFF"/>
        </w:rPr>
        <w:t>具体安排情况如下：</w:t>
      </w:r>
    </w:p>
    <w:p w14:paraId="38F8751E">
      <w:pPr>
        <w:spacing w:line="570" w:lineRule="atLeast"/>
        <w:ind w:firstLine="643"/>
        <w:rPr>
          <w:rFonts w:ascii="仿宋_GB2312" w:hAnsi="仿宋_GB2312" w:eastAsia="仿宋_GB2312" w:cs="仿宋_GB2312"/>
          <w:color w:val="000000"/>
          <w:sz w:val="32"/>
          <w:szCs w:val="32"/>
          <w:shd w:val="clear" w:color="auto" w:fill="FFFFFF"/>
        </w:rPr>
      </w:pPr>
      <w:r>
        <w:rPr>
          <w:rFonts w:eastAsia="仿宋_GB2312"/>
          <w:b/>
          <w:sz w:val="32"/>
          <w:szCs w:val="32"/>
        </w:rPr>
        <w:t>（一）基本支出：</w:t>
      </w:r>
      <w:r>
        <w:rPr>
          <w:rFonts w:hint="eastAsia" w:ascii="仿宋_GB2312" w:hAnsi="仿宋_GB2312" w:eastAsia="仿宋_GB2312" w:cs="仿宋_GB2312"/>
          <w:color w:val="000000"/>
          <w:sz w:val="32"/>
          <w:szCs w:val="32"/>
          <w:shd w:val="clear" w:color="auto" w:fill="FFFFFF"/>
        </w:rPr>
        <w:t>202</w:t>
      </w:r>
      <w:r>
        <w:rPr>
          <w:rFonts w:hint="eastAsia" w:ascii="仿宋_GB2312" w:hAnsi="仿宋_GB2312" w:eastAsia="仿宋_GB2312" w:cs="仿宋_GB2312"/>
          <w:color w:val="000000"/>
          <w:sz w:val="32"/>
          <w:szCs w:val="32"/>
          <w:shd w:val="clear" w:color="auto" w:fill="FFFFFF"/>
          <w:lang w:val="en-US" w:eastAsia="zh-CN"/>
        </w:rPr>
        <w:t>4</w:t>
      </w:r>
      <w:r>
        <w:rPr>
          <w:rFonts w:hint="eastAsia" w:ascii="仿宋_GB2312" w:hAnsi="仿宋_GB2312" w:eastAsia="仿宋_GB2312" w:cs="仿宋_GB2312"/>
          <w:color w:val="000000"/>
          <w:sz w:val="32"/>
          <w:szCs w:val="32"/>
          <w:shd w:val="clear" w:color="auto" w:fill="FFFFFF"/>
        </w:rPr>
        <w:t>年本部门基本支出预算数</w:t>
      </w:r>
      <w:r>
        <w:rPr>
          <w:rFonts w:hint="eastAsia" w:ascii="仿宋_GB2312" w:hAnsi="仿宋_GB2312" w:eastAsia="仿宋_GB2312" w:cs="仿宋_GB2312"/>
          <w:color w:val="000000"/>
          <w:sz w:val="32"/>
          <w:szCs w:val="32"/>
          <w:shd w:val="clear" w:color="auto" w:fill="FFFFFF"/>
          <w:lang w:val="en-US" w:eastAsia="zh-CN"/>
        </w:rPr>
        <w:t>608.78</w:t>
      </w:r>
      <w:r>
        <w:rPr>
          <w:rFonts w:hint="eastAsia" w:ascii="仿宋_GB2312" w:hAnsi="仿宋_GB2312" w:eastAsia="仿宋_GB2312" w:cs="仿宋_GB2312"/>
          <w:color w:val="000000"/>
          <w:sz w:val="32"/>
          <w:szCs w:val="32"/>
          <w:shd w:val="clear" w:color="auto" w:fill="FFFFFF"/>
        </w:rPr>
        <w:t>万元，主要是为保障部门正常运转、完成日常工作任务而发生的各项支出，包括用于基本工资、津贴补贴等人员经费以及办公费、印刷费、水电费、办公设备购置等公用经费。</w:t>
      </w:r>
    </w:p>
    <w:p w14:paraId="3D25A39A">
      <w:pPr>
        <w:spacing w:line="570" w:lineRule="atLeast"/>
        <w:ind w:firstLine="643"/>
        <w:rPr>
          <w:rFonts w:ascii="仿宋_GB2312" w:hAnsi="仿宋_GB2312" w:eastAsia="仿宋_GB2312" w:cs="仿宋_GB2312"/>
          <w:color w:val="000000"/>
          <w:sz w:val="32"/>
          <w:szCs w:val="32"/>
          <w:shd w:val="clear" w:color="auto" w:fill="FFFFFF"/>
        </w:rPr>
      </w:pPr>
      <w:r>
        <w:rPr>
          <w:rFonts w:eastAsia="仿宋_GB2312"/>
          <w:b/>
          <w:sz w:val="32"/>
          <w:szCs w:val="32"/>
        </w:rPr>
        <w:t>（二）项目支出：</w:t>
      </w:r>
      <w:r>
        <w:rPr>
          <w:rFonts w:hint="eastAsia" w:ascii="仿宋_GB2312" w:hAnsi="仿宋_GB2312" w:eastAsia="仿宋_GB2312" w:cs="仿宋_GB2312"/>
          <w:color w:val="000000"/>
          <w:sz w:val="32"/>
          <w:szCs w:val="32"/>
          <w:shd w:val="clear" w:color="auto" w:fill="FFFFFF"/>
        </w:rPr>
        <w:t>202</w:t>
      </w:r>
      <w:r>
        <w:rPr>
          <w:rFonts w:hint="eastAsia" w:ascii="仿宋_GB2312" w:hAnsi="仿宋_GB2312" w:eastAsia="仿宋_GB2312" w:cs="仿宋_GB2312"/>
          <w:color w:val="000000"/>
          <w:sz w:val="32"/>
          <w:szCs w:val="32"/>
          <w:shd w:val="clear" w:color="auto" w:fill="FFFFFF"/>
          <w:lang w:val="en-US" w:eastAsia="zh-CN"/>
        </w:rPr>
        <w:t>4</w:t>
      </w:r>
      <w:r>
        <w:rPr>
          <w:rFonts w:hint="eastAsia" w:ascii="仿宋_GB2312" w:hAnsi="仿宋_GB2312" w:eastAsia="仿宋_GB2312" w:cs="仿宋_GB2312"/>
          <w:color w:val="000000"/>
          <w:sz w:val="32"/>
          <w:szCs w:val="32"/>
          <w:shd w:val="clear" w:color="auto" w:fill="FFFFFF"/>
        </w:rPr>
        <w:t>年本部门项目支出预算</w:t>
      </w:r>
      <w:r>
        <w:rPr>
          <w:rFonts w:hint="eastAsia" w:ascii="仿宋_GB2312" w:hAnsi="仿宋_GB2312" w:eastAsia="仿宋_GB2312" w:cs="仿宋_GB2312"/>
          <w:color w:val="000000"/>
          <w:sz w:val="32"/>
          <w:szCs w:val="32"/>
          <w:shd w:val="clear" w:color="auto" w:fill="FFFFFF"/>
          <w:lang w:val="en-US" w:eastAsia="zh-CN"/>
        </w:rPr>
        <w:t>1551.21</w:t>
      </w:r>
      <w:r>
        <w:rPr>
          <w:rFonts w:hint="eastAsia" w:ascii="仿宋_GB2312" w:hAnsi="仿宋_GB2312" w:eastAsia="仿宋_GB2312" w:cs="仿宋_GB2312"/>
          <w:color w:val="000000"/>
          <w:sz w:val="32"/>
          <w:szCs w:val="32"/>
          <w:shd w:val="clear" w:color="auto" w:fill="FFFFFF"/>
        </w:rPr>
        <w:t>万元，主要是</w:t>
      </w:r>
      <w:r>
        <w:rPr>
          <w:rFonts w:hint="eastAsia" w:ascii="仿宋_GB2312" w:hAnsi="仿宋_GB2312" w:eastAsia="仿宋_GB2312" w:cs="仿宋_GB2312"/>
          <w:bCs/>
          <w:sz w:val="32"/>
          <w:szCs w:val="32"/>
        </w:rPr>
        <w:t>部门</w:t>
      </w:r>
      <w:r>
        <w:rPr>
          <w:rFonts w:hint="eastAsia" w:ascii="仿宋_GB2312" w:hAnsi="仿宋_GB2312" w:eastAsia="仿宋_GB2312" w:cs="仿宋_GB2312"/>
          <w:color w:val="000000"/>
          <w:sz w:val="32"/>
          <w:szCs w:val="32"/>
          <w:shd w:val="clear" w:color="auto" w:fill="FFFFFF"/>
        </w:rPr>
        <w:t>为完成特定行政工作任务或事业发展目标而发生的支出</w:t>
      </w:r>
      <w:r>
        <w:rPr>
          <w:rFonts w:hint="eastAsia" w:ascii="仿宋_GB2312" w:hAnsi="仿宋_GB2312" w:eastAsia="仿宋_GB2312" w:cs="仿宋_GB2312"/>
          <w:bCs/>
          <w:sz w:val="32"/>
          <w:szCs w:val="32"/>
        </w:rPr>
        <w:t>，包括有关事业发展专项、专项业务费、基本建设支出等</w:t>
      </w:r>
      <w:bookmarkStart w:id="98" w:name="START_PUNCTUATION_MARK"/>
      <w:bookmarkEnd w:id="98"/>
      <w:bookmarkStart w:id="99" w:name="DIS_MARK_PUNCTUATION_MARK"/>
      <w:bookmarkEnd w:id="99"/>
      <w:bookmarkStart w:id="100" w:name="END_PUNCTUATION_MARK"/>
      <w:bookmarkEnd w:id="100"/>
      <w:bookmarkStart w:id="101" w:name="START_PAY_YBGGFWXMZC"/>
      <w:bookmarkEnd w:id="101"/>
      <w:bookmarkStart w:id="102" w:name="DIS_MARK_PAY_YBGGFWXMZC"/>
      <w:r>
        <w:rPr>
          <w:rFonts w:hint="eastAsia" w:ascii="仿宋_GB2312" w:hAnsi="仿宋_GB2312" w:eastAsia="仿宋_GB2312" w:cs="仿宋_GB2312"/>
          <w:bCs/>
          <w:sz w:val="32"/>
          <w:szCs w:val="32"/>
        </w:rPr>
        <w:t>，其中：金穗粮油贸易有限公司养老、医疗保险</w:t>
      </w:r>
      <w:r>
        <w:rPr>
          <w:rFonts w:hint="eastAsia" w:ascii="仿宋_GB2312" w:hAnsi="仿宋_GB2312" w:eastAsia="仿宋_GB2312" w:cs="仿宋_GB2312"/>
          <w:bCs/>
          <w:sz w:val="32"/>
          <w:szCs w:val="32"/>
          <w:lang w:val="en-US" w:eastAsia="zh-CN"/>
        </w:rPr>
        <w:t>350万元，</w:t>
      </w:r>
      <w:r>
        <w:rPr>
          <w:rFonts w:hint="eastAsia" w:ascii="仿宋_GB2312" w:hAnsi="仿宋_GB2312" w:eastAsia="仿宋_GB2312" w:cs="仿宋_GB2312"/>
          <w:bCs/>
          <w:sz w:val="32"/>
          <w:szCs w:val="32"/>
        </w:rPr>
        <w:t>主要解决人员的保险缴费问题</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县级储备粮储备管理等费用</w:t>
      </w:r>
      <w:r>
        <w:rPr>
          <w:rFonts w:hint="eastAsia" w:ascii="仿宋_GB2312" w:hAnsi="仿宋_GB2312" w:eastAsia="仿宋_GB2312" w:cs="仿宋_GB2312"/>
          <w:bCs/>
          <w:sz w:val="32"/>
          <w:szCs w:val="32"/>
          <w:lang w:val="en-US" w:eastAsia="zh-CN"/>
        </w:rPr>
        <w:t>350</w:t>
      </w:r>
      <w:r>
        <w:rPr>
          <w:rFonts w:hint="eastAsia" w:ascii="仿宋_GB2312" w:hAnsi="仿宋_GB2312" w:eastAsia="仿宋_GB2312" w:cs="仿宋_GB2312"/>
          <w:bCs/>
          <w:sz w:val="32"/>
          <w:szCs w:val="32"/>
        </w:rPr>
        <w:t>.00万元</w:t>
      </w:r>
      <w:r>
        <w:rPr>
          <w:rFonts w:hint="eastAsia" w:ascii="仿宋_GB2312" w:hAnsi="仿宋_GB2312" w:eastAsia="仿宋_GB2312" w:cs="仿宋_GB2312"/>
          <w:bCs/>
          <w:sz w:val="32"/>
          <w:szCs w:val="32"/>
          <w:lang w:val="en-US" w:eastAsia="zh-CN"/>
        </w:rPr>
        <w:t>；</w:t>
      </w:r>
      <w:r>
        <w:rPr>
          <w:rFonts w:hint="eastAsia" w:ascii="仿宋_GB2312" w:hAnsi="仿宋_GB2312" w:eastAsia="仿宋_GB2312" w:cs="仿宋_GB2312"/>
          <w:bCs/>
          <w:sz w:val="32"/>
          <w:szCs w:val="32"/>
        </w:rPr>
        <w:t>公开招聘合同工1人4.10万元，主要用于用于聘请1人的人员劳务费开支； 重点项目建设日常工作经费（含风能开发）</w:t>
      </w:r>
      <w:r>
        <w:rPr>
          <w:rFonts w:hint="eastAsia" w:ascii="仿宋_GB2312" w:hAnsi="仿宋_GB2312" w:eastAsia="仿宋_GB2312" w:cs="仿宋_GB2312"/>
          <w:bCs/>
          <w:sz w:val="32"/>
          <w:szCs w:val="32"/>
          <w:lang w:val="en-US" w:eastAsia="zh-CN"/>
        </w:rPr>
        <w:t>35</w:t>
      </w:r>
      <w:r>
        <w:rPr>
          <w:rFonts w:hint="eastAsia" w:ascii="仿宋_GB2312" w:hAnsi="仿宋_GB2312" w:eastAsia="仿宋_GB2312" w:cs="仿宋_GB2312"/>
          <w:bCs/>
          <w:sz w:val="32"/>
          <w:szCs w:val="32"/>
        </w:rPr>
        <w:t>万元，主要用于重点项目建设日常工作经费</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大力推进重点项目建设。今年来，深入推进产业发展“百十亿”工程和产业项目建设年、“项目大比武、献礼二十大”等活动，取得较好成效，项目建设一直保持良好势头；县临储粮费用</w:t>
      </w:r>
      <w:r>
        <w:rPr>
          <w:rFonts w:hint="eastAsia" w:ascii="仿宋_GB2312" w:hAnsi="仿宋_GB2312" w:eastAsia="仿宋_GB2312" w:cs="仿宋_GB2312"/>
          <w:bCs/>
          <w:sz w:val="32"/>
          <w:szCs w:val="32"/>
          <w:lang w:val="en-US" w:eastAsia="zh-CN"/>
        </w:rPr>
        <w:t>16</w:t>
      </w:r>
      <w:r>
        <w:rPr>
          <w:rFonts w:hint="eastAsia" w:ascii="仿宋_GB2312" w:hAnsi="仿宋_GB2312" w:eastAsia="仿宋_GB2312" w:cs="仿宋_GB2312"/>
          <w:bCs/>
          <w:sz w:val="32"/>
          <w:szCs w:val="32"/>
        </w:rPr>
        <w:t>.</w:t>
      </w:r>
      <w:r>
        <w:rPr>
          <w:rFonts w:hint="eastAsia" w:ascii="仿宋_GB2312" w:hAnsi="仿宋_GB2312" w:eastAsia="仿宋_GB2312" w:cs="仿宋_GB2312"/>
          <w:bCs/>
          <w:sz w:val="32"/>
          <w:szCs w:val="32"/>
          <w:lang w:val="en-US" w:eastAsia="zh-CN"/>
        </w:rPr>
        <w:t>31</w:t>
      </w:r>
      <w:r>
        <w:rPr>
          <w:rFonts w:hint="eastAsia" w:ascii="仿宋_GB2312" w:hAnsi="仿宋_GB2312" w:eastAsia="仿宋_GB2312" w:cs="仿宋_GB2312"/>
          <w:bCs/>
          <w:sz w:val="32"/>
          <w:szCs w:val="32"/>
        </w:rPr>
        <w:t>万元，主要用于完成全县202</w:t>
      </w:r>
      <w:r>
        <w:rPr>
          <w:rFonts w:hint="eastAsia" w:ascii="仿宋_GB2312" w:hAnsi="仿宋_GB2312" w:eastAsia="仿宋_GB2312" w:cs="仿宋_GB2312"/>
          <w:bCs/>
          <w:sz w:val="32"/>
          <w:szCs w:val="32"/>
          <w:lang w:val="en-US" w:eastAsia="zh-CN"/>
        </w:rPr>
        <w:t>4</w:t>
      </w:r>
      <w:r>
        <w:rPr>
          <w:rFonts w:hint="eastAsia" w:ascii="仿宋_GB2312" w:hAnsi="仿宋_GB2312" w:eastAsia="仿宋_GB2312" w:cs="仿宋_GB2312"/>
          <w:bCs/>
          <w:sz w:val="32"/>
          <w:szCs w:val="32"/>
        </w:rPr>
        <w:t>年收购的县临储粮储存及销售处置工作任务，给予承储企业保管费、价差亏损、轮换费用；粮食体制放99.00万元，主要用于原粮食体制改革人员的工资、津补贴等开支；县级成品粮管理费用62.50万元，主要用于完成全县县级储备粮储备工作任务；县储粮储备轮换费用及粮食监管监测执法费</w:t>
      </w:r>
      <w:r>
        <w:rPr>
          <w:rFonts w:hint="eastAsia" w:ascii="仿宋_GB2312" w:hAnsi="仿宋_GB2312" w:eastAsia="仿宋_GB2312" w:cs="仿宋_GB2312"/>
          <w:bCs/>
          <w:sz w:val="32"/>
          <w:szCs w:val="32"/>
          <w:lang w:val="en-US" w:eastAsia="zh-CN"/>
        </w:rPr>
        <w:t>185</w:t>
      </w:r>
      <w:r>
        <w:rPr>
          <w:rFonts w:hint="eastAsia" w:ascii="仿宋_GB2312" w:hAnsi="仿宋_GB2312" w:eastAsia="仿宋_GB2312" w:cs="仿宋_GB2312"/>
          <w:bCs/>
          <w:sz w:val="32"/>
          <w:szCs w:val="32"/>
        </w:rPr>
        <w:t>万元，主要用于完成全县县级储备粮储备及轮换工作任务；政策性粮食挂账利息145.00万元，主要用于政策性粮食挂账利息</w:t>
      </w:r>
      <w:r>
        <w:rPr>
          <w:rFonts w:hint="eastAsia" w:ascii="仿宋_GB2312" w:hAnsi="仿宋_GB2312" w:eastAsia="仿宋_GB2312" w:cs="仿宋_GB2312"/>
          <w:bCs/>
          <w:sz w:val="32"/>
          <w:szCs w:val="32"/>
          <w:lang w:eastAsia="zh-CN"/>
        </w:rPr>
        <w:t>；道县人民防空警报演练工作经费</w:t>
      </w:r>
      <w:r>
        <w:rPr>
          <w:rFonts w:hint="eastAsia" w:ascii="仿宋_GB2312" w:hAnsi="仿宋_GB2312" w:eastAsia="仿宋_GB2312" w:cs="仿宋_GB2312"/>
          <w:bCs/>
          <w:sz w:val="32"/>
          <w:szCs w:val="32"/>
          <w:lang w:val="en-US" w:eastAsia="zh-CN"/>
        </w:rPr>
        <w:t>7万元，主要用于人防演练等相关工作的开展；耕地保护和粮食安全责任考核工作经费3.5万元；</w:t>
      </w:r>
      <w:bookmarkStart w:id="280" w:name="_GoBack"/>
      <w:r>
        <w:rPr>
          <w:rFonts w:hint="eastAsia" w:ascii="仿宋_GB2312" w:hAnsi="仿宋_GB2312" w:eastAsia="仿宋_GB2312" w:cs="仿宋_GB2312"/>
          <w:bCs/>
          <w:sz w:val="32"/>
          <w:szCs w:val="32"/>
          <w:lang w:val="en-US" w:eastAsia="zh-CN"/>
        </w:rPr>
        <w:t>易地扶贫搬迁</w:t>
      </w:r>
      <w:bookmarkEnd w:id="280"/>
      <w:r>
        <w:rPr>
          <w:rFonts w:hint="eastAsia" w:ascii="仿宋_GB2312" w:hAnsi="仿宋_GB2312" w:eastAsia="仿宋_GB2312" w:cs="仿宋_GB2312"/>
          <w:bCs/>
          <w:sz w:val="32"/>
          <w:szCs w:val="32"/>
          <w:lang w:val="en-US" w:eastAsia="zh-CN"/>
        </w:rPr>
        <w:t>工作经费5万元；应急能力项目建设资金272.3万元；智能粮库运行维护费3.5万元；招投标指导协调小组工作经费7万元；人民防空方案计划和国土空间专项规划编制费21万元；道县跑项目增资“双学双比”大竞赛活动领导小组日常工资经费35万元；县储粮储备轮换费用及粮食监管监测执法费185万元</w:t>
      </w:r>
      <w:r>
        <w:rPr>
          <w:rFonts w:hint="eastAsia" w:ascii="仿宋_GB2312" w:hAnsi="仿宋_GB2312" w:eastAsia="仿宋_GB2312" w:cs="仿宋_GB2312"/>
          <w:bCs/>
          <w:sz w:val="32"/>
          <w:szCs w:val="32"/>
        </w:rPr>
        <w:t>。</w:t>
      </w:r>
      <w:bookmarkEnd w:id="102"/>
      <w:bookmarkStart w:id="103" w:name="DIS_MARK_PAY_SYFWZC_AMT_2"/>
      <w:bookmarkEnd w:id="103"/>
      <w:bookmarkStart w:id="104" w:name="START_PAY_SYFWZC_AMT_2"/>
      <w:bookmarkEnd w:id="104"/>
      <w:bookmarkStart w:id="105" w:name="END_PAY_ZYKTZC_AMT_2"/>
      <w:bookmarkEnd w:id="105"/>
      <w:bookmarkStart w:id="106" w:name="DIS_MARK_PAY_ZYKTZC_AMT_2"/>
      <w:bookmarkEnd w:id="106"/>
      <w:bookmarkStart w:id="107" w:name="START_PAY_ZYKTZC_AMT_2"/>
      <w:bookmarkEnd w:id="107"/>
      <w:bookmarkStart w:id="108" w:name="END_PAY_JTZC_AMT_2"/>
      <w:bookmarkEnd w:id="108"/>
      <w:bookmarkStart w:id="109" w:name="DIS_MARK_PAY_JTZC_AMT_2"/>
      <w:bookmarkEnd w:id="109"/>
      <w:bookmarkStart w:id="110" w:name="START_PAY_JTZC_AMT_2"/>
      <w:bookmarkEnd w:id="110"/>
      <w:bookmarkStart w:id="111" w:name="END_PAY_NLSZC_AMT_2"/>
      <w:bookmarkEnd w:id="111"/>
      <w:bookmarkStart w:id="112" w:name="DIS_MARK_PAY_NLSZC_AMT_2"/>
      <w:bookmarkEnd w:id="112"/>
      <w:bookmarkStart w:id="113" w:name="START_PAY_NLSZC_AMT_2"/>
      <w:bookmarkEnd w:id="113"/>
      <w:bookmarkStart w:id="114" w:name="END_PAY_CXSQZC_AMT_2"/>
      <w:bookmarkEnd w:id="114"/>
      <w:bookmarkStart w:id="115" w:name="DIS_MARK_PAY_CXSQZC_AMT_2"/>
      <w:bookmarkEnd w:id="115"/>
      <w:bookmarkStart w:id="116" w:name="START_PAY_CXSQZC_AMT_2"/>
      <w:bookmarkEnd w:id="116"/>
      <w:bookmarkStart w:id="117" w:name="END_PAY_JNHBZC_AMT_2"/>
      <w:bookmarkEnd w:id="117"/>
      <w:bookmarkStart w:id="118" w:name="DIS_MARK_PAY_JNHBZC_AMT_2"/>
      <w:bookmarkEnd w:id="118"/>
      <w:bookmarkStart w:id="119" w:name="START_PAY_JNHBZC_AMT_2"/>
      <w:bookmarkEnd w:id="119"/>
      <w:bookmarkStart w:id="120" w:name="END_PAY_WSJKZC_AMT_2"/>
      <w:bookmarkEnd w:id="120"/>
      <w:bookmarkStart w:id="121" w:name="DIS_MARK_PAY_WSJKZC_AMT_2"/>
      <w:bookmarkEnd w:id="121"/>
      <w:bookmarkStart w:id="122" w:name="START_PAY_WSJKZC_AMT_2"/>
      <w:bookmarkEnd w:id="122"/>
      <w:bookmarkStart w:id="123" w:name="END_PAY_SHBXJJZC_AMT_2"/>
      <w:bookmarkEnd w:id="123"/>
      <w:bookmarkStart w:id="124" w:name="DIS_MARK_PAY_SHBXJJZC_AMT_2"/>
      <w:bookmarkEnd w:id="124"/>
      <w:bookmarkStart w:id="125" w:name="START_PAY_SHBXJJZC_AMT_2"/>
      <w:bookmarkEnd w:id="125"/>
      <w:bookmarkStart w:id="126" w:name="END_PAY_SHBZYJYZC_AMT_2"/>
      <w:bookmarkEnd w:id="126"/>
      <w:bookmarkStart w:id="127" w:name="END_PAY_SYFWZC_AMT_2"/>
      <w:bookmarkEnd w:id="127"/>
      <w:bookmarkStart w:id="128" w:name="START_PAY_JRZC_AMT_2"/>
      <w:bookmarkEnd w:id="128"/>
      <w:bookmarkStart w:id="129" w:name="DIS_MARK_PAY_JRZC_AMT_2"/>
      <w:bookmarkEnd w:id="129"/>
      <w:bookmarkStart w:id="130" w:name="END_PAY_JRZC_AMT_2"/>
      <w:bookmarkEnd w:id="130"/>
      <w:bookmarkStart w:id="131" w:name="START_PAY_YZQTDQZC_AMT_2"/>
      <w:bookmarkEnd w:id="131"/>
      <w:bookmarkStart w:id="132" w:name="DIS_MARK_PAY_YZQTDQZC_AMT_2"/>
      <w:bookmarkEnd w:id="132"/>
      <w:bookmarkStart w:id="133" w:name="END_PAY_YZQTDQZC_AMT_2"/>
      <w:bookmarkEnd w:id="133"/>
      <w:bookmarkStart w:id="134" w:name="START_PAY_ZRZYHYQXZC_AMT_2"/>
      <w:bookmarkEnd w:id="134"/>
      <w:bookmarkStart w:id="135" w:name="DIS_MARK_PAY_ZRZYHYQXZC_AMT_2"/>
      <w:bookmarkEnd w:id="135"/>
      <w:bookmarkStart w:id="136" w:name="END_PAY_ZRZYHYQXZC_AMT_2"/>
      <w:bookmarkEnd w:id="136"/>
      <w:bookmarkStart w:id="137" w:name="START_PAY_ZFBZZC_AMT_2"/>
      <w:bookmarkEnd w:id="137"/>
      <w:bookmarkStart w:id="138" w:name="DIS_MARK_PAY_ZFBZZC_AMT_2"/>
      <w:bookmarkEnd w:id="138"/>
      <w:bookmarkStart w:id="139" w:name="END_PAY_ZFBZZC_AMT_2"/>
      <w:bookmarkEnd w:id="139"/>
      <w:bookmarkStart w:id="140" w:name="START_PAY_LYWZCBZC_AMT_2"/>
      <w:bookmarkEnd w:id="140"/>
      <w:bookmarkStart w:id="141" w:name="DIS_MARK_PAY_LYWZCBZC_AMT_2"/>
      <w:bookmarkEnd w:id="141"/>
      <w:bookmarkStart w:id="142" w:name="END_PAY_LYWZCBZC_AMT_2"/>
      <w:bookmarkEnd w:id="142"/>
      <w:bookmarkStart w:id="143" w:name="START_PAY_ZHFZJYJGLZC_AMT_2"/>
      <w:bookmarkEnd w:id="143"/>
      <w:bookmarkStart w:id="144" w:name="DIS_MARK_PAY_ZHFZJYJGLZC_AMT_2"/>
      <w:bookmarkEnd w:id="144"/>
      <w:bookmarkStart w:id="145" w:name="END_PAY_ZHFZJYJGLZC_AMT_2"/>
      <w:bookmarkEnd w:id="145"/>
      <w:bookmarkStart w:id="146" w:name="START_PAY_YBFZC_AMT_2"/>
      <w:bookmarkEnd w:id="146"/>
      <w:bookmarkStart w:id="147" w:name="DIS_MARK_PAY_YBFZC_AMT_2"/>
      <w:bookmarkEnd w:id="147"/>
      <w:bookmarkStart w:id="148" w:name="END_PAY_YBFZC_AMT_2"/>
      <w:bookmarkEnd w:id="148"/>
      <w:bookmarkStart w:id="149" w:name="START_PAY_QTZC_AMT_2"/>
      <w:bookmarkEnd w:id="149"/>
      <w:bookmarkStart w:id="150" w:name="DIS_MARK_PAY_QTZC_AMT_2"/>
      <w:bookmarkEnd w:id="150"/>
      <w:bookmarkStart w:id="151" w:name="END_PAY_QTZC_AMT_2"/>
      <w:bookmarkEnd w:id="151"/>
      <w:bookmarkStart w:id="152" w:name="START_PAY_ZYXZC_AMT_2"/>
      <w:bookmarkEnd w:id="152"/>
      <w:bookmarkStart w:id="153" w:name="DIS_MARK_PAY_ZYXZC_AMT_2"/>
      <w:bookmarkEnd w:id="153"/>
      <w:bookmarkStart w:id="154" w:name="END_PAY_ZYXZC_AMT_2"/>
      <w:bookmarkEnd w:id="154"/>
      <w:bookmarkStart w:id="155" w:name="START_PAY_ZWHBZC_AMT_2"/>
      <w:bookmarkEnd w:id="155"/>
      <w:bookmarkStart w:id="156" w:name="DIS_MARK_PAY_ZWHBZC_AMT_2"/>
      <w:bookmarkEnd w:id="156"/>
      <w:bookmarkStart w:id="157" w:name="END_PAY_ZWHBZC_AMT_2"/>
      <w:bookmarkEnd w:id="157"/>
      <w:bookmarkStart w:id="158" w:name="START_PAY_ZWFXZC_AMT_2"/>
      <w:bookmarkEnd w:id="158"/>
      <w:bookmarkStart w:id="159" w:name="DIS_MARK_PAY_ZWFXZC_AMT_2"/>
      <w:bookmarkEnd w:id="159"/>
      <w:bookmarkStart w:id="160" w:name="END_PAY_ZWFXZC_AMT_2"/>
      <w:bookmarkEnd w:id="160"/>
      <w:bookmarkStart w:id="161" w:name="START_PAY_ZWFXFZC_AMT_2"/>
      <w:bookmarkEnd w:id="161"/>
      <w:bookmarkStart w:id="162" w:name="DIS_MARK_PAY_ZWFXFZC_AMT_2"/>
      <w:bookmarkEnd w:id="162"/>
      <w:bookmarkStart w:id="163" w:name="END_PAY_ZWFXFZC_AMT_2"/>
      <w:bookmarkEnd w:id="163"/>
      <w:bookmarkStart w:id="164" w:name="START_PAY_XMMC_01_AMT"/>
      <w:bookmarkEnd w:id="164"/>
      <w:bookmarkStart w:id="165" w:name="DIS_MARK_PAY_XMMC_01_AMT"/>
      <w:bookmarkEnd w:id="165"/>
      <w:bookmarkStart w:id="166" w:name="END_PAY_XMMC_01_AMT"/>
      <w:bookmarkEnd w:id="166"/>
      <w:bookmarkStart w:id="167" w:name="START_PAY_XMMC_02_AMT"/>
      <w:bookmarkEnd w:id="167"/>
      <w:bookmarkStart w:id="168" w:name="DIS_MARK_PAY_XMMC_02_AMT"/>
      <w:bookmarkEnd w:id="168"/>
      <w:bookmarkStart w:id="169" w:name="END_PAY_XMMC_02_AMT"/>
      <w:bookmarkEnd w:id="169"/>
      <w:bookmarkStart w:id="170" w:name="START_PAY_XMMC_03_AMT"/>
      <w:bookmarkEnd w:id="170"/>
      <w:bookmarkStart w:id="171" w:name="DIS_MARK_PAY_XMMC_03_AMT"/>
      <w:bookmarkEnd w:id="171"/>
      <w:bookmarkStart w:id="172" w:name="END_PAY_XMMC_03_AMT"/>
      <w:bookmarkEnd w:id="172"/>
      <w:bookmarkStart w:id="173" w:name="START_PAY_XMMC_04_AMT"/>
      <w:bookmarkEnd w:id="173"/>
      <w:bookmarkStart w:id="174" w:name="DIS_MARK_PAY_XMMC_04_AMT"/>
      <w:bookmarkEnd w:id="174"/>
      <w:bookmarkStart w:id="175" w:name="END_PAY_XMMC_04_AMT"/>
      <w:bookmarkEnd w:id="175"/>
      <w:bookmarkStart w:id="176" w:name="START_PAY_XMMC_05_AMT"/>
      <w:bookmarkEnd w:id="176"/>
      <w:bookmarkStart w:id="177" w:name="DIS_MARK_PAY_XMMC_05_AMT"/>
      <w:bookmarkEnd w:id="177"/>
      <w:bookmarkStart w:id="178" w:name="END_PAY_YBGGFWXMZC"/>
      <w:bookmarkEnd w:id="178"/>
      <w:bookmarkStart w:id="179" w:name="END_PAY_XMMC_30_AMT"/>
      <w:bookmarkEnd w:id="179"/>
      <w:bookmarkStart w:id="180" w:name="DIS_MARK_PAY_XMMC_30_AMT"/>
      <w:bookmarkEnd w:id="180"/>
      <w:bookmarkStart w:id="181" w:name="START_PAY_XMMC_30_AMT"/>
      <w:bookmarkEnd w:id="181"/>
      <w:bookmarkStart w:id="182" w:name="END_PAY_XMMC_29_AMT"/>
      <w:bookmarkEnd w:id="182"/>
      <w:bookmarkStart w:id="183" w:name="DIS_MARK_PAY_XMMC_29_AMT"/>
      <w:bookmarkEnd w:id="183"/>
      <w:bookmarkStart w:id="184" w:name="START_PAY_XMMC_29_AMT"/>
      <w:bookmarkEnd w:id="184"/>
      <w:bookmarkStart w:id="185" w:name="END_PAY_XMMC_28_AMT"/>
      <w:bookmarkEnd w:id="185"/>
      <w:bookmarkStart w:id="186" w:name="DIS_MARK_PAY_XMMC_28_AMT"/>
      <w:bookmarkEnd w:id="186"/>
      <w:bookmarkStart w:id="187" w:name="START_PAY_XMMC_28_AMT"/>
      <w:bookmarkEnd w:id="187"/>
      <w:bookmarkStart w:id="188" w:name="END_PAY_XMMC_27_AMT"/>
      <w:bookmarkEnd w:id="188"/>
      <w:bookmarkStart w:id="189" w:name="DIS_MARK_PAY_XMMC_27_AMT"/>
      <w:bookmarkEnd w:id="189"/>
      <w:bookmarkStart w:id="190" w:name="START_PAY_XMMC_27_AMT"/>
      <w:bookmarkEnd w:id="190"/>
      <w:bookmarkStart w:id="191" w:name="END_PAY_XMMC_26_AMT"/>
      <w:bookmarkEnd w:id="191"/>
      <w:bookmarkStart w:id="192" w:name="DIS_MARK_PAY_XMMC_26_AMT"/>
      <w:bookmarkEnd w:id="192"/>
      <w:bookmarkStart w:id="193" w:name="START_PAY_XMMC_26_AMT"/>
      <w:bookmarkEnd w:id="193"/>
      <w:bookmarkStart w:id="194" w:name="END_PAY_XMMC_25_AMT"/>
      <w:bookmarkEnd w:id="194"/>
      <w:bookmarkStart w:id="195" w:name="DIS_MARK_PAY_XMMC_25_AMT"/>
      <w:bookmarkEnd w:id="195"/>
      <w:bookmarkStart w:id="196" w:name="START_PAY_XMMC_25_AMT"/>
      <w:bookmarkEnd w:id="196"/>
      <w:bookmarkStart w:id="197" w:name="END_PAY_XMMC_24_AMT"/>
      <w:bookmarkEnd w:id="197"/>
      <w:bookmarkStart w:id="198" w:name="DIS_MARK_PAY_XMMC_24_AMT"/>
      <w:bookmarkEnd w:id="198"/>
      <w:bookmarkStart w:id="199" w:name="START_PAY_XMMC_24_AMT"/>
      <w:bookmarkEnd w:id="199"/>
      <w:bookmarkStart w:id="200" w:name="END_PAY_XMMC_23_AMT"/>
      <w:bookmarkEnd w:id="200"/>
      <w:bookmarkStart w:id="201" w:name="DIS_MARK_PAY_XMMC_23_AMT"/>
      <w:bookmarkEnd w:id="201"/>
      <w:bookmarkStart w:id="202" w:name="START_PAY_XMMC_23_AMT"/>
      <w:bookmarkEnd w:id="202"/>
      <w:bookmarkStart w:id="203" w:name="END_PAY_XMMC_22_AMT"/>
      <w:bookmarkEnd w:id="203"/>
      <w:bookmarkStart w:id="204" w:name="DIS_MARK_PAY_XMMC_22_AMT"/>
      <w:bookmarkEnd w:id="204"/>
      <w:bookmarkStart w:id="205" w:name="START_PAY_XMMC_22_AMT"/>
      <w:bookmarkEnd w:id="205"/>
      <w:bookmarkStart w:id="206" w:name="END_PAY_XMMC_21_AMT"/>
      <w:bookmarkEnd w:id="206"/>
      <w:bookmarkStart w:id="207" w:name="DIS_MARK_PAY_XMMC_21_AMT"/>
      <w:bookmarkEnd w:id="207"/>
      <w:bookmarkStart w:id="208" w:name="START_PAY_XMMC_21_AMT"/>
      <w:bookmarkEnd w:id="208"/>
      <w:bookmarkStart w:id="209" w:name="END_PAY_XMMC_20_AMT"/>
      <w:bookmarkEnd w:id="209"/>
      <w:bookmarkStart w:id="210" w:name="DIS_MARK_PAY_XMMC_20_AMT"/>
      <w:bookmarkEnd w:id="210"/>
      <w:bookmarkStart w:id="211" w:name="START_PAY_XMMC_20_AMT"/>
      <w:bookmarkEnd w:id="211"/>
      <w:bookmarkStart w:id="212" w:name="END_PAY_XMMC_19_AMT"/>
      <w:bookmarkEnd w:id="212"/>
      <w:bookmarkStart w:id="213" w:name="DIS_MARK_PAY_XMMC_19_AMT"/>
      <w:bookmarkEnd w:id="213"/>
      <w:bookmarkStart w:id="214" w:name="START_PAY_XMMC_19_AMT"/>
      <w:bookmarkEnd w:id="214"/>
      <w:bookmarkStart w:id="215" w:name="END_PAY_XMMC_18_AMT"/>
      <w:bookmarkEnd w:id="215"/>
      <w:bookmarkStart w:id="216" w:name="DIS_MARK_PAY_XMMC_18_AMT"/>
      <w:bookmarkEnd w:id="216"/>
      <w:bookmarkStart w:id="217" w:name="START_PAY_XMMC_18_AMT"/>
      <w:bookmarkEnd w:id="217"/>
      <w:bookmarkStart w:id="218" w:name="END_PAY_XMMC_17_AMT"/>
      <w:bookmarkEnd w:id="218"/>
      <w:bookmarkStart w:id="219" w:name="DIS_MARK_PAY_XMMC_17_AMT"/>
      <w:bookmarkEnd w:id="219"/>
      <w:bookmarkStart w:id="220" w:name="START_PAY_XMMC_17_AMT"/>
      <w:bookmarkEnd w:id="220"/>
      <w:bookmarkStart w:id="221" w:name="END_PAY_XMMC_16_AMT"/>
      <w:bookmarkEnd w:id="221"/>
      <w:bookmarkStart w:id="222" w:name="DIS_MARK_PAY_XMMC_16_AMT"/>
      <w:bookmarkEnd w:id="222"/>
      <w:bookmarkStart w:id="223" w:name="START_PAY_XMMC_16_AMT"/>
      <w:bookmarkEnd w:id="223"/>
      <w:bookmarkStart w:id="224" w:name="END_PAY_XMMC_15_AMT"/>
      <w:bookmarkEnd w:id="224"/>
      <w:bookmarkStart w:id="225" w:name="DIS_MARK_PAY_XMMC_15_AMT"/>
      <w:bookmarkEnd w:id="225"/>
      <w:bookmarkStart w:id="226" w:name="START_PAY_XMMC_15_AMT"/>
      <w:bookmarkEnd w:id="226"/>
      <w:bookmarkStart w:id="227" w:name="END_PAY_XMMC_14_AMT"/>
      <w:bookmarkEnd w:id="227"/>
      <w:bookmarkStart w:id="228" w:name="DIS_MARK_PAY_XMMC_14_AMT"/>
      <w:bookmarkEnd w:id="228"/>
      <w:bookmarkStart w:id="229" w:name="START_PAY_XMMC_14_AMT"/>
      <w:bookmarkEnd w:id="229"/>
      <w:bookmarkStart w:id="230" w:name="END_PAY_XMMC_13_AMT"/>
      <w:bookmarkEnd w:id="230"/>
      <w:bookmarkStart w:id="231" w:name="DIS_MARK_PAY_XMMC_13_AMT"/>
      <w:bookmarkEnd w:id="231"/>
      <w:bookmarkStart w:id="232" w:name="START_PAY_XMMC_13_AMT"/>
      <w:bookmarkEnd w:id="232"/>
      <w:bookmarkStart w:id="233" w:name="END_PAY_XMMC_12_AMT"/>
      <w:bookmarkEnd w:id="233"/>
      <w:bookmarkStart w:id="234" w:name="DIS_MARK_PAY_XMMC_12_AMT"/>
      <w:bookmarkEnd w:id="234"/>
      <w:bookmarkStart w:id="235" w:name="START_PAY_XMMC_12_AMT"/>
      <w:bookmarkEnd w:id="235"/>
      <w:bookmarkStart w:id="236" w:name="END_PAY_XMMC_11_AMT"/>
      <w:bookmarkEnd w:id="236"/>
      <w:bookmarkStart w:id="237" w:name="DIS_MARK_PAY_XMMC_11_AMT"/>
      <w:bookmarkEnd w:id="237"/>
      <w:bookmarkStart w:id="238" w:name="START_PAY_XMMC_11_AMT"/>
      <w:bookmarkEnd w:id="238"/>
      <w:bookmarkStart w:id="239" w:name="END_PAY_XMMC_10_AMT"/>
      <w:bookmarkEnd w:id="239"/>
      <w:bookmarkStart w:id="240" w:name="DIS_MARK_PAY_XMMC_10_AMT"/>
      <w:bookmarkEnd w:id="240"/>
      <w:bookmarkStart w:id="241" w:name="START_PAY_XMMC_10_AMT"/>
      <w:bookmarkEnd w:id="241"/>
      <w:bookmarkStart w:id="242" w:name="END_PAY_XMMC_09_AMT"/>
      <w:bookmarkEnd w:id="242"/>
      <w:bookmarkStart w:id="243" w:name="DIS_MARK_PAY_XMMC_09_AMT"/>
      <w:bookmarkEnd w:id="243"/>
      <w:bookmarkStart w:id="244" w:name="START_PAY_XMMC_09_AMT"/>
      <w:bookmarkEnd w:id="244"/>
      <w:bookmarkStart w:id="245" w:name="END_PAY_XMMC_08_AMT"/>
      <w:bookmarkEnd w:id="245"/>
      <w:bookmarkStart w:id="246" w:name="DIS_MARK_PAY_XMMC_08_AMT"/>
      <w:bookmarkEnd w:id="246"/>
      <w:bookmarkStart w:id="247" w:name="START_PAY_XMMC_08_AMT"/>
      <w:bookmarkEnd w:id="247"/>
      <w:bookmarkStart w:id="248" w:name="END_PAY_XMMC_07_AMT"/>
      <w:bookmarkEnd w:id="248"/>
      <w:bookmarkStart w:id="249" w:name="DIS_MARK_PAY_XMMC_07_AMT"/>
      <w:bookmarkEnd w:id="249"/>
      <w:bookmarkStart w:id="250" w:name="START_PAY_XMMC_07_AMT"/>
      <w:bookmarkEnd w:id="250"/>
      <w:bookmarkStart w:id="251" w:name="END_PAY_XMMC_06_AMT"/>
      <w:bookmarkEnd w:id="251"/>
      <w:bookmarkStart w:id="252" w:name="DIS_MARK_PAY_XMMC_06_AMT"/>
      <w:bookmarkEnd w:id="252"/>
      <w:bookmarkStart w:id="253" w:name="START_PAY_XMMC_06_AMT"/>
      <w:bookmarkEnd w:id="253"/>
      <w:bookmarkStart w:id="254" w:name="END_PAY_XMMC_05_AMT"/>
      <w:bookmarkEnd w:id="254"/>
    </w:p>
    <w:p w14:paraId="17CBCDE0">
      <w:pPr>
        <w:widowControl/>
        <w:spacing w:line="570" w:lineRule="atLeast"/>
        <w:ind w:firstLine="643"/>
        <w:rPr>
          <w:rFonts w:hint="eastAsia" w:ascii="黑体" w:hAnsi="黑体" w:eastAsia="黑体" w:cs="黑体"/>
          <w:b/>
          <w:color w:val="000000"/>
          <w:sz w:val="32"/>
          <w:szCs w:val="32"/>
        </w:rPr>
      </w:pPr>
      <w:r>
        <w:rPr>
          <w:rFonts w:hint="eastAsia" w:ascii="黑体" w:hAnsi="黑体" w:eastAsia="黑体" w:cs="黑体"/>
          <w:b/>
          <w:color w:val="000000"/>
          <w:sz w:val="32"/>
          <w:szCs w:val="32"/>
        </w:rPr>
        <w:t>五、政府性基金预算支出</w:t>
      </w:r>
    </w:p>
    <w:p w14:paraId="3AD06FAA">
      <w:pPr>
        <w:spacing w:line="570" w:lineRule="atLeast"/>
        <w:ind w:firstLine="640"/>
        <w:rPr>
          <w:rFonts w:ascii="仿宋_GB2312" w:hAnsi="仿宋_GB2312" w:eastAsia="仿宋_GB2312" w:cs="仿宋_GB2312"/>
          <w:color w:val="000000"/>
          <w:sz w:val="32"/>
          <w:szCs w:val="32"/>
          <w:shd w:val="clear" w:color="auto" w:fill="FFFFFF"/>
          <w:lang w:val="en-US" w:eastAsia="zh-CN"/>
        </w:rPr>
      </w:pPr>
      <w:r>
        <w:rPr>
          <w:rFonts w:hint="eastAsia" w:ascii="仿宋_GB2312" w:hAnsi="仿宋_GB2312" w:eastAsia="仿宋_GB2312" w:cs="仿宋_GB2312"/>
          <w:color w:val="000000"/>
          <w:sz w:val="32"/>
          <w:szCs w:val="32"/>
          <w:shd w:val="clear" w:color="auto" w:fill="FFFFFF"/>
        </w:rPr>
        <w:t>202</w:t>
      </w:r>
      <w:r>
        <w:rPr>
          <w:rFonts w:hint="eastAsia" w:ascii="仿宋_GB2312" w:hAnsi="仿宋_GB2312" w:eastAsia="仿宋_GB2312" w:cs="仿宋_GB2312"/>
          <w:color w:val="000000"/>
          <w:sz w:val="32"/>
          <w:szCs w:val="32"/>
          <w:shd w:val="clear" w:color="auto" w:fill="FFFFFF"/>
          <w:lang w:val="en-US" w:eastAsia="zh-CN"/>
        </w:rPr>
        <w:t>4</w:t>
      </w:r>
      <w:r>
        <w:rPr>
          <w:rFonts w:hint="eastAsia" w:ascii="仿宋_GB2312" w:hAnsi="仿宋_GB2312" w:eastAsia="仿宋_GB2312" w:cs="仿宋_GB2312"/>
          <w:color w:val="000000"/>
          <w:sz w:val="32"/>
          <w:szCs w:val="32"/>
          <w:shd w:val="clear" w:color="auto" w:fill="FFFFFF"/>
        </w:rPr>
        <w:t>年本部门</w:t>
      </w:r>
      <w:bookmarkStart w:id="255" w:name="START_PAY_ZFXJJZC"/>
      <w:bookmarkEnd w:id="255"/>
      <w:bookmarkStart w:id="256" w:name="END_PAY_ZFXJJZC_AMT"/>
      <w:bookmarkEnd w:id="256"/>
      <w:bookmarkStart w:id="257" w:name="DIS_MARK_PAY_ZFXJJZC_AMT"/>
      <w:bookmarkEnd w:id="257"/>
      <w:bookmarkStart w:id="258" w:name="START_PAY_ZFXJJZC_AMT"/>
      <w:bookmarkEnd w:id="258"/>
      <w:bookmarkStart w:id="259" w:name="DIS_MARK_PAY_ZFXJJZC"/>
      <w:r>
        <w:rPr>
          <w:rFonts w:hint="eastAsia" w:ascii="仿宋_GB2312" w:hAnsi="仿宋_GB2312" w:eastAsia="仿宋_GB2312" w:cs="仿宋_GB2312"/>
          <w:color w:val="000000"/>
          <w:sz w:val="32"/>
          <w:szCs w:val="32"/>
          <w:shd w:val="clear" w:color="auto" w:fill="FFFFFF"/>
        </w:rPr>
        <w:t>政府性基金安排的支出</w:t>
      </w:r>
      <w:r>
        <w:rPr>
          <w:rFonts w:hint="eastAsia" w:ascii="仿宋_GB2312" w:hAnsi="仿宋_GB2312" w:eastAsia="仿宋_GB2312" w:cs="仿宋_GB2312"/>
          <w:color w:val="000000"/>
          <w:sz w:val="32"/>
          <w:szCs w:val="32"/>
          <w:shd w:val="clear" w:color="auto" w:fill="FFFFFF"/>
          <w:lang w:val="en-US" w:eastAsia="zh-CN"/>
        </w:rPr>
        <w:t>147.91万元</w:t>
      </w:r>
      <w:r>
        <w:rPr>
          <w:rFonts w:hint="eastAsia" w:ascii="仿宋_GB2312" w:hAnsi="仿宋_GB2312" w:eastAsia="仿宋_GB2312" w:cs="仿宋_GB2312"/>
          <w:color w:val="000000"/>
          <w:sz w:val="32"/>
          <w:szCs w:val="32"/>
          <w:shd w:val="clear" w:color="auto" w:fill="FFFFFF"/>
        </w:rPr>
        <w:t>。</w:t>
      </w:r>
      <w:bookmarkEnd w:id="259"/>
      <w:bookmarkStart w:id="260" w:name="END_PAY_ZFXJJZC"/>
      <w:bookmarkEnd w:id="260"/>
      <w:r>
        <w:rPr>
          <w:rFonts w:hint="eastAsia" w:ascii="仿宋_GB2312" w:hAnsi="仿宋_GB2312" w:eastAsia="仿宋_GB2312" w:cs="仿宋_GB2312"/>
          <w:color w:val="000000"/>
          <w:sz w:val="32"/>
          <w:szCs w:val="32"/>
          <w:shd w:val="clear" w:color="auto" w:fill="FFFFFF"/>
          <w:lang w:eastAsia="zh-CN"/>
        </w:rPr>
        <w:t>其中</w:t>
      </w:r>
      <w:r>
        <w:rPr>
          <w:rFonts w:hint="eastAsia" w:ascii="仿宋_GB2312" w:hAnsi="仿宋_GB2312" w:eastAsia="仿宋_GB2312" w:cs="仿宋_GB2312"/>
          <w:color w:val="000000"/>
          <w:sz w:val="32"/>
          <w:szCs w:val="32"/>
          <w:shd w:val="clear" w:color="auto" w:fill="FFFFFF"/>
        </w:rPr>
        <w:t>城北粮库自管公房拆除费</w:t>
      </w:r>
      <w:r>
        <w:rPr>
          <w:rFonts w:hint="eastAsia" w:ascii="仿宋_GB2312" w:hAnsi="仿宋_GB2312" w:eastAsia="仿宋_GB2312" w:cs="仿宋_GB2312"/>
          <w:color w:val="000000"/>
          <w:sz w:val="32"/>
          <w:szCs w:val="32"/>
          <w:shd w:val="clear" w:color="auto" w:fill="FFFFFF"/>
          <w:lang w:val="en-US" w:eastAsia="zh-CN"/>
        </w:rPr>
        <w:t>61.87万元；</w:t>
      </w:r>
      <w:r>
        <w:rPr>
          <w:rFonts w:hint="eastAsia" w:ascii="仿宋_GB2312" w:hAnsi="仿宋_GB2312" w:eastAsia="仿宋_GB2312" w:cs="仿宋_GB2312"/>
          <w:color w:val="000000"/>
          <w:sz w:val="32"/>
          <w:szCs w:val="32"/>
          <w:shd w:val="clear" w:color="auto" w:fill="FFFFFF"/>
        </w:rPr>
        <w:t>拨付城西片区安置区安置户办证费用</w:t>
      </w:r>
      <w:r>
        <w:rPr>
          <w:rFonts w:hint="eastAsia" w:ascii="仿宋_GB2312" w:hAnsi="仿宋_GB2312" w:eastAsia="仿宋_GB2312" w:cs="仿宋_GB2312"/>
          <w:color w:val="000000"/>
          <w:sz w:val="32"/>
          <w:szCs w:val="32"/>
          <w:shd w:val="clear" w:color="auto" w:fill="FFFFFF"/>
          <w:lang w:val="en-US" w:eastAsia="zh-CN"/>
        </w:rPr>
        <w:t>46.04万元；</w:t>
      </w:r>
      <w:r>
        <w:rPr>
          <w:rFonts w:hint="eastAsia" w:ascii="仿宋_GB2312" w:hAnsi="仿宋_GB2312" w:eastAsia="仿宋_GB2312" w:cs="仿宋_GB2312"/>
          <w:color w:val="000000"/>
          <w:sz w:val="32"/>
          <w:szCs w:val="32"/>
          <w:shd w:val="clear" w:color="auto" w:fill="FFFFFF"/>
        </w:rPr>
        <w:t>现代服务业发展专项资金（综合农事服务中心建设项目）</w:t>
      </w:r>
      <w:r>
        <w:rPr>
          <w:rFonts w:hint="eastAsia" w:ascii="仿宋_GB2312" w:hAnsi="仿宋_GB2312" w:eastAsia="仿宋_GB2312" w:cs="仿宋_GB2312"/>
          <w:color w:val="000000"/>
          <w:sz w:val="32"/>
          <w:szCs w:val="32"/>
          <w:shd w:val="clear" w:color="auto" w:fill="FFFFFF"/>
          <w:lang w:val="en-US" w:eastAsia="zh-CN"/>
        </w:rPr>
        <w:t>40万元。</w:t>
      </w:r>
    </w:p>
    <w:p w14:paraId="49B4BA68">
      <w:pPr>
        <w:widowControl/>
        <w:spacing w:line="570" w:lineRule="atLeast"/>
        <w:ind w:firstLine="643"/>
        <w:rPr>
          <w:rFonts w:hint="eastAsia" w:ascii="黑体" w:hAnsi="黑体" w:eastAsia="黑体" w:cs="黑体"/>
          <w:b/>
          <w:color w:val="000000"/>
          <w:sz w:val="32"/>
          <w:szCs w:val="32"/>
        </w:rPr>
      </w:pPr>
      <w:r>
        <w:rPr>
          <w:rFonts w:hint="eastAsia" w:ascii="黑体" w:hAnsi="黑体" w:eastAsia="黑体" w:cs="黑体"/>
          <w:b/>
          <w:color w:val="000000"/>
          <w:sz w:val="32"/>
          <w:szCs w:val="32"/>
        </w:rPr>
        <w:t>六、国有资本经营预算支出</w:t>
      </w:r>
    </w:p>
    <w:p w14:paraId="355B8C3C">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202</w:t>
      </w:r>
      <w:r>
        <w:rPr>
          <w:rFonts w:hint="eastAsia" w:ascii="仿宋_GB2312" w:hAnsi="仿宋_GB2312" w:eastAsia="仿宋_GB2312" w:cs="仿宋_GB2312"/>
          <w:color w:val="000000"/>
          <w:sz w:val="32"/>
          <w:szCs w:val="32"/>
          <w:shd w:val="clear" w:color="auto" w:fill="FFFFFF"/>
          <w:lang w:val="en-US" w:eastAsia="zh-CN"/>
        </w:rPr>
        <w:t>4</w:t>
      </w:r>
      <w:r>
        <w:rPr>
          <w:rFonts w:hint="eastAsia" w:ascii="仿宋_GB2312" w:hAnsi="仿宋_GB2312" w:eastAsia="仿宋_GB2312" w:cs="仿宋_GB2312"/>
          <w:color w:val="000000"/>
          <w:sz w:val="32"/>
          <w:szCs w:val="32"/>
          <w:shd w:val="clear" w:color="auto" w:fill="FFFFFF"/>
        </w:rPr>
        <w:t>年本部门</w:t>
      </w:r>
      <w:bookmarkStart w:id="261" w:name="START_PAY_GYZBJYYSZC"/>
      <w:bookmarkEnd w:id="261"/>
      <w:bookmarkStart w:id="262" w:name="END_PAY_GYZBJYYSZC_AMT_ALL"/>
      <w:bookmarkEnd w:id="262"/>
      <w:bookmarkStart w:id="263" w:name="DIS_MARK_PAY_GYZBJYYSZC_AMT_ALL"/>
      <w:bookmarkEnd w:id="263"/>
      <w:bookmarkStart w:id="264" w:name="START_PAY_GYZBJYYSZC_AMT_ALL"/>
      <w:bookmarkEnd w:id="264"/>
      <w:bookmarkStart w:id="265" w:name="DIS_MARK_PAY_GYZBJYYSZC"/>
      <w:r>
        <w:rPr>
          <w:rFonts w:hint="eastAsia" w:ascii="仿宋_GB2312" w:hAnsi="仿宋_GB2312" w:eastAsia="仿宋_GB2312" w:cs="仿宋_GB2312"/>
          <w:color w:val="000000"/>
          <w:sz w:val="32"/>
          <w:szCs w:val="32"/>
          <w:shd w:val="clear" w:color="auto" w:fill="FFFFFF"/>
        </w:rPr>
        <w:t>无国有资本经营预算安排的支出。</w:t>
      </w:r>
      <w:bookmarkEnd w:id="265"/>
      <w:bookmarkStart w:id="266" w:name="END_PAY_GYZBJYYSZC"/>
      <w:bookmarkEnd w:id="266"/>
    </w:p>
    <w:p w14:paraId="2A4292E9">
      <w:pPr>
        <w:widowControl/>
        <w:spacing w:line="570" w:lineRule="atLeast"/>
        <w:ind w:firstLine="643"/>
        <w:rPr>
          <w:rFonts w:hint="eastAsia" w:ascii="黑体" w:hAnsi="黑体" w:eastAsia="黑体" w:cs="黑体"/>
          <w:b/>
          <w:color w:val="000000"/>
          <w:sz w:val="32"/>
          <w:szCs w:val="32"/>
        </w:rPr>
      </w:pPr>
      <w:r>
        <w:rPr>
          <w:rFonts w:hint="eastAsia" w:ascii="黑体" w:hAnsi="黑体" w:eastAsia="黑体" w:cs="黑体"/>
          <w:b/>
          <w:color w:val="000000"/>
          <w:sz w:val="32"/>
          <w:szCs w:val="32"/>
        </w:rPr>
        <w:t>七、其他重要事项的情况说明</w:t>
      </w:r>
    </w:p>
    <w:p w14:paraId="7B646BC7">
      <w:pPr>
        <w:spacing w:line="570" w:lineRule="atLeast"/>
        <w:ind w:firstLine="643"/>
        <w:rPr>
          <w:rFonts w:hint="eastAsia" w:ascii="仿宋_GB2312" w:hAnsi="仿宋_GB2312" w:eastAsia="仿宋_GB2312" w:cs="仿宋_GB2312"/>
          <w:color w:val="000000"/>
          <w:sz w:val="32"/>
          <w:szCs w:val="32"/>
          <w:shd w:val="clear" w:color="auto" w:fill="FFFFFF"/>
        </w:rPr>
      </w:pPr>
      <w:r>
        <w:rPr>
          <w:rFonts w:hint="eastAsia" w:eastAsia="仿宋_GB2312"/>
          <w:b/>
          <w:sz w:val="32"/>
          <w:szCs w:val="32"/>
        </w:rPr>
        <w:t>（一）机关运行经费：</w:t>
      </w:r>
      <w:bookmarkStart w:id="267" w:name="START_NO_JGYXJF"/>
      <w:bookmarkEnd w:id="267"/>
      <w:bookmarkStart w:id="268" w:name="YES_NO_JGYXJF"/>
      <w:bookmarkEnd w:id="268"/>
      <w:bookmarkStart w:id="269" w:name="DIS_MARK_NO_JGYXJF"/>
      <w:r>
        <w:rPr>
          <w:rFonts w:hint="eastAsia" w:ascii="仿宋_GB2312" w:hAnsi="仿宋_GB2312" w:eastAsia="仿宋_GB2312" w:cs="仿宋_GB2312"/>
          <w:color w:val="000000"/>
          <w:sz w:val="32"/>
          <w:szCs w:val="32"/>
          <w:shd w:val="clear" w:color="auto" w:fill="FFFFFF"/>
        </w:rPr>
        <w:t>202</w:t>
      </w:r>
      <w:r>
        <w:rPr>
          <w:rFonts w:hint="eastAsia" w:ascii="仿宋_GB2312" w:hAnsi="仿宋_GB2312" w:eastAsia="仿宋_GB2312" w:cs="仿宋_GB2312"/>
          <w:color w:val="000000"/>
          <w:sz w:val="32"/>
          <w:szCs w:val="32"/>
          <w:shd w:val="clear" w:color="auto" w:fill="FFFFFF"/>
          <w:lang w:val="en-US" w:eastAsia="zh-CN"/>
        </w:rPr>
        <w:t>4</w:t>
      </w:r>
      <w:r>
        <w:rPr>
          <w:rFonts w:hint="eastAsia" w:ascii="仿宋_GB2312" w:hAnsi="仿宋_GB2312" w:eastAsia="仿宋_GB2312" w:cs="仿宋_GB2312"/>
          <w:color w:val="000000"/>
          <w:sz w:val="32"/>
          <w:szCs w:val="32"/>
          <w:shd w:val="clear" w:color="auto" w:fill="FFFFFF"/>
        </w:rPr>
        <w:t>年本部门机关运行经费</w:t>
      </w:r>
      <w:r>
        <w:rPr>
          <w:rFonts w:hint="eastAsia" w:ascii="仿宋_GB2312" w:hAnsi="仿宋_GB2312" w:eastAsia="仿宋_GB2312" w:cs="仿宋_GB2312"/>
          <w:color w:val="000000"/>
          <w:sz w:val="32"/>
          <w:szCs w:val="32"/>
          <w:shd w:val="clear" w:color="auto" w:fill="FFFFFF"/>
          <w:lang w:val="en-US" w:eastAsia="zh-CN"/>
        </w:rPr>
        <w:t>81.79</w:t>
      </w:r>
      <w:r>
        <w:rPr>
          <w:rFonts w:hint="eastAsia" w:ascii="仿宋_GB2312" w:hAnsi="仿宋_GB2312" w:eastAsia="仿宋_GB2312" w:cs="仿宋_GB2312"/>
          <w:color w:val="000000"/>
          <w:sz w:val="32"/>
          <w:szCs w:val="32"/>
          <w:shd w:val="clear" w:color="auto" w:fill="FFFFFF"/>
        </w:rPr>
        <w:t>万元，</w:t>
      </w:r>
      <w:bookmarkEnd w:id="269"/>
      <w:bookmarkStart w:id="270" w:name="START_IS_ZERO_03_1"/>
      <w:bookmarkEnd w:id="270"/>
      <w:bookmarkStart w:id="271" w:name="IS_ZERO_03"/>
      <w:bookmarkStart w:id="272" w:name="DIS_MARK_IS_ZERO_03_1"/>
      <w:r>
        <w:rPr>
          <w:rFonts w:hint="eastAsia" w:ascii="仿宋_GB2312" w:hAnsi="仿宋_GB2312" w:eastAsia="仿宋_GB2312" w:cs="仿宋_GB2312"/>
          <w:color w:val="000000"/>
          <w:sz w:val="32"/>
          <w:szCs w:val="32"/>
          <w:shd w:val="clear" w:color="auto" w:fill="FFFFFF"/>
        </w:rPr>
        <w:t>比上年预算</w:t>
      </w:r>
      <w:bookmarkStart w:id="273" w:name="JGYXJF_BD_AMT"/>
      <w:r>
        <w:rPr>
          <w:rFonts w:hint="eastAsia" w:ascii="仿宋_GB2312" w:hAnsi="仿宋_GB2312" w:eastAsia="仿宋_GB2312" w:cs="仿宋_GB2312"/>
          <w:color w:val="000000"/>
          <w:sz w:val="32"/>
          <w:szCs w:val="32"/>
          <w:shd w:val="clear" w:color="auto" w:fill="FFFFFF"/>
        </w:rPr>
        <w:t>增加</w:t>
      </w:r>
      <w:bookmarkEnd w:id="271"/>
      <w:r>
        <w:rPr>
          <w:rFonts w:hint="eastAsia" w:ascii="仿宋_GB2312" w:hAnsi="仿宋_GB2312" w:eastAsia="仿宋_GB2312" w:cs="仿宋_GB2312"/>
          <w:color w:val="000000"/>
          <w:sz w:val="32"/>
          <w:szCs w:val="32"/>
          <w:shd w:val="clear" w:color="auto" w:fill="FFFFFF"/>
          <w:lang w:val="en-US" w:eastAsia="zh-CN"/>
        </w:rPr>
        <w:t>12.79</w:t>
      </w:r>
      <w:r>
        <w:rPr>
          <w:rFonts w:hint="eastAsia" w:ascii="仿宋_GB2312" w:hAnsi="仿宋_GB2312" w:eastAsia="仿宋_GB2312" w:cs="仿宋_GB2312"/>
          <w:color w:val="000000"/>
          <w:sz w:val="32"/>
          <w:szCs w:val="32"/>
          <w:shd w:val="clear" w:color="auto" w:fill="FFFFFF"/>
        </w:rPr>
        <w:t>万元</w:t>
      </w:r>
      <w:bookmarkEnd w:id="272"/>
      <w:bookmarkEnd w:id="273"/>
      <w:bookmarkStart w:id="274" w:name="IS_ZERO_02"/>
      <w:bookmarkStart w:id="275" w:name="START_IS_ZERO_02"/>
      <w:bookmarkStart w:id="276" w:name="DIS_MARK_IS_ZERO_02"/>
      <w:r>
        <w:rPr>
          <w:rFonts w:hint="eastAsia" w:ascii="仿宋_GB2312" w:hAnsi="仿宋_GB2312" w:eastAsia="仿宋_GB2312" w:cs="仿宋_GB2312"/>
          <w:color w:val="000000"/>
          <w:sz w:val="32"/>
          <w:szCs w:val="32"/>
          <w:shd w:val="clear" w:color="auto" w:fill="FFFFFF"/>
        </w:rPr>
        <w:t>，</w:t>
      </w:r>
      <w:bookmarkStart w:id="277" w:name="JGYXJF_BD_AMT_BL"/>
      <w:r>
        <w:rPr>
          <w:rFonts w:hint="eastAsia" w:ascii="仿宋_GB2312" w:hAnsi="仿宋_GB2312" w:eastAsia="仿宋_GB2312" w:cs="仿宋_GB2312"/>
          <w:color w:val="000000"/>
          <w:sz w:val="32"/>
          <w:szCs w:val="32"/>
          <w:shd w:val="clear" w:color="auto" w:fill="FFFFFF"/>
        </w:rPr>
        <w:t>上升</w:t>
      </w:r>
      <w:r>
        <w:rPr>
          <w:rFonts w:hint="eastAsia" w:ascii="仿宋_GB2312" w:hAnsi="仿宋_GB2312" w:eastAsia="仿宋_GB2312" w:cs="仿宋_GB2312"/>
          <w:color w:val="000000"/>
          <w:sz w:val="32"/>
          <w:szCs w:val="32"/>
          <w:shd w:val="clear" w:color="auto" w:fill="FFFFFF"/>
          <w:lang w:val="en-US" w:eastAsia="zh-CN"/>
        </w:rPr>
        <w:t>19</w:t>
      </w:r>
      <w:r>
        <w:rPr>
          <w:rFonts w:hint="eastAsia" w:ascii="仿宋_GB2312" w:hAnsi="仿宋_GB2312" w:eastAsia="仿宋_GB2312" w:cs="仿宋_GB2312"/>
          <w:color w:val="000000"/>
          <w:sz w:val="32"/>
          <w:szCs w:val="32"/>
          <w:shd w:val="clear" w:color="auto" w:fill="FFFFFF"/>
        </w:rPr>
        <w:t>%</w:t>
      </w:r>
      <w:bookmarkEnd w:id="274"/>
      <w:bookmarkEnd w:id="275"/>
      <w:bookmarkEnd w:id="276"/>
      <w:bookmarkStart w:id="278" w:name="END_IS_ZERO_02"/>
      <w:r>
        <w:rPr>
          <w:rFonts w:hint="eastAsia" w:ascii="仿宋_GB2312" w:hAnsi="仿宋_GB2312" w:eastAsia="仿宋_GB2312" w:cs="仿宋_GB2312"/>
          <w:color w:val="000000"/>
          <w:sz w:val="32"/>
          <w:szCs w:val="32"/>
          <w:shd w:val="clear" w:color="auto" w:fill="FFFFFF"/>
        </w:rPr>
        <w:t>，主要是</w:t>
      </w:r>
      <w:r>
        <w:rPr>
          <w:rFonts w:hint="eastAsia" w:ascii="仿宋_GB2312" w:hAnsi="仿宋_GB2312" w:eastAsia="仿宋_GB2312" w:cs="仿宋_GB2312"/>
          <w:color w:val="000000"/>
          <w:sz w:val="32"/>
          <w:szCs w:val="32"/>
          <w:shd w:val="clear" w:color="auto" w:fill="FFFFFF"/>
          <w:lang w:eastAsia="zh-CN"/>
        </w:rPr>
        <w:t>其他交通费列入增加</w:t>
      </w:r>
      <w:r>
        <w:rPr>
          <w:rFonts w:hint="eastAsia" w:ascii="仿宋_GB2312" w:hAnsi="仿宋_GB2312" w:eastAsia="仿宋_GB2312" w:cs="仿宋_GB2312"/>
          <w:color w:val="000000"/>
          <w:sz w:val="32"/>
          <w:szCs w:val="32"/>
          <w:shd w:val="clear" w:color="auto" w:fill="FFFFFF"/>
        </w:rPr>
        <w:t>。</w:t>
      </w:r>
      <w:bookmarkEnd w:id="277"/>
      <w:bookmarkEnd w:id="278"/>
      <w:bookmarkStart w:id="279" w:name="END_YES_JGYXJF"/>
      <w:bookmarkEnd w:id="279"/>
    </w:p>
    <w:p w14:paraId="2B078ADD">
      <w:pPr>
        <w:widowControl/>
        <w:spacing w:line="570" w:lineRule="atLeast"/>
        <w:ind w:firstLine="658"/>
        <w:rPr>
          <w:rFonts w:hint="eastAsia" w:ascii="仿宋_GB2312" w:hAnsi="仿宋_GB2312" w:eastAsia="仿宋_GB2312" w:cs="仿宋_GB2312"/>
          <w:color w:val="000000"/>
          <w:sz w:val="32"/>
          <w:szCs w:val="32"/>
          <w:shd w:val="clear" w:color="auto" w:fill="FFFFFF"/>
        </w:rPr>
      </w:pPr>
      <w:r>
        <w:rPr>
          <w:rFonts w:hint="eastAsia" w:eastAsia="仿宋_GB2312"/>
          <w:b/>
          <w:sz w:val="32"/>
          <w:szCs w:val="32"/>
        </w:rPr>
        <w:t>（二）“三公”经费预算：</w:t>
      </w:r>
      <w:r>
        <w:rPr>
          <w:rFonts w:hint="eastAsia" w:ascii="仿宋_GB2312" w:hAnsi="仿宋_GB2312" w:eastAsia="仿宋_GB2312" w:cs="仿宋_GB2312"/>
          <w:color w:val="000000"/>
          <w:sz w:val="32"/>
          <w:szCs w:val="32"/>
          <w:shd w:val="clear" w:color="auto" w:fill="FFFFFF"/>
        </w:rPr>
        <w:t>202</w:t>
      </w:r>
      <w:r>
        <w:rPr>
          <w:rFonts w:hint="eastAsia" w:ascii="仿宋_GB2312" w:hAnsi="仿宋_GB2312" w:eastAsia="仿宋_GB2312" w:cs="仿宋_GB2312"/>
          <w:color w:val="000000"/>
          <w:sz w:val="32"/>
          <w:szCs w:val="32"/>
          <w:shd w:val="clear" w:color="auto" w:fill="FFFFFF"/>
          <w:lang w:val="en-US" w:eastAsia="zh-CN"/>
        </w:rPr>
        <w:t>4</w:t>
      </w:r>
      <w:r>
        <w:rPr>
          <w:rFonts w:hint="eastAsia" w:ascii="仿宋_GB2312" w:hAnsi="仿宋_GB2312" w:eastAsia="仿宋_GB2312" w:cs="仿宋_GB2312"/>
          <w:color w:val="000000"/>
          <w:sz w:val="32"/>
          <w:szCs w:val="32"/>
          <w:shd w:val="clear" w:color="auto" w:fill="FFFFFF"/>
        </w:rPr>
        <w:t>年本部门“三公”经费预算数为</w:t>
      </w:r>
      <w:r>
        <w:rPr>
          <w:rFonts w:hint="eastAsia" w:ascii="仿宋_GB2312" w:hAnsi="仿宋_GB2312" w:eastAsia="仿宋_GB2312" w:cs="仿宋_GB2312"/>
          <w:color w:val="000000"/>
          <w:sz w:val="32"/>
          <w:szCs w:val="32"/>
          <w:shd w:val="clear" w:color="auto" w:fill="FFFFFF"/>
          <w:lang w:val="en-US" w:eastAsia="zh-CN"/>
        </w:rPr>
        <w:t>17</w:t>
      </w:r>
      <w:r>
        <w:rPr>
          <w:rFonts w:hint="eastAsia" w:ascii="仿宋_GB2312" w:hAnsi="仿宋_GB2312" w:eastAsia="仿宋_GB2312" w:cs="仿宋_GB2312"/>
          <w:color w:val="000000"/>
          <w:sz w:val="32"/>
          <w:szCs w:val="32"/>
          <w:shd w:val="clear" w:color="auto" w:fill="FFFFFF"/>
        </w:rPr>
        <w:t>.00万元，其中，公务接待费</w:t>
      </w:r>
      <w:r>
        <w:rPr>
          <w:rFonts w:hint="eastAsia" w:ascii="仿宋_GB2312" w:hAnsi="仿宋_GB2312" w:eastAsia="仿宋_GB2312" w:cs="仿宋_GB2312"/>
          <w:color w:val="000000"/>
          <w:sz w:val="32"/>
          <w:szCs w:val="32"/>
          <w:shd w:val="clear" w:color="auto" w:fill="FFFFFF"/>
          <w:lang w:val="en-US" w:eastAsia="zh-CN"/>
        </w:rPr>
        <w:t>12</w:t>
      </w:r>
      <w:r>
        <w:rPr>
          <w:rFonts w:hint="eastAsia" w:ascii="仿宋_GB2312" w:hAnsi="仿宋_GB2312" w:eastAsia="仿宋_GB2312" w:cs="仿宋_GB2312"/>
          <w:color w:val="000000"/>
          <w:sz w:val="32"/>
          <w:szCs w:val="32"/>
          <w:shd w:val="clear" w:color="auto" w:fill="FFFFFF"/>
        </w:rPr>
        <w:t>.00万元，公务用车购置及运行费</w:t>
      </w:r>
      <w:r>
        <w:rPr>
          <w:rFonts w:hint="eastAsia" w:ascii="仿宋_GB2312" w:hAnsi="仿宋_GB2312" w:eastAsia="仿宋_GB2312" w:cs="仿宋_GB2312"/>
          <w:color w:val="000000"/>
          <w:sz w:val="32"/>
          <w:szCs w:val="32"/>
          <w:shd w:val="clear" w:color="auto" w:fill="FFFFFF"/>
          <w:lang w:val="en-US" w:eastAsia="zh-CN"/>
        </w:rPr>
        <w:t>5</w:t>
      </w:r>
      <w:r>
        <w:rPr>
          <w:rFonts w:hint="eastAsia" w:ascii="仿宋_GB2312" w:hAnsi="仿宋_GB2312" w:eastAsia="仿宋_GB2312" w:cs="仿宋_GB2312"/>
          <w:color w:val="000000"/>
          <w:sz w:val="32"/>
          <w:szCs w:val="32"/>
          <w:shd w:val="clear" w:color="auto" w:fill="FFFFFF"/>
        </w:rPr>
        <w:t>万元（其中，公务用车购置费0.00万元，公务用车运行费</w:t>
      </w:r>
      <w:r>
        <w:rPr>
          <w:rFonts w:hint="eastAsia" w:ascii="仿宋_GB2312" w:hAnsi="仿宋_GB2312" w:eastAsia="仿宋_GB2312" w:cs="仿宋_GB2312"/>
          <w:color w:val="000000"/>
          <w:sz w:val="32"/>
          <w:szCs w:val="32"/>
          <w:shd w:val="clear" w:color="auto" w:fill="FFFFFF"/>
          <w:lang w:val="en-US" w:eastAsia="zh-CN"/>
        </w:rPr>
        <w:t>5</w:t>
      </w:r>
      <w:r>
        <w:rPr>
          <w:rFonts w:hint="eastAsia" w:ascii="仿宋_GB2312" w:hAnsi="仿宋_GB2312" w:eastAsia="仿宋_GB2312" w:cs="仿宋_GB2312"/>
          <w:color w:val="000000"/>
          <w:sz w:val="32"/>
          <w:szCs w:val="32"/>
          <w:shd w:val="clear" w:color="auto" w:fill="FFFFFF"/>
        </w:rPr>
        <w:t>万元），因公出国（境）费0.00万元。202</w:t>
      </w:r>
      <w:r>
        <w:rPr>
          <w:rFonts w:hint="eastAsia" w:ascii="仿宋_GB2312" w:hAnsi="仿宋_GB2312" w:eastAsia="仿宋_GB2312" w:cs="仿宋_GB2312"/>
          <w:color w:val="000000"/>
          <w:sz w:val="32"/>
          <w:szCs w:val="32"/>
          <w:shd w:val="clear" w:color="auto" w:fill="FFFFFF"/>
          <w:lang w:val="en-US" w:eastAsia="zh-CN"/>
        </w:rPr>
        <w:t>4</w:t>
      </w:r>
      <w:r>
        <w:rPr>
          <w:rFonts w:hint="eastAsia" w:ascii="仿宋_GB2312" w:hAnsi="仿宋_GB2312" w:eastAsia="仿宋_GB2312" w:cs="仿宋_GB2312"/>
          <w:color w:val="000000"/>
          <w:sz w:val="32"/>
          <w:szCs w:val="32"/>
          <w:shd w:val="clear" w:color="auto" w:fill="FFFFFF"/>
        </w:rPr>
        <w:t>年“三公”经费预算较202</w:t>
      </w:r>
      <w:r>
        <w:rPr>
          <w:rFonts w:hint="eastAsia" w:ascii="仿宋_GB2312" w:hAnsi="仿宋_GB2312" w:eastAsia="仿宋_GB2312" w:cs="仿宋_GB2312"/>
          <w:color w:val="000000"/>
          <w:sz w:val="32"/>
          <w:szCs w:val="32"/>
          <w:shd w:val="clear" w:color="auto" w:fill="FFFFFF"/>
          <w:lang w:val="en-US" w:eastAsia="zh-CN"/>
        </w:rPr>
        <w:t>3</w:t>
      </w:r>
      <w:r>
        <w:rPr>
          <w:rFonts w:hint="eastAsia" w:ascii="仿宋_GB2312" w:hAnsi="仿宋_GB2312" w:eastAsia="仿宋_GB2312" w:cs="仿宋_GB2312"/>
          <w:color w:val="000000"/>
          <w:sz w:val="32"/>
          <w:szCs w:val="32"/>
          <w:shd w:val="clear" w:color="auto" w:fill="FFFFFF"/>
        </w:rPr>
        <w:t>年减少</w:t>
      </w:r>
      <w:r>
        <w:rPr>
          <w:rFonts w:hint="eastAsia" w:ascii="仿宋_GB2312" w:hAnsi="仿宋_GB2312" w:eastAsia="仿宋_GB2312" w:cs="仿宋_GB2312"/>
          <w:color w:val="000000"/>
          <w:sz w:val="32"/>
          <w:szCs w:val="32"/>
          <w:shd w:val="clear" w:color="auto" w:fill="FFFFFF"/>
          <w:lang w:val="en-US" w:eastAsia="zh-CN"/>
        </w:rPr>
        <w:t>4</w:t>
      </w:r>
      <w:r>
        <w:rPr>
          <w:rFonts w:hint="eastAsia" w:ascii="仿宋_GB2312" w:hAnsi="仿宋_GB2312" w:eastAsia="仿宋_GB2312" w:cs="仿宋_GB2312"/>
          <w:color w:val="000000"/>
          <w:sz w:val="32"/>
          <w:szCs w:val="32"/>
          <w:shd w:val="clear" w:color="auto" w:fill="FFFFFF"/>
        </w:rPr>
        <w:t>万元，</w:t>
      </w:r>
      <w:r>
        <w:rPr>
          <w:rFonts w:hint="eastAsia" w:ascii="仿宋_GB2312" w:hAnsi="仿宋_GB2312" w:eastAsia="仿宋_GB2312" w:cs="仿宋_GB2312"/>
          <w:color w:val="000000"/>
          <w:sz w:val="32"/>
          <w:szCs w:val="32"/>
          <w:shd w:val="clear" w:color="auto" w:fill="FFFFFF"/>
          <w:lang w:eastAsia="zh-CN"/>
        </w:rPr>
        <w:t>主要是厉行节俭</w:t>
      </w:r>
      <w:r>
        <w:rPr>
          <w:rFonts w:eastAsia="仿宋_GB2312"/>
          <w:sz w:val="32"/>
          <w:szCs w:val="32"/>
        </w:rPr>
        <w:t>。</w:t>
      </w:r>
    </w:p>
    <w:p w14:paraId="2B84E009">
      <w:pPr>
        <w:spacing w:line="570" w:lineRule="atLeast"/>
        <w:ind w:firstLine="643"/>
        <w:rPr>
          <w:rFonts w:hint="eastAsia" w:ascii="仿宋_GB2312" w:hAnsi="仿宋_GB2312" w:eastAsia="仿宋_GB2312" w:cs="仿宋_GB2312"/>
          <w:color w:val="000000"/>
          <w:sz w:val="32"/>
          <w:szCs w:val="32"/>
          <w:shd w:val="clear" w:color="auto" w:fill="FFFFFF"/>
        </w:rPr>
      </w:pPr>
      <w:r>
        <w:rPr>
          <w:rFonts w:hint="eastAsia" w:eastAsia="仿宋_GB2312"/>
          <w:b/>
          <w:sz w:val="32"/>
          <w:szCs w:val="32"/>
        </w:rPr>
        <w:t>（三）一般性支出情况：</w:t>
      </w:r>
      <w:r>
        <w:rPr>
          <w:rFonts w:hint="eastAsia" w:ascii="仿宋_GB2312" w:hAnsi="仿宋_GB2312" w:eastAsia="仿宋_GB2312" w:cs="仿宋_GB2312"/>
          <w:color w:val="000000"/>
          <w:sz w:val="32"/>
          <w:szCs w:val="32"/>
          <w:shd w:val="clear" w:color="auto" w:fill="FFFFFF"/>
        </w:rPr>
        <w:t>202</w:t>
      </w:r>
      <w:r>
        <w:rPr>
          <w:rFonts w:hint="eastAsia" w:ascii="仿宋_GB2312" w:hAnsi="仿宋_GB2312" w:eastAsia="仿宋_GB2312" w:cs="仿宋_GB2312"/>
          <w:color w:val="000000"/>
          <w:sz w:val="32"/>
          <w:szCs w:val="32"/>
          <w:shd w:val="clear" w:color="auto" w:fill="FFFFFF"/>
          <w:lang w:val="en-US" w:eastAsia="zh-CN"/>
        </w:rPr>
        <w:t>4</w:t>
      </w:r>
      <w:r>
        <w:rPr>
          <w:rFonts w:hint="eastAsia" w:ascii="仿宋_GB2312" w:hAnsi="仿宋_GB2312" w:eastAsia="仿宋_GB2312" w:cs="仿宋_GB2312"/>
          <w:color w:val="000000"/>
          <w:sz w:val="32"/>
          <w:szCs w:val="32"/>
          <w:shd w:val="clear" w:color="auto" w:fill="FFFFFF"/>
        </w:rPr>
        <w:t>年本部门会议费预算0万元；培训费预算0万元；未举办节庆、晚会、论坛、赛事活动。</w:t>
      </w:r>
    </w:p>
    <w:p w14:paraId="4A89F879">
      <w:pPr>
        <w:spacing w:line="570" w:lineRule="atLeast"/>
        <w:ind w:firstLine="643"/>
        <w:rPr>
          <w:rFonts w:ascii="仿宋_GB2312" w:hAnsi="仿宋_GB2312" w:eastAsia="仿宋_GB2312" w:cs="仿宋_GB2312"/>
          <w:color w:val="000000"/>
          <w:sz w:val="32"/>
          <w:szCs w:val="32"/>
          <w:shd w:val="clear" w:color="auto" w:fill="FFFFFF"/>
        </w:rPr>
      </w:pPr>
      <w:r>
        <w:rPr>
          <w:rFonts w:hint="eastAsia" w:eastAsia="仿宋_GB2312"/>
          <w:b/>
          <w:sz w:val="32"/>
          <w:szCs w:val="32"/>
        </w:rPr>
        <w:t>（四）政府采购情况：</w:t>
      </w:r>
      <w:r>
        <w:rPr>
          <w:rFonts w:hint="eastAsia" w:ascii="仿宋_GB2312" w:hAnsi="仿宋_GB2312" w:eastAsia="仿宋_GB2312" w:cs="仿宋_GB2312"/>
          <w:color w:val="000000"/>
          <w:sz w:val="32"/>
          <w:szCs w:val="32"/>
          <w:shd w:val="clear" w:color="auto" w:fill="FFFFFF"/>
        </w:rPr>
        <w:t>202</w:t>
      </w:r>
      <w:r>
        <w:rPr>
          <w:rFonts w:hint="eastAsia" w:ascii="仿宋_GB2312" w:hAnsi="仿宋_GB2312" w:eastAsia="仿宋_GB2312" w:cs="仿宋_GB2312"/>
          <w:color w:val="000000"/>
          <w:sz w:val="32"/>
          <w:szCs w:val="32"/>
          <w:shd w:val="clear" w:color="auto" w:fill="FFFFFF"/>
          <w:lang w:val="en-US" w:eastAsia="zh-CN"/>
        </w:rPr>
        <w:t>4</w:t>
      </w:r>
      <w:r>
        <w:rPr>
          <w:rFonts w:hint="eastAsia" w:ascii="仿宋_GB2312" w:hAnsi="仿宋_GB2312" w:eastAsia="仿宋_GB2312" w:cs="仿宋_GB2312"/>
          <w:color w:val="000000"/>
          <w:sz w:val="32"/>
          <w:szCs w:val="32"/>
          <w:shd w:val="clear" w:color="auto" w:fill="FFFFFF"/>
        </w:rPr>
        <w:t>年本部门政府采购预算总额0万元，其中，货物类采购预算0万元；工程类采购预算0万元；服务类采购预算0万元。</w:t>
      </w:r>
    </w:p>
    <w:p w14:paraId="2077376D">
      <w:pPr>
        <w:spacing w:line="570" w:lineRule="atLeast"/>
        <w:ind w:firstLine="643"/>
        <w:rPr>
          <w:rFonts w:hint="eastAsia" w:ascii="仿宋_GB2312" w:hAnsi="仿宋_GB2312" w:eastAsia="仿宋_GB2312" w:cs="仿宋_GB2312"/>
          <w:color w:val="000000"/>
          <w:sz w:val="32"/>
          <w:szCs w:val="32"/>
          <w:shd w:val="clear" w:color="auto" w:fill="FFFFFF"/>
        </w:rPr>
      </w:pPr>
      <w:r>
        <w:rPr>
          <w:rFonts w:hint="eastAsia" w:eastAsia="仿宋_GB2312"/>
          <w:b/>
          <w:sz w:val="32"/>
          <w:szCs w:val="32"/>
        </w:rPr>
        <w:t>（五）国有资产占用使用及新增资产配置情况：</w:t>
      </w:r>
      <w:r>
        <w:rPr>
          <w:rFonts w:hint="eastAsia" w:ascii="仿宋_GB2312" w:hAnsi="仿宋_GB2312" w:eastAsia="仿宋_GB2312" w:cs="仿宋_GB2312"/>
          <w:color w:val="000000"/>
          <w:sz w:val="32"/>
          <w:szCs w:val="32"/>
          <w:shd w:val="clear" w:color="auto" w:fill="FFFFFF"/>
        </w:rPr>
        <w:t>截至202</w:t>
      </w:r>
      <w:r>
        <w:rPr>
          <w:rFonts w:hint="eastAsia" w:ascii="仿宋_GB2312" w:hAnsi="仿宋_GB2312" w:eastAsia="仿宋_GB2312" w:cs="仿宋_GB2312"/>
          <w:color w:val="000000"/>
          <w:sz w:val="32"/>
          <w:szCs w:val="32"/>
          <w:shd w:val="clear" w:color="auto" w:fill="FFFFFF"/>
          <w:lang w:val="en-US" w:eastAsia="zh-CN"/>
        </w:rPr>
        <w:t>3</w:t>
      </w:r>
      <w:r>
        <w:rPr>
          <w:rFonts w:hint="eastAsia" w:ascii="仿宋_GB2312" w:hAnsi="仿宋_GB2312" w:eastAsia="仿宋_GB2312" w:cs="仿宋_GB2312"/>
          <w:color w:val="000000"/>
          <w:sz w:val="32"/>
          <w:szCs w:val="32"/>
          <w:shd w:val="clear" w:color="auto" w:fill="FFFFFF"/>
        </w:rPr>
        <w:t>年12月底，本部门共有公务用车</w:t>
      </w:r>
      <w:r>
        <w:rPr>
          <w:rFonts w:hint="eastAsia" w:ascii="仿宋_GB2312" w:hAnsi="仿宋_GB2312" w:eastAsia="仿宋_GB2312" w:cs="仿宋_GB2312"/>
          <w:color w:val="000000"/>
          <w:sz w:val="32"/>
          <w:szCs w:val="32"/>
          <w:shd w:val="clear" w:color="auto" w:fill="FFFFFF"/>
          <w:lang w:val="en-US" w:eastAsia="zh-CN"/>
        </w:rPr>
        <w:t>1</w:t>
      </w:r>
      <w:r>
        <w:rPr>
          <w:rFonts w:hint="eastAsia" w:ascii="仿宋_GB2312" w:hAnsi="仿宋_GB2312" w:eastAsia="仿宋_GB2312" w:cs="仿宋_GB2312"/>
          <w:color w:val="000000"/>
          <w:sz w:val="32"/>
          <w:szCs w:val="32"/>
          <w:shd w:val="clear" w:color="auto" w:fill="FFFFFF"/>
        </w:rPr>
        <w:t>辆，其中，机要通信用车0辆，应急保障用车0辆，执法执勤用车0辆，特种专业技术用车</w:t>
      </w:r>
      <w:r>
        <w:rPr>
          <w:rFonts w:hint="eastAsia" w:ascii="仿宋_GB2312" w:hAnsi="仿宋_GB2312" w:eastAsia="仿宋_GB2312" w:cs="仿宋_GB2312"/>
          <w:color w:val="000000"/>
          <w:sz w:val="32"/>
          <w:szCs w:val="32"/>
          <w:shd w:val="clear" w:color="auto" w:fill="FFFFFF"/>
          <w:lang w:val="en-US" w:eastAsia="zh-CN"/>
        </w:rPr>
        <w:t>1</w:t>
      </w:r>
      <w:r>
        <w:rPr>
          <w:rFonts w:hint="eastAsia" w:ascii="仿宋_GB2312" w:hAnsi="仿宋_GB2312" w:eastAsia="仿宋_GB2312" w:cs="仿宋_GB2312"/>
          <w:color w:val="000000"/>
          <w:sz w:val="32"/>
          <w:szCs w:val="32"/>
          <w:shd w:val="clear" w:color="auto" w:fill="FFFFFF"/>
        </w:rPr>
        <w:t>辆，其他按照规定配备的公务用车0辆；单位价值50万元以上通用设备0台，单位价值100万元以上专用设备0台。202</w:t>
      </w:r>
      <w:r>
        <w:rPr>
          <w:rFonts w:hint="eastAsia" w:ascii="仿宋_GB2312" w:hAnsi="仿宋_GB2312" w:eastAsia="仿宋_GB2312" w:cs="仿宋_GB2312"/>
          <w:color w:val="000000"/>
          <w:sz w:val="32"/>
          <w:szCs w:val="32"/>
          <w:shd w:val="clear" w:color="auto" w:fill="FFFFFF"/>
          <w:lang w:val="en-US" w:eastAsia="zh-CN"/>
        </w:rPr>
        <w:t>4</w:t>
      </w:r>
      <w:r>
        <w:rPr>
          <w:rFonts w:hint="eastAsia" w:ascii="仿宋_GB2312" w:hAnsi="仿宋_GB2312" w:eastAsia="仿宋_GB2312" w:cs="仿宋_GB2312"/>
          <w:color w:val="000000"/>
          <w:sz w:val="32"/>
          <w:szCs w:val="32"/>
          <w:shd w:val="clear" w:color="auto" w:fill="FFFFFF"/>
        </w:rPr>
        <w:t>年拟新增配置公务用车0辆，其中，机要通信用车0辆，应急保障用车0辆，执法执勤用车0辆，特种专业技术用车0辆，其他按照规定配备的公务用车0辆；新增配备单位价值50万元以上通用设备0台，单位价值100万元以上专用设备0台。</w:t>
      </w:r>
    </w:p>
    <w:p w14:paraId="20DAA94E">
      <w:pPr>
        <w:spacing w:line="570" w:lineRule="atLeast"/>
        <w:ind w:firstLine="643"/>
        <w:rPr>
          <w:rFonts w:ascii="仿宋_GB2312" w:hAnsi="仿宋_GB2312" w:eastAsia="仿宋_GB2312" w:cs="仿宋_GB2312"/>
          <w:color w:val="000000"/>
          <w:sz w:val="32"/>
          <w:szCs w:val="32"/>
          <w:shd w:val="clear" w:color="auto" w:fill="FFFFFF"/>
        </w:rPr>
      </w:pPr>
      <w:r>
        <w:rPr>
          <w:rFonts w:hint="eastAsia" w:eastAsia="仿宋_GB2312"/>
          <w:b/>
          <w:sz w:val="32"/>
          <w:szCs w:val="32"/>
        </w:rPr>
        <w:t>（六）预算绩效目标说明：</w:t>
      </w:r>
      <w:r>
        <w:rPr>
          <w:rFonts w:hint="eastAsia" w:ascii="仿宋_GB2312" w:hAnsi="仿宋_GB2312" w:eastAsia="仿宋_GB2312" w:cs="仿宋_GB2312"/>
          <w:color w:val="000000"/>
          <w:sz w:val="32"/>
          <w:szCs w:val="32"/>
          <w:shd w:val="clear" w:color="auto" w:fill="FFFFFF"/>
        </w:rPr>
        <w:t>本部门所有支出实行绩效目标管理。纳入202</w:t>
      </w:r>
      <w:r>
        <w:rPr>
          <w:rFonts w:hint="eastAsia" w:ascii="仿宋_GB2312" w:hAnsi="仿宋_GB2312" w:eastAsia="仿宋_GB2312" w:cs="仿宋_GB2312"/>
          <w:color w:val="000000"/>
          <w:sz w:val="32"/>
          <w:szCs w:val="32"/>
          <w:shd w:val="clear" w:color="auto" w:fill="FFFFFF"/>
          <w:lang w:val="en-US" w:eastAsia="zh-CN"/>
        </w:rPr>
        <w:t>4</w:t>
      </w:r>
      <w:r>
        <w:rPr>
          <w:rFonts w:hint="eastAsia" w:ascii="仿宋_GB2312" w:hAnsi="仿宋_GB2312" w:eastAsia="仿宋_GB2312" w:cs="仿宋_GB2312"/>
          <w:color w:val="000000"/>
          <w:sz w:val="32"/>
          <w:szCs w:val="32"/>
          <w:shd w:val="clear" w:color="auto" w:fill="FFFFFF"/>
        </w:rPr>
        <w:t>年部门整体支出绩效目标的金额为</w:t>
      </w:r>
      <w:r>
        <w:rPr>
          <w:rFonts w:hint="eastAsia" w:ascii="仿宋_GB2312" w:hAnsi="仿宋_GB2312" w:eastAsia="仿宋_GB2312" w:cs="仿宋_GB2312"/>
          <w:color w:val="000000"/>
          <w:sz w:val="32"/>
          <w:szCs w:val="32"/>
          <w:shd w:val="clear" w:color="auto" w:fill="FFFFFF"/>
          <w:lang w:val="en-US" w:eastAsia="zh-CN"/>
        </w:rPr>
        <w:t>2307.89</w:t>
      </w:r>
      <w:r>
        <w:rPr>
          <w:rFonts w:hint="eastAsia" w:ascii="仿宋_GB2312" w:hAnsi="仿宋_GB2312" w:eastAsia="仿宋_GB2312" w:cs="仿宋_GB2312"/>
          <w:color w:val="000000"/>
          <w:sz w:val="32"/>
          <w:szCs w:val="32"/>
          <w:shd w:val="clear" w:color="auto" w:fill="FFFFFF"/>
        </w:rPr>
        <w:t>万元，其中，基本支出</w:t>
      </w:r>
      <w:r>
        <w:rPr>
          <w:rFonts w:hint="eastAsia" w:ascii="仿宋_GB2312" w:hAnsi="仿宋_GB2312" w:eastAsia="仿宋_GB2312" w:cs="仿宋_GB2312"/>
          <w:color w:val="000000"/>
          <w:sz w:val="32"/>
          <w:szCs w:val="32"/>
          <w:shd w:val="clear" w:color="auto" w:fill="FFFFFF"/>
          <w:lang w:val="en-US" w:eastAsia="zh-CN"/>
        </w:rPr>
        <w:t>608.78</w:t>
      </w:r>
      <w:r>
        <w:rPr>
          <w:rFonts w:hint="eastAsia" w:ascii="仿宋_GB2312" w:hAnsi="仿宋_GB2312" w:eastAsia="仿宋_GB2312" w:cs="仿宋_GB2312"/>
          <w:color w:val="000000"/>
          <w:sz w:val="32"/>
          <w:szCs w:val="32"/>
          <w:shd w:val="clear" w:color="auto" w:fill="FFFFFF"/>
        </w:rPr>
        <w:t>万元，项目支出</w:t>
      </w:r>
      <w:r>
        <w:rPr>
          <w:rFonts w:hint="eastAsia" w:ascii="仿宋_GB2312" w:hAnsi="仿宋_GB2312" w:eastAsia="仿宋_GB2312" w:cs="仿宋_GB2312"/>
          <w:color w:val="000000"/>
          <w:sz w:val="32"/>
          <w:szCs w:val="32"/>
          <w:shd w:val="clear" w:color="auto" w:fill="FFFFFF"/>
          <w:lang w:val="en-US" w:eastAsia="zh-CN"/>
        </w:rPr>
        <w:t>1699.11</w:t>
      </w:r>
      <w:r>
        <w:rPr>
          <w:rFonts w:hint="eastAsia" w:ascii="仿宋_GB2312" w:hAnsi="仿宋_GB2312" w:eastAsia="仿宋_GB2312" w:cs="仿宋_GB2312"/>
          <w:color w:val="000000"/>
          <w:sz w:val="32"/>
          <w:szCs w:val="32"/>
          <w:shd w:val="clear" w:color="auto" w:fill="FFFFFF"/>
        </w:rPr>
        <w:t>万元。</w:t>
      </w:r>
    </w:p>
    <w:p w14:paraId="5E407674">
      <w:pPr>
        <w:widowControl/>
        <w:spacing w:line="570" w:lineRule="atLeast"/>
        <w:ind w:firstLine="643"/>
        <w:rPr>
          <w:rFonts w:hint="eastAsia" w:ascii="黑体" w:hAnsi="黑体" w:eastAsia="黑体" w:cs="黑体"/>
          <w:b/>
          <w:color w:val="000000"/>
          <w:sz w:val="32"/>
          <w:szCs w:val="32"/>
        </w:rPr>
      </w:pPr>
      <w:r>
        <w:rPr>
          <w:rFonts w:hint="eastAsia" w:ascii="黑体" w:hAnsi="黑体" w:eastAsia="黑体" w:cs="黑体"/>
          <w:b/>
          <w:color w:val="000000"/>
          <w:sz w:val="32"/>
          <w:szCs w:val="32"/>
        </w:rPr>
        <w:t>八、名词解释</w:t>
      </w:r>
    </w:p>
    <w:p w14:paraId="3C7C2F32">
      <w:pPr>
        <w:spacing w:line="570" w:lineRule="atLeast"/>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ab/>
      </w:r>
      <w:r>
        <w:rPr>
          <w:rFonts w:hint="eastAsia" w:ascii="仿宋_GB2312" w:hAnsi="仿宋_GB2312" w:eastAsia="仿宋_GB2312" w:cs="仿宋_GB2312"/>
          <w:color w:val="000000"/>
          <w:sz w:val="32"/>
          <w:szCs w:val="32"/>
          <w:shd w:val="clear" w:color="auto" w:fill="FFFFFF"/>
        </w:rPr>
        <w:tab/>
      </w:r>
      <w:r>
        <w:rPr>
          <w:rFonts w:hint="eastAsia" w:ascii="仿宋_GB2312" w:hAnsi="仿宋_GB2312" w:eastAsia="仿宋_GB2312" w:cs="仿宋_GB2312"/>
          <w:color w:val="000000"/>
          <w:sz w:val="32"/>
          <w:szCs w:val="32"/>
          <w:shd w:val="clear" w:color="auto" w:fill="FFFFFF"/>
        </w:rPr>
        <w:t>1．机关运行经费：是指各单位的公用经费，包括办公及印刷费、邮电费、差旅费、会议费、福利费、日常维修费、专用资料及一般设备购置费、办公用房水电费、办公用房取暖费、办公用房物业管理费、公务用车运行维护费以及其他费用。</w:t>
      </w:r>
    </w:p>
    <w:p w14:paraId="1E9E95B2">
      <w:pPr>
        <w:spacing w:line="570" w:lineRule="atLeast"/>
        <w:rPr>
          <w:rFonts w:hint="eastAsia" w:ascii="仿宋_GB2312" w:hAnsi="仿宋_GB2312" w:eastAsia="仿宋_GB2312" w:cs="仿宋_GB2312"/>
          <w:color w:val="000000"/>
          <w:sz w:val="32"/>
          <w:szCs w:val="32"/>
          <w:shd w:val="clear" w:color="auto" w:fill="FFFFFF"/>
          <w:lang w:eastAsia="zh-CN"/>
        </w:rPr>
      </w:pPr>
      <w:r>
        <w:rPr>
          <w:rFonts w:hint="eastAsia" w:ascii="仿宋_GB2312" w:hAnsi="仿宋_GB2312" w:eastAsia="仿宋_GB2312" w:cs="仿宋_GB2312"/>
          <w:color w:val="000000"/>
          <w:sz w:val="32"/>
          <w:szCs w:val="32"/>
          <w:shd w:val="clear" w:color="auto" w:fill="FFFFFF"/>
        </w:rPr>
        <w:tab/>
      </w:r>
      <w:r>
        <w:rPr>
          <w:rFonts w:hint="eastAsia" w:ascii="仿宋_GB2312" w:hAnsi="仿宋_GB2312" w:eastAsia="仿宋_GB2312" w:cs="仿宋_GB2312"/>
          <w:color w:val="000000"/>
          <w:sz w:val="32"/>
          <w:szCs w:val="32"/>
          <w:shd w:val="clear" w:color="auto" w:fill="FFFFFF"/>
        </w:rPr>
        <w:tab/>
      </w:r>
      <w:r>
        <w:rPr>
          <w:rFonts w:hint="eastAsia" w:ascii="仿宋_GB2312" w:hAnsi="仿宋_GB2312" w:eastAsia="仿宋_GB2312" w:cs="仿宋_GB2312"/>
          <w:color w:val="000000"/>
          <w:sz w:val="32"/>
          <w:szCs w:val="32"/>
          <w:shd w:val="clear" w:color="auto" w:fill="FFFFFF"/>
        </w:rPr>
        <w:t>2．“三公”经费：纳入省（市/县）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住宿费、伙食费、培训费、公杂费等等支出</w:t>
      </w:r>
      <w:r>
        <w:rPr>
          <w:rFonts w:hint="eastAsia" w:ascii="仿宋_GB2312" w:hAnsi="仿宋_GB2312" w:eastAsia="仿宋_GB2312" w:cs="仿宋_GB2312"/>
          <w:color w:val="000000"/>
          <w:sz w:val="32"/>
          <w:szCs w:val="32"/>
          <w:shd w:val="clear" w:color="auto" w:fill="FFFFFF"/>
          <w:lang w:eastAsia="zh-CN"/>
        </w:rPr>
        <w:t>。</w:t>
      </w:r>
    </w:p>
    <w:p w14:paraId="76596261">
      <w:pPr>
        <w:pStyle w:val="2"/>
        <w:rPr>
          <w:rFonts w:hint="eastAsia" w:ascii="仿宋_GB2312" w:hAnsi="仿宋_GB2312" w:eastAsia="仿宋_GB2312" w:cs="仿宋_GB2312"/>
          <w:color w:val="000000"/>
          <w:sz w:val="32"/>
          <w:szCs w:val="32"/>
          <w:shd w:val="clear" w:color="auto" w:fill="FFFFFF"/>
          <w:lang w:eastAsia="zh-CN"/>
        </w:rPr>
      </w:pPr>
    </w:p>
    <w:p w14:paraId="64520D28">
      <w:pPr>
        <w:pStyle w:val="2"/>
        <w:rPr>
          <w:rFonts w:hint="eastAsia" w:ascii="仿宋_GB2312" w:hAnsi="仿宋_GB2312" w:eastAsia="仿宋_GB2312" w:cs="仿宋_GB2312"/>
          <w:color w:val="000000"/>
          <w:sz w:val="32"/>
          <w:szCs w:val="32"/>
          <w:shd w:val="clear" w:color="auto" w:fill="FFFFFF"/>
          <w:lang w:eastAsia="zh-CN"/>
        </w:rPr>
      </w:pPr>
    </w:p>
    <w:p w14:paraId="3FE8C951">
      <w:pPr>
        <w:pStyle w:val="2"/>
        <w:rPr>
          <w:rFonts w:hint="eastAsia" w:ascii="仿宋_GB2312" w:hAnsi="仿宋_GB2312" w:eastAsia="仿宋_GB2312" w:cs="仿宋_GB2312"/>
          <w:color w:val="000000"/>
          <w:sz w:val="32"/>
          <w:szCs w:val="32"/>
          <w:shd w:val="clear" w:color="auto" w:fill="FFFFFF"/>
          <w:lang w:eastAsia="zh-CN"/>
        </w:rPr>
      </w:pPr>
    </w:p>
    <w:p w14:paraId="50DFF574">
      <w:pPr>
        <w:pStyle w:val="2"/>
        <w:rPr>
          <w:rFonts w:hint="eastAsia" w:ascii="仿宋_GB2312" w:hAnsi="仿宋_GB2312" w:eastAsia="仿宋_GB2312" w:cs="仿宋_GB2312"/>
          <w:color w:val="000000"/>
          <w:sz w:val="32"/>
          <w:szCs w:val="32"/>
          <w:shd w:val="clear" w:color="auto" w:fill="FFFFFF"/>
          <w:lang w:eastAsia="zh-CN"/>
        </w:rPr>
      </w:pPr>
    </w:p>
    <w:p w14:paraId="39D2009E">
      <w:pPr>
        <w:pStyle w:val="2"/>
        <w:rPr>
          <w:rFonts w:hint="eastAsia" w:ascii="仿宋_GB2312" w:hAnsi="仿宋_GB2312" w:eastAsia="仿宋_GB2312" w:cs="仿宋_GB2312"/>
          <w:color w:val="000000"/>
          <w:sz w:val="32"/>
          <w:szCs w:val="32"/>
          <w:shd w:val="clear" w:color="auto" w:fill="FFFFFF"/>
          <w:lang w:eastAsia="zh-CN"/>
        </w:rPr>
      </w:pPr>
    </w:p>
    <w:p w14:paraId="2C17AA62">
      <w:pPr>
        <w:pStyle w:val="2"/>
        <w:rPr>
          <w:rFonts w:hint="eastAsia" w:ascii="仿宋_GB2312" w:hAnsi="仿宋_GB2312" w:eastAsia="仿宋_GB2312" w:cs="仿宋_GB2312"/>
          <w:color w:val="000000"/>
          <w:sz w:val="32"/>
          <w:szCs w:val="32"/>
          <w:shd w:val="clear" w:color="auto" w:fill="FFFFFF"/>
          <w:lang w:eastAsia="zh-CN"/>
        </w:rPr>
      </w:pPr>
    </w:p>
    <w:p w14:paraId="29E71819">
      <w:pPr>
        <w:pStyle w:val="2"/>
        <w:rPr>
          <w:rFonts w:hint="eastAsia" w:ascii="仿宋_GB2312" w:hAnsi="仿宋_GB2312" w:eastAsia="仿宋_GB2312" w:cs="仿宋_GB2312"/>
          <w:color w:val="000000"/>
          <w:sz w:val="32"/>
          <w:szCs w:val="32"/>
          <w:shd w:val="clear" w:color="auto" w:fill="FFFFFF"/>
          <w:lang w:eastAsia="zh-CN"/>
        </w:rPr>
      </w:pPr>
    </w:p>
    <w:p w14:paraId="4FEC48B0">
      <w:pPr>
        <w:pStyle w:val="2"/>
        <w:rPr>
          <w:rFonts w:hint="eastAsia" w:ascii="仿宋_GB2312" w:hAnsi="仿宋_GB2312" w:eastAsia="仿宋_GB2312" w:cs="仿宋_GB2312"/>
          <w:color w:val="000000"/>
          <w:sz w:val="32"/>
          <w:szCs w:val="32"/>
          <w:shd w:val="clear" w:color="auto" w:fill="FFFFFF"/>
          <w:lang w:eastAsia="zh-CN"/>
        </w:rPr>
      </w:pPr>
    </w:p>
    <w:p w14:paraId="1DBB556A">
      <w:pPr>
        <w:pStyle w:val="2"/>
        <w:rPr>
          <w:rFonts w:hint="eastAsia" w:ascii="仿宋_GB2312" w:hAnsi="仿宋_GB2312" w:eastAsia="仿宋_GB2312" w:cs="仿宋_GB2312"/>
          <w:color w:val="000000"/>
          <w:sz w:val="32"/>
          <w:szCs w:val="32"/>
          <w:shd w:val="clear" w:color="auto" w:fill="FFFFFF"/>
          <w:lang w:eastAsia="zh-CN"/>
        </w:rPr>
      </w:pPr>
    </w:p>
    <w:p w14:paraId="563662A6">
      <w:pPr>
        <w:pStyle w:val="2"/>
        <w:rPr>
          <w:rFonts w:hint="eastAsia" w:ascii="仿宋_GB2312" w:hAnsi="仿宋_GB2312" w:eastAsia="仿宋_GB2312" w:cs="仿宋_GB2312"/>
          <w:color w:val="000000"/>
          <w:sz w:val="32"/>
          <w:szCs w:val="32"/>
          <w:shd w:val="clear" w:color="auto" w:fill="FFFFFF"/>
          <w:lang w:eastAsia="zh-CN"/>
        </w:rPr>
      </w:pPr>
    </w:p>
    <w:p w14:paraId="584E90CD">
      <w:pPr>
        <w:pStyle w:val="2"/>
        <w:rPr>
          <w:rFonts w:hint="eastAsia" w:ascii="仿宋_GB2312" w:hAnsi="仿宋_GB2312" w:eastAsia="仿宋_GB2312" w:cs="仿宋_GB2312"/>
          <w:color w:val="000000"/>
          <w:sz w:val="32"/>
          <w:szCs w:val="32"/>
          <w:shd w:val="clear" w:color="auto" w:fill="FFFFFF"/>
          <w:lang w:eastAsia="zh-CN"/>
        </w:rPr>
      </w:pPr>
    </w:p>
    <w:p w14:paraId="3AF73B68">
      <w:pPr>
        <w:pStyle w:val="2"/>
        <w:rPr>
          <w:rFonts w:hint="eastAsia" w:ascii="仿宋_GB2312" w:hAnsi="仿宋_GB2312" w:eastAsia="仿宋_GB2312" w:cs="仿宋_GB2312"/>
          <w:color w:val="000000"/>
          <w:sz w:val="32"/>
          <w:szCs w:val="32"/>
          <w:shd w:val="clear" w:color="auto" w:fill="FFFFFF"/>
          <w:lang w:eastAsia="zh-CN"/>
        </w:rPr>
      </w:pPr>
    </w:p>
    <w:p w14:paraId="60562F55">
      <w:pPr>
        <w:pStyle w:val="2"/>
        <w:rPr>
          <w:rFonts w:hint="eastAsia" w:ascii="仿宋_GB2312" w:hAnsi="仿宋_GB2312" w:eastAsia="仿宋_GB2312" w:cs="仿宋_GB2312"/>
          <w:color w:val="000000"/>
          <w:sz w:val="32"/>
          <w:szCs w:val="32"/>
          <w:shd w:val="clear" w:color="auto" w:fill="FFFFFF"/>
          <w:lang w:eastAsia="zh-CN"/>
        </w:rPr>
      </w:pPr>
    </w:p>
    <w:p w14:paraId="17FA99D1">
      <w:pPr>
        <w:pStyle w:val="2"/>
        <w:rPr>
          <w:rFonts w:hint="eastAsia" w:ascii="仿宋_GB2312" w:hAnsi="仿宋_GB2312" w:eastAsia="仿宋_GB2312" w:cs="仿宋_GB2312"/>
          <w:color w:val="000000"/>
          <w:sz w:val="32"/>
          <w:szCs w:val="32"/>
          <w:shd w:val="clear" w:color="auto" w:fill="FFFFFF"/>
          <w:lang w:eastAsia="zh-CN"/>
        </w:rPr>
      </w:pPr>
    </w:p>
    <w:p w14:paraId="0B029745">
      <w:pPr>
        <w:pStyle w:val="2"/>
        <w:rPr>
          <w:rFonts w:hint="eastAsia" w:ascii="仿宋_GB2312" w:hAnsi="仿宋_GB2312" w:eastAsia="仿宋_GB2312" w:cs="仿宋_GB2312"/>
          <w:color w:val="000000"/>
          <w:sz w:val="32"/>
          <w:szCs w:val="32"/>
          <w:shd w:val="clear" w:color="auto" w:fill="FFFFFF"/>
          <w:lang w:eastAsia="zh-CN"/>
        </w:rPr>
      </w:pPr>
    </w:p>
    <w:p w14:paraId="3586DB08">
      <w:pPr>
        <w:pStyle w:val="2"/>
        <w:rPr>
          <w:rFonts w:hint="eastAsia" w:ascii="仿宋_GB2312" w:hAnsi="仿宋_GB2312" w:eastAsia="仿宋_GB2312" w:cs="仿宋_GB2312"/>
          <w:color w:val="000000"/>
          <w:sz w:val="32"/>
          <w:szCs w:val="32"/>
          <w:shd w:val="clear" w:color="auto" w:fill="FFFFFF"/>
          <w:lang w:eastAsia="zh-CN"/>
        </w:rPr>
      </w:pPr>
    </w:p>
    <w:p w14:paraId="197AA7CB">
      <w:pPr>
        <w:pStyle w:val="2"/>
        <w:rPr>
          <w:rFonts w:hint="eastAsia" w:ascii="仿宋_GB2312" w:hAnsi="仿宋_GB2312" w:eastAsia="仿宋_GB2312" w:cs="仿宋_GB2312"/>
          <w:color w:val="000000"/>
          <w:sz w:val="32"/>
          <w:szCs w:val="32"/>
          <w:shd w:val="clear" w:color="auto" w:fill="FFFFFF"/>
          <w:lang w:eastAsia="zh-CN"/>
        </w:rPr>
      </w:pPr>
    </w:p>
    <w:p w14:paraId="65328E26">
      <w:pPr>
        <w:pStyle w:val="2"/>
        <w:rPr>
          <w:rFonts w:hint="eastAsia" w:ascii="仿宋_GB2312" w:hAnsi="仿宋_GB2312" w:eastAsia="仿宋_GB2312" w:cs="仿宋_GB2312"/>
          <w:color w:val="000000"/>
          <w:sz w:val="32"/>
          <w:szCs w:val="32"/>
          <w:shd w:val="clear" w:color="auto" w:fill="FFFFFF"/>
          <w:lang w:eastAsia="zh-CN"/>
        </w:rPr>
      </w:pPr>
    </w:p>
    <w:p w14:paraId="1E64A8E2">
      <w:pPr>
        <w:pStyle w:val="2"/>
        <w:numPr>
          <w:ilvl w:val="0"/>
          <w:numId w:val="3"/>
        </w:numPr>
        <w:ind w:firstLine="0"/>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sz w:val="36"/>
          <w:szCs w:val="36"/>
        </w:rPr>
        <w:t>202</w:t>
      </w:r>
      <w:r>
        <w:rPr>
          <w:rFonts w:hint="eastAsia" w:ascii="方正小标宋_GBK" w:hAnsi="方正小标宋_GBK" w:eastAsia="方正小标宋_GBK" w:cs="方正小标宋_GBK"/>
          <w:b/>
          <w:bCs/>
          <w:sz w:val="36"/>
          <w:szCs w:val="36"/>
          <w:lang w:val="en-US" w:eastAsia="zh-CN"/>
        </w:rPr>
        <w:t>4</w:t>
      </w:r>
      <w:r>
        <w:rPr>
          <w:rFonts w:hint="eastAsia" w:ascii="方正小标宋_GBK" w:hAnsi="方正小标宋_GBK" w:eastAsia="方正小标宋_GBK" w:cs="方正小标宋_GBK"/>
          <w:b/>
          <w:bCs/>
          <w:sz w:val="36"/>
          <w:szCs w:val="36"/>
        </w:rPr>
        <w:t>年部门预算表</w:t>
      </w:r>
      <w:r>
        <w:rPr>
          <w:rFonts w:hint="eastAsia" w:ascii="方正小标宋_GBK" w:hAnsi="方正小标宋_GBK" w:eastAsia="方正小标宋_GBK" w:cs="方正小标宋_GBK"/>
          <w:b/>
          <w:bCs/>
          <w:sz w:val="36"/>
          <w:szCs w:val="36"/>
          <w:lang w:eastAsia="zh-CN"/>
        </w:rPr>
        <w:t>（见附件）</w:t>
      </w:r>
    </w:p>
    <w:p w14:paraId="63256FDC">
      <w:pPr>
        <w:pStyle w:val="2"/>
        <w:numPr>
          <w:ilvl w:val="0"/>
          <w:numId w:val="0"/>
        </w:numPr>
        <w:jc w:val="both"/>
        <w:rPr>
          <w:rFonts w:hint="eastAsia" w:ascii="方正小标宋_GBK" w:hAnsi="方正小标宋_GBK" w:eastAsia="方正小标宋_GBK" w:cs="方正小标宋_GBK"/>
          <w:b/>
          <w:bCs/>
          <w:sz w:val="36"/>
          <w:szCs w:val="36"/>
        </w:rPr>
      </w:pPr>
    </w:p>
    <w:p w14:paraId="6262204A">
      <w:pPr>
        <w:pStyle w:val="2"/>
        <w:jc w:val="center"/>
        <w:rPr>
          <w:rFonts w:hint="eastAsia" w:ascii="仿宋_GB2312" w:hAnsi="仿宋_GB2312" w:eastAsia="仿宋_GB2312" w:cs="仿宋_GB2312"/>
          <w:color w:val="000000"/>
          <w:sz w:val="32"/>
          <w:szCs w:val="32"/>
          <w:shd w:val="clear" w:color="auto" w:fill="FFFFFF"/>
          <w:lang w:val="en-US" w:eastAsia="zh-CN"/>
        </w:rPr>
        <w:sectPr>
          <w:pgSz w:w="11906" w:h="16838" w:orient="landscape"/>
          <w:pgMar w:top="2098" w:right="1587" w:bottom="1984" w:left="1587" w:header="851" w:footer="992" w:gutter="0"/>
          <w:cols w:space="1701" w:num="1"/>
        </w:sectPr>
      </w:pPr>
      <w:r>
        <w:rPr>
          <w:rFonts w:hint="eastAsia" w:ascii="仿宋_GB2312" w:hAnsi="仿宋_GB2312" w:eastAsia="仿宋_GB2312" w:cs="仿宋_GB2312"/>
          <w:color w:val="000000"/>
          <w:sz w:val="32"/>
          <w:szCs w:val="32"/>
          <w:shd w:val="clear" w:color="auto" w:fill="FFFFFF"/>
          <w:lang w:val="en-US" w:eastAsia="zh-CN" w:bidi="ar-SA"/>
        </w:rPr>
        <w:t>附件：道县发展和改革局2024年部门预算表</w:t>
      </w:r>
    </w:p>
    <w:p w14:paraId="0BDADD40"/>
    <w:sectPr>
      <w:pgSz w:w="18708" w:h="11905"/>
      <w:pgMar w:top="283" w:right="283" w:bottom="283" w:left="453" w:header="709" w:footer="709" w:gutter="0"/>
      <w:cols w:space="1701"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B0604020202020204"/>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方正小标宋简体">
    <w:altName w:val="黑体"/>
    <w:panose1 w:val="020B0604020202020204"/>
    <w:charset w:val="00"/>
    <w:family w:val="auto"/>
    <w:pitch w:val="default"/>
    <w:sig w:usb0="00000000" w:usb1="00000000" w:usb2="00000000" w:usb3="00000000" w:csb0="00000000" w:csb1="00000000"/>
  </w:font>
  <w:font w:name="仿宋_GB2312">
    <w:altName w:val="仿宋"/>
    <w:panose1 w:val="02010609060101010101"/>
    <w:charset w:val="00"/>
    <w:family w:val="auto"/>
    <w:pitch w:val="default"/>
    <w:sig w:usb0="00000000" w:usb1="00000000" w:usb2="00000000" w:usb3="00000000" w:csb0="00000000" w:csb1="00000000"/>
  </w:font>
  <w:font w:name="方正小标宋_GBK">
    <w:altName w:val="微软雅黑"/>
    <w:panose1 w:val="020B0604020202020204"/>
    <w:charset w:val="00"/>
    <w:family w:val="auto"/>
    <w:pitch w:val="default"/>
    <w:sig w:usb0="00000000" w:usb1="00000000" w:usb2="00000000" w:usb3="00000000" w:csb0="00000000" w:csb1="00000000"/>
  </w:font>
  <w:font w:name="Courier New">
    <w:panose1 w:val="02070309020205020404"/>
    <w:charset w:val="00"/>
    <w:family w:val="auto"/>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Symbol">
    <w:panose1 w:val="05050102010706020507"/>
    <w:charset w:val="00"/>
    <w:family w:val="auto"/>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chineseCounting"/>
      <w:suff w:val="nothing"/>
      <w:lvlText w:val="（%1）"/>
      <w:lvlJc w:val="left"/>
      <w:rPr>
        <w:rFonts w:hint="eastAsia"/>
        <w:b/>
        <w:bCs/>
      </w:rPr>
    </w:lvl>
    <w:lvl w:ilvl="1" w:tentative="0">
      <w:start w:val="1"/>
      <w:numFmt w:val="bullet"/>
      <w:suff w:val="space"/>
      <w:lvlText w:val="o"/>
      <w:lvlJc w:val="left"/>
      <w:pPr>
        <w:ind w:left="1440" w:hanging="360"/>
      </w:pPr>
      <w:rPr>
        <w:rFonts w:hint="default" w:ascii="Courier New" w:hAnsi="Courier New" w:eastAsia="Courier New" w:cs="Courier New"/>
      </w:rPr>
    </w:lvl>
    <w:lvl w:ilvl="2" w:tentative="0">
      <w:start w:val="1"/>
      <w:numFmt w:val="bullet"/>
      <w:suff w:val="space"/>
      <w:lvlText w:val="§"/>
      <w:lvlJc w:val="left"/>
      <w:pPr>
        <w:ind w:left="2160" w:hanging="360"/>
      </w:pPr>
      <w:rPr>
        <w:rFonts w:hint="default" w:ascii="Wingdings" w:hAnsi="Wingdings" w:eastAsia="Wingdings" w:cs="Wingdings"/>
      </w:rPr>
    </w:lvl>
    <w:lvl w:ilvl="3" w:tentative="0">
      <w:start w:val="1"/>
      <w:numFmt w:val="bullet"/>
      <w:suff w:val="space"/>
      <w:lvlText w:val="·"/>
      <w:lvlJc w:val="left"/>
      <w:pPr>
        <w:ind w:left="2880" w:hanging="360"/>
      </w:pPr>
      <w:rPr>
        <w:rFonts w:hint="default" w:ascii="Symbol" w:hAnsi="Symbol" w:eastAsia="Symbol" w:cs="Symbol"/>
      </w:rPr>
    </w:lvl>
    <w:lvl w:ilvl="4" w:tentative="0">
      <w:start w:val="1"/>
      <w:numFmt w:val="bullet"/>
      <w:suff w:val="space"/>
      <w:lvlText w:val="o"/>
      <w:lvlJc w:val="left"/>
      <w:pPr>
        <w:ind w:left="3600" w:hanging="360"/>
      </w:pPr>
      <w:rPr>
        <w:rFonts w:hint="default" w:ascii="Courier New" w:hAnsi="Courier New" w:eastAsia="Courier New" w:cs="Courier New"/>
      </w:rPr>
    </w:lvl>
    <w:lvl w:ilvl="5" w:tentative="0">
      <w:start w:val="1"/>
      <w:numFmt w:val="bullet"/>
      <w:suff w:val="space"/>
      <w:lvlText w:val="§"/>
      <w:lvlJc w:val="left"/>
      <w:pPr>
        <w:ind w:left="4320" w:hanging="360"/>
      </w:pPr>
      <w:rPr>
        <w:rFonts w:hint="default" w:ascii="Wingdings" w:hAnsi="Wingdings" w:eastAsia="Wingdings" w:cs="Wingdings"/>
      </w:rPr>
    </w:lvl>
    <w:lvl w:ilvl="6" w:tentative="0">
      <w:start w:val="1"/>
      <w:numFmt w:val="bullet"/>
      <w:suff w:val="space"/>
      <w:lvlText w:val="·"/>
      <w:lvlJc w:val="left"/>
      <w:pPr>
        <w:ind w:left="5040" w:hanging="360"/>
      </w:pPr>
      <w:rPr>
        <w:rFonts w:hint="default" w:ascii="Symbol" w:hAnsi="Symbol" w:eastAsia="Symbol" w:cs="Symbol"/>
      </w:rPr>
    </w:lvl>
    <w:lvl w:ilvl="7" w:tentative="0">
      <w:start w:val="1"/>
      <w:numFmt w:val="bullet"/>
      <w:suff w:val="space"/>
      <w:lvlText w:val="o"/>
      <w:lvlJc w:val="left"/>
      <w:pPr>
        <w:ind w:left="5760" w:hanging="360"/>
      </w:pPr>
      <w:rPr>
        <w:rFonts w:hint="default" w:ascii="Courier New" w:hAnsi="Courier New" w:eastAsia="Courier New" w:cs="Courier New"/>
      </w:rPr>
    </w:lvl>
    <w:lvl w:ilvl="8" w:tentative="0">
      <w:start w:val="1"/>
      <w:numFmt w:val="bullet"/>
      <w:suff w:val="space"/>
      <w:lvlText w:val="§"/>
      <w:lvlJc w:val="left"/>
      <w:pPr>
        <w:ind w:left="6480" w:hanging="360"/>
      </w:pPr>
      <w:rPr>
        <w:rFonts w:hint="default" w:ascii="Wingdings" w:hAnsi="Wingdings" w:eastAsia="Wingdings" w:cs="Wingdings"/>
      </w:rPr>
    </w:lvl>
  </w:abstractNum>
  <w:abstractNum w:abstractNumId="1">
    <w:nsid w:val="0053208E"/>
    <w:multiLevelType w:val="multilevel"/>
    <w:tmpl w:val="0053208E"/>
    <w:lvl w:ilvl="0" w:tentative="0">
      <w:start w:val="1"/>
      <w:numFmt w:val="chineseCounting"/>
      <w:suff w:val="nothing"/>
      <w:lvlText w:val="%1、"/>
      <w:lvlJc w:val="left"/>
      <w:rPr>
        <w:rFonts w:hint="eastAsia"/>
      </w:rPr>
    </w:lvl>
    <w:lvl w:ilvl="1" w:tentative="0">
      <w:start w:val="1"/>
      <w:numFmt w:val="bullet"/>
      <w:suff w:val="space"/>
      <w:lvlText w:val="o"/>
      <w:lvlJc w:val="left"/>
      <w:pPr>
        <w:ind w:left="1440" w:hanging="360"/>
      </w:pPr>
      <w:rPr>
        <w:rFonts w:hint="default" w:ascii="Courier New" w:hAnsi="Courier New" w:eastAsia="Courier New" w:cs="Courier New"/>
      </w:rPr>
    </w:lvl>
    <w:lvl w:ilvl="2" w:tentative="0">
      <w:start w:val="1"/>
      <w:numFmt w:val="bullet"/>
      <w:suff w:val="space"/>
      <w:lvlText w:val="§"/>
      <w:lvlJc w:val="left"/>
      <w:pPr>
        <w:ind w:left="2160" w:hanging="360"/>
      </w:pPr>
      <w:rPr>
        <w:rFonts w:hint="default" w:ascii="Wingdings" w:hAnsi="Wingdings" w:eastAsia="Wingdings" w:cs="Wingdings"/>
      </w:rPr>
    </w:lvl>
    <w:lvl w:ilvl="3" w:tentative="0">
      <w:start w:val="1"/>
      <w:numFmt w:val="bullet"/>
      <w:suff w:val="space"/>
      <w:lvlText w:val="·"/>
      <w:lvlJc w:val="left"/>
      <w:pPr>
        <w:ind w:left="2880" w:hanging="360"/>
      </w:pPr>
      <w:rPr>
        <w:rFonts w:hint="default" w:ascii="Symbol" w:hAnsi="Symbol" w:eastAsia="Symbol" w:cs="Symbol"/>
      </w:rPr>
    </w:lvl>
    <w:lvl w:ilvl="4" w:tentative="0">
      <w:start w:val="1"/>
      <w:numFmt w:val="bullet"/>
      <w:suff w:val="space"/>
      <w:lvlText w:val="o"/>
      <w:lvlJc w:val="left"/>
      <w:pPr>
        <w:ind w:left="3600" w:hanging="360"/>
      </w:pPr>
      <w:rPr>
        <w:rFonts w:hint="default" w:ascii="Courier New" w:hAnsi="Courier New" w:eastAsia="Courier New" w:cs="Courier New"/>
      </w:rPr>
    </w:lvl>
    <w:lvl w:ilvl="5" w:tentative="0">
      <w:start w:val="1"/>
      <w:numFmt w:val="bullet"/>
      <w:suff w:val="space"/>
      <w:lvlText w:val="§"/>
      <w:lvlJc w:val="left"/>
      <w:pPr>
        <w:ind w:left="4320" w:hanging="360"/>
      </w:pPr>
      <w:rPr>
        <w:rFonts w:hint="default" w:ascii="Wingdings" w:hAnsi="Wingdings" w:eastAsia="Wingdings" w:cs="Wingdings"/>
      </w:rPr>
    </w:lvl>
    <w:lvl w:ilvl="6" w:tentative="0">
      <w:start w:val="1"/>
      <w:numFmt w:val="bullet"/>
      <w:suff w:val="space"/>
      <w:lvlText w:val="·"/>
      <w:lvlJc w:val="left"/>
      <w:pPr>
        <w:ind w:left="5040" w:hanging="360"/>
      </w:pPr>
      <w:rPr>
        <w:rFonts w:hint="default" w:ascii="Symbol" w:hAnsi="Symbol" w:eastAsia="Symbol" w:cs="Symbol"/>
      </w:rPr>
    </w:lvl>
    <w:lvl w:ilvl="7" w:tentative="0">
      <w:start w:val="1"/>
      <w:numFmt w:val="bullet"/>
      <w:suff w:val="space"/>
      <w:lvlText w:val="o"/>
      <w:lvlJc w:val="left"/>
      <w:pPr>
        <w:ind w:left="5760" w:hanging="360"/>
      </w:pPr>
      <w:rPr>
        <w:rFonts w:hint="default" w:ascii="Courier New" w:hAnsi="Courier New" w:eastAsia="Courier New" w:cs="Courier New"/>
      </w:rPr>
    </w:lvl>
    <w:lvl w:ilvl="8" w:tentative="0">
      <w:start w:val="1"/>
      <w:numFmt w:val="bullet"/>
      <w:suff w:val="space"/>
      <w:lvlText w:val="§"/>
      <w:lvlJc w:val="left"/>
      <w:pPr>
        <w:ind w:left="6480" w:hanging="360"/>
      </w:pPr>
      <w:rPr>
        <w:rFonts w:hint="default" w:ascii="Wingdings" w:hAnsi="Wingdings" w:eastAsia="Wingdings" w:cs="Wingdings"/>
      </w:rPr>
    </w:lvl>
  </w:abstractNum>
  <w:abstractNum w:abstractNumId="2">
    <w:nsid w:val="59ADCABA"/>
    <w:multiLevelType w:val="multilevel"/>
    <w:tmpl w:val="59ADCABA"/>
    <w:lvl w:ilvl="0" w:tentative="0">
      <w:start w:val="2"/>
      <w:numFmt w:val="chineseCounting"/>
      <w:lvlText w:val="第%1部分"/>
      <w:lvlJc w:val="left"/>
      <w:rPr>
        <w:rFonts w:hint="eastAsia"/>
      </w:rPr>
    </w:lvl>
    <w:lvl w:ilvl="1" w:tentative="0">
      <w:start w:val="1"/>
      <w:numFmt w:val="bullet"/>
      <w:suff w:val="space"/>
      <w:lvlText w:val="o"/>
      <w:lvlJc w:val="left"/>
      <w:pPr>
        <w:ind w:left="1440" w:hanging="360"/>
      </w:pPr>
      <w:rPr>
        <w:rFonts w:hint="default" w:ascii="Courier New" w:hAnsi="Courier New" w:eastAsia="Courier New" w:cs="Courier New"/>
      </w:rPr>
    </w:lvl>
    <w:lvl w:ilvl="2" w:tentative="0">
      <w:start w:val="1"/>
      <w:numFmt w:val="bullet"/>
      <w:suff w:val="space"/>
      <w:lvlText w:val="§"/>
      <w:lvlJc w:val="left"/>
      <w:pPr>
        <w:ind w:left="2160" w:hanging="360"/>
      </w:pPr>
      <w:rPr>
        <w:rFonts w:hint="default" w:ascii="Wingdings" w:hAnsi="Wingdings" w:eastAsia="Wingdings" w:cs="Wingdings"/>
      </w:rPr>
    </w:lvl>
    <w:lvl w:ilvl="3" w:tentative="0">
      <w:start w:val="1"/>
      <w:numFmt w:val="bullet"/>
      <w:suff w:val="space"/>
      <w:lvlText w:val="·"/>
      <w:lvlJc w:val="left"/>
      <w:pPr>
        <w:ind w:left="2880" w:hanging="360"/>
      </w:pPr>
      <w:rPr>
        <w:rFonts w:hint="default" w:ascii="Symbol" w:hAnsi="Symbol" w:eastAsia="Symbol" w:cs="Symbol"/>
      </w:rPr>
    </w:lvl>
    <w:lvl w:ilvl="4" w:tentative="0">
      <w:start w:val="1"/>
      <w:numFmt w:val="bullet"/>
      <w:suff w:val="space"/>
      <w:lvlText w:val="o"/>
      <w:lvlJc w:val="left"/>
      <w:pPr>
        <w:ind w:left="3600" w:hanging="360"/>
      </w:pPr>
      <w:rPr>
        <w:rFonts w:hint="default" w:ascii="Courier New" w:hAnsi="Courier New" w:eastAsia="Courier New" w:cs="Courier New"/>
      </w:rPr>
    </w:lvl>
    <w:lvl w:ilvl="5" w:tentative="0">
      <w:start w:val="1"/>
      <w:numFmt w:val="bullet"/>
      <w:suff w:val="space"/>
      <w:lvlText w:val="§"/>
      <w:lvlJc w:val="left"/>
      <w:pPr>
        <w:ind w:left="4320" w:hanging="360"/>
      </w:pPr>
      <w:rPr>
        <w:rFonts w:hint="default" w:ascii="Wingdings" w:hAnsi="Wingdings" w:eastAsia="Wingdings" w:cs="Wingdings"/>
      </w:rPr>
    </w:lvl>
    <w:lvl w:ilvl="6" w:tentative="0">
      <w:start w:val="1"/>
      <w:numFmt w:val="bullet"/>
      <w:suff w:val="space"/>
      <w:lvlText w:val="·"/>
      <w:lvlJc w:val="left"/>
      <w:pPr>
        <w:ind w:left="5040" w:hanging="360"/>
      </w:pPr>
      <w:rPr>
        <w:rFonts w:hint="default" w:ascii="Symbol" w:hAnsi="Symbol" w:eastAsia="Symbol" w:cs="Symbol"/>
      </w:rPr>
    </w:lvl>
    <w:lvl w:ilvl="7" w:tentative="0">
      <w:start w:val="1"/>
      <w:numFmt w:val="bullet"/>
      <w:suff w:val="space"/>
      <w:lvlText w:val="o"/>
      <w:lvlJc w:val="left"/>
      <w:pPr>
        <w:ind w:left="5760" w:hanging="360"/>
      </w:pPr>
      <w:rPr>
        <w:rFonts w:hint="default" w:ascii="Courier New" w:hAnsi="Courier New" w:eastAsia="Courier New" w:cs="Courier New"/>
      </w:rPr>
    </w:lvl>
    <w:lvl w:ilvl="8" w:tentative="0">
      <w:start w:val="1"/>
      <w:numFmt w:val="bullet"/>
      <w:suff w:val="space"/>
      <w:lvlText w:val="§"/>
      <w:lvlJc w:val="left"/>
      <w:pPr>
        <w:ind w:left="6480" w:hanging="360"/>
      </w:pPr>
      <w:rPr>
        <w:rFonts w:hint="default" w:ascii="Wingdings" w:hAnsi="Wingdings" w:eastAsia="Wingdings" w:cs="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characterSpacingControl w:val="doNotCompress"/>
  <w:compat>
    <w:balanceSingleByteDoubleByteWidth/>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05C3BD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semiHidden="0" w:name="toc 4"/>
    <w:lsdException w:uiPriority="39" w:semiHidden="0" w:name="toc 5"/>
    <w:lsdException w:uiPriority="39" w:semiHidden="0" w:name="toc 6"/>
    <w:lsdException w:uiPriority="39" w:semiHidden="0" w:name="toc 7"/>
    <w:lsdException w:uiPriority="39" w:semiHidden="0" w:name="toc 8"/>
    <w:lsdException w:uiPriority="39" w:semiHidden="0"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semiHidden="0" w:name="table of figures"/>
    <w:lsdException w:uiPriority="99" w:name="envelope address"/>
    <w:lsdException w:uiPriority="99" w:name="envelope return"/>
    <w:lsdException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183"/>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3">
    <w:name w:val="heading 1"/>
    <w:basedOn w:val="1"/>
    <w:next w:val="1"/>
    <w:link w:val="35"/>
    <w:qFormat/>
    <w:uiPriority w:val="9"/>
    <w:pPr>
      <w:keepNext/>
      <w:keepLines/>
      <w:spacing w:before="480" w:after="200"/>
      <w:outlineLvl w:val="0"/>
    </w:pPr>
    <w:rPr>
      <w:rFonts w:ascii="等线" w:hAnsi="等线" w:eastAsia="等线" w:cs="等线"/>
      <w:sz w:val="40"/>
      <w:szCs w:val="40"/>
    </w:rPr>
  </w:style>
  <w:style w:type="paragraph" w:styleId="4">
    <w:name w:val="heading 2"/>
    <w:basedOn w:val="1"/>
    <w:next w:val="1"/>
    <w:link w:val="36"/>
    <w:unhideWhenUsed/>
    <w:qFormat/>
    <w:uiPriority w:val="9"/>
    <w:pPr>
      <w:keepNext/>
      <w:keepLines/>
      <w:spacing w:before="360" w:after="200"/>
      <w:outlineLvl w:val="1"/>
    </w:pPr>
    <w:rPr>
      <w:rFonts w:ascii="等线" w:hAnsi="等线" w:eastAsia="等线" w:cs="等线"/>
      <w:sz w:val="34"/>
    </w:rPr>
  </w:style>
  <w:style w:type="paragraph" w:styleId="5">
    <w:name w:val="heading 3"/>
    <w:basedOn w:val="1"/>
    <w:next w:val="1"/>
    <w:link w:val="37"/>
    <w:unhideWhenUsed/>
    <w:qFormat/>
    <w:uiPriority w:val="9"/>
    <w:pPr>
      <w:keepNext/>
      <w:keepLines/>
      <w:spacing w:before="320" w:after="200"/>
      <w:outlineLvl w:val="2"/>
    </w:pPr>
    <w:rPr>
      <w:rFonts w:ascii="等线" w:hAnsi="等线" w:eastAsia="等线" w:cs="等线"/>
      <w:sz w:val="30"/>
      <w:szCs w:val="30"/>
    </w:rPr>
  </w:style>
  <w:style w:type="paragraph" w:styleId="6">
    <w:name w:val="heading 4"/>
    <w:basedOn w:val="1"/>
    <w:next w:val="1"/>
    <w:link w:val="38"/>
    <w:unhideWhenUsed/>
    <w:qFormat/>
    <w:uiPriority w:val="9"/>
    <w:pPr>
      <w:keepNext/>
      <w:keepLines/>
      <w:spacing w:before="320" w:after="200"/>
      <w:outlineLvl w:val="3"/>
    </w:pPr>
    <w:rPr>
      <w:rFonts w:ascii="等线" w:hAnsi="等线" w:eastAsia="等线" w:cs="等线"/>
      <w:b/>
      <w:bCs/>
      <w:sz w:val="26"/>
      <w:szCs w:val="26"/>
    </w:rPr>
  </w:style>
  <w:style w:type="paragraph" w:styleId="7">
    <w:name w:val="heading 5"/>
    <w:basedOn w:val="1"/>
    <w:next w:val="1"/>
    <w:link w:val="39"/>
    <w:unhideWhenUsed/>
    <w:qFormat/>
    <w:uiPriority w:val="9"/>
    <w:pPr>
      <w:keepNext/>
      <w:keepLines/>
      <w:spacing w:before="320" w:after="200"/>
      <w:outlineLvl w:val="4"/>
    </w:pPr>
    <w:rPr>
      <w:rFonts w:ascii="等线" w:hAnsi="等线" w:eastAsia="等线" w:cs="等线"/>
      <w:b/>
      <w:bCs/>
      <w:sz w:val="24"/>
      <w:szCs w:val="24"/>
    </w:rPr>
  </w:style>
  <w:style w:type="paragraph" w:styleId="8">
    <w:name w:val="heading 6"/>
    <w:basedOn w:val="1"/>
    <w:next w:val="1"/>
    <w:link w:val="40"/>
    <w:unhideWhenUsed/>
    <w:qFormat/>
    <w:uiPriority w:val="9"/>
    <w:pPr>
      <w:keepNext/>
      <w:keepLines/>
      <w:spacing w:before="320" w:after="200"/>
      <w:outlineLvl w:val="5"/>
    </w:pPr>
    <w:rPr>
      <w:rFonts w:ascii="等线" w:hAnsi="等线" w:eastAsia="等线" w:cs="等线"/>
      <w:b/>
      <w:bCs/>
      <w:sz w:val="22"/>
      <w:szCs w:val="22"/>
    </w:rPr>
  </w:style>
  <w:style w:type="paragraph" w:styleId="9">
    <w:name w:val="heading 7"/>
    <w:basedOn w:val="1"/>
    <w:next w:val="1"/>
    <w:link w:val="41"/>
    <w:unhideWhenUsed/>
    <w:qFormat/>
    <w:uiPriority w:val="9"/>
    <w:pPr>
      <w:keepNext/>
      <w:keepLines/>
      <w:spacing w:before="320" w:after="200"/>
      <w:outlineLvl w:val="6"/>
    </w:pPr>
    <w:rPr>
      <w:rFonts w:ascii="等线" w:hAnsi="等线" w:eastAsia="等线" w:cs="等线"/>
      <w:b/>
      <w:bCs/>
      <w:i/>
      <w:iCs/>
      <w:sz w:val="22"/>
      <w:szCs w:val="22"/>
    </w:rPr>
  </w:style>
  <w:style w:type="paragraph" w:styleId="10">
    <w:name w:val="heading 8"/>
    <w:basedOn w:val="1"/>
    <w:next w:val="1"/>
    <w:link w:val="42"/>
    <w:unhideWhenUsed/>
    <w:qFormat/>
    <w:uiPriority w:val="9"/>
    <w:pPr>
      <w:keepNext/>
      <w:keepLines/>
      <w:spacing w:before="320" w:after="200"/>
      <w:outlineLvl w:val="7"/>
    </w:pPr>
    <w:rPr>
      <w:rFonts w:ascii="等线" w:hAnsi="等线" w:eastAsia="等线" w:cs="等线"/>
      <w:i/>
      <w:iCs/>
      <w:sz w:val="22"/>
      <w:szCs w:val="22"/>
    </w:rPr>
  </w:style>
  <w:style w:type="paragraph" w:styleId="11">
    <w:name w:val="heading 9"/>
    <w:basedOn w:val="1"/>
    <w:next w:val="1"/>
    <w:link w:val="43"/>
    <w:unhideWhenUsed/>
    <w:qFormat/>
    <w:uiPriority w:val="9"/>
    <w:pPr>
      <w:keepNext/>
      <w:keepLines/>
      <w:spacing w:before="320" w:after="200"/>
      <w:outlineLvl w:val="8"/>
    </w:pPr>
    <w:rPr>
      <w:rFonts w:ascii="等线" w:hAnsi="等线" w:eastAsia="等线" w:cs="等线"/>
      <w:i/>
      <w:iCs/>
      <w:sz w:val="21"/>
      <w:szCs w:val="21"/>
    </w:rPr>
  </w:style>
  <w:style w:type="character" w:default="1" w:styleId="31">
    <w:name w:val="Default Paragraph Font"/>
    <w:semiHidden/>
    <w:unhideWhenUsed/>
    <w:uiPriority w:val="1"/>
  </w:style>
  <w:style w:type="table" w:default="1" w:styleId="29">
    <w:name w:val="Normal Table"/>
    <w:semiHidden/>
    <w:unhideWhenUsed/>
    <w:uiPriority w:val="99"/>
    <w:tblPr/>
    <w:tblStylePr w:type="firstRow">
      <w:tblPr/>
    </w:tblStylePr>
    <w:tblStylePr w:type="lastRow">
      <w:tblPr/>
    </w:tblStylePr>
    <w:tblStylePr w:type="firstCol">
      <w:tblPr/>
    </w:tblStylePr>
    <w:tblStylePr w:type="lastCol">
      <w:tblPr/>
    </w:tblStylePr>
    <w:tblStylePr w:type="band1Vert">
      <w:tblPr/>
    </w:tblStylePr>
    <w:tblStylePr w:type="band2Vert">
      <w:tblPr/>
    </w:tblStylePr>
    <w:tblStylePr w:type="band1Horz">
      <w:tblPr/>
    </w:tblStylePr>
    <w:tblStylePr w:type="band2Horz">
      <w:tblPr/>
    </w:tblStylePr>
    <w:tblStylePr w:type="neCell">
      <w:tblPr/>
    </w:tblStylePr>
    <w:tblStylePr w:type="nwCell">
      <w:tblPr/>
    </w:tblStylePr>
    <w:tblStylePr w:type="seCell">
      <w:tblPr/>
    </w:tblStylePr>
    <w:tblStylePr w:type="swCell">
      <w:tblPr/>
    </w:tblStylePr>
  </w:style>
  <w:style w:type="paragraph" w:customStyle="1" w:styleId="2">
    <w:name w:val="正文缩进1"/>
    <w:basedOn w:val="1"/>
    <w:qFormat/>
    <w:uiPriority w:val="0"/>
    <w:pPr>
      <w:ind w:firstLine="420"/>
    </w:pPr>
    <w:rPr>
      <w:szCs w:val="20"/>
    </w:rPr>
  </w:style>
  <w:style w:type="paragraph" w:styleId="12">
    <w:name w:val="toc 7"/>
    <w:basedOn w:val="1"/>
    <w:next w:val="1"/>
    <w:unhideWhenUsed/>
    <w:uiPriority w:val="39"/>
    <w:pPr>
      <w:spacing w:after="57"/>
      <w:ind w:left="1701" w:right="0" w:firstLine="0"/>
    </w:pPr>
  </w:style>
  <w:style w:type="paragraph" w:styleId="13">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4">
    <w:name w:val="toc 5"/>
    <w:basedOn w:val="1"/>
    <w:next w:val="1"/>
    <w:unhideWhenUsed/>
    <w:uiPriority w:val="39"/>
    <w:pPr>
      <w:spacing w:after="57"/>
      <w:ind w:left="1134" w:right="0" w:firstLine="0"/>
    </w:pPr>
  </w:style>
  <w:style w:type="paragraph" w:styleId="15">
    <w:name w:val="toc 3"/>
    <w:basedOn w:val="1"/>
    <w:next w:val="1"/>
    <w:unhideWhenUsed/>
    <w:uiPriority w:val="39"/>
    <w:pPr>
      <w:spacing w:after="57"/>
      <w:ind w:left="567" w:right="0" w:firstLine="0"/>
    </w:pPr>
  </w:style>
  <w:style w:type="paragraph" w:styleId="16">
    <w:name w:val="toc 8"/>
    <w:basedOn w:val="1"/>
    <w:next w:val="1"/>
    <w:unhideWhenUsed/>
    <w:uiPriority w:val="39"/>
    <w:pPr>
      <w:spacing w:after="57"/>
      <w:ind w:left="1984" w:right="0" w:firstLine="0"/>
    </w:pPr>
  </w:style>
  <w:style w:type="paragraph" w:styleId="17">
    <w:name w:val="endnote text"/>
    <w:basedOn w:val="1"/>
    <w:link w:val="181"/>
    <w:semiHidden/>
    <w:unhideWhenUsed/>
    <w:uiPriority w:val="99"/>
    <w:pPr>
      <w:spacing w:after="0" w:line="240" w:lineRule="auto"/>
    </w:pPr>
    <w:rPr>
      <w:sz w:val="20"/>
    </w:rPr>
  </w:style>
  <w:style w:type="paragraph" w:styleId="18">
    <w:name w:val="footer"/>
    <w:basedOn w:val="1"/>
    <w:link w:val="54"/>
    <w:unhideWhenUsed/>
    <w:uiPriority w:val="99"/>
    <w:pPr>
      <w:tabs>
        <w:tab w:val="center" w:pos="7143"/>
        <w:tab w:val="right" w:pos="14287"/>
      </w:tabs>
      <w:spacing w:after="0" w:line="240" w:lineRule="auto"/>
    </w:pPr>
  </w:style>
  <w:style w:type="paragraph" w:styleId="19">
    <w:name w:val="header"/>
    <w:basedOn w:val="1"/>
    <w:link w:val="52"/>
    <w:unhideWhenUsed/>
    <w:uiPriority w:val="99"/>
    <w:pPr>
      <w:tabs>
        <w:tab w:val="center" w:pos="7143"/>
        <w:tab w:val="right" w:pos="14287"/>
      </w:tabs>
      <w:spacing w:after="0" w:line="240" w:lineRule="auto"/>
    </w:pPr>
  </w:style>
  <w:style w:type="paragraph" w:styleId="20">
    <w:name w:val="toc 1"/>
    <w:basedOn w:val="1"/>
    <w:next w:val="1"/>
    <w:unhideWhenUsed/>
    <w:uiPriority w:val="39"/>
    <w:pPr>
      <w:spacing w:after="57"/>
      <w:ind w:left="0" w:right="0" w:firstLine="0"/>
    </w:pPr>
  </w:style>
  <w:style w:type="paragraph" w:styleId="21">
    <w:name w:val="toc 4"/>
    <w:basedOn w:val="1"/>
    <w:next w:val="1"/>
    <w:unhideWhenUsed/>
    <w:uiPriority w:val="39"/>
    <w:pPr>
      <w:spacing w:after="57"/>
      <w:ind w:left="850" w:right="0" w:firstLine="0"/>
    </w:pPr>
  </w:style>
  <w:style w:type="paragraph" w:styleId="22">
    <w:name w:val="Subtitle"/>
    <w:basedOn w:val="1"/>
    <w:next w:val="1"/>
    <w:link w:val="47"/>
    <w:qFormat/>
    <w:uiPriority w:val="11"/>
    <w:pPr>
      <w:spacing w:before="200" w:after="200"/>
    </w:pPr>
    <w:rPr>
      <w:sz w:val="24"/>
      <w:szCs w:val="24"/>
    </w:rPr>
  </w:style>
  <w:style w:type="paragraph" w:styleId="23">
    <w:name w:val="footnote text"/>
    <w:basedOn w:val="1"/>
    <w:link w:val="180"/>
    <w:semiHidden/>
    <w:unhideWhenUsed/>
    <w:uiPriority w:val="99"/>
    <w:pPr>
      <w:spacing w:after="40" w:line="240" w:lineRule="auto"/>
    </w:pPr>
    <w:rPr>
      <w:sz w:val="18"/>
    </w:rPr>
  </w:style>
  <w:style w:type="paragraph" w:styleId="24">
    <w:name w:val="toc 6"/>
    <w:basedOn w:val="1"/>
    <w:next w:val="1"/>
    <w:unhideWhenUsed/>
    <w:uiPriority w:val="39"/>
    <w:pPr>
      <w:spacing w:after="57"/>
      <w:ind w:left="1417" w:right="0" w:firstLine="0"/>
    </w:pPr>
  </w:style>
  <w:style w:type="paragraph" w:styleId="25">
    <w:name w:val="table of figures"/>
    <w:basedOn w:val="1"/>
    <w:next w:val="1"/>
    <w:unhideWhenUsed/>
    <w:uiPriority w:val="99"/>
    <w:pPr>
      <w:spacing w:after="0" w:afterAutospacing="0"/>
    </w:pPr>
  </w:style>
  <w:style w:type="paragraph" w:styleId="26">
    <w:name w:val="toc 2"/>
    <w:basedOn w:val="1"/>
    <w:next w:val="1"/>
    <w:unhideWhenUsed/>
    <w:uiPriority w:val="39"/>
    <w:pPr>
      <w:spacing w:after="57"/>
      <w:ind w:left="283" w:right="0" w:firstLine="0"/>
    </w:pPr>
  </w:style>
  <w:style w:type="paragraph" w:styleId="27">
    <w:name w:val="toc 9"/>
    <w:basedOn w:val="1"/>
    <w:next w:val="1"/>
    <w:unhideWhenUsed/>
    <w:uiPriority w:val="39"/>
    <w:pPr>
      <w:spacing w:after="57"/>
      <w:ind w:left="2268" w:right="0" w:firstLine="0"/>
    </w:pPr>
  </w:style>
  <w:style w:type="paragraph" w:styleId="28">
    <w:name w:val="Title"/>
    <w:basedOn w:val="1"/>
    <w:next w:val="1"/>
    <w:link w:val="46"/>
    <w:qFormat/>
    <w:uiPriority w:val="10"/>
    <w:pPr>
      <w:spacing w:before="300" w:after="200"/>
      <w:contextualSpacing/>
    </w:pPr>
    <w:rPr>
      <w:sz w:val="48"/>
      <w:szCs w:val="48"/>
    </w:rPr>
  </w:style>
  <w:style w:type="table" w:styleId="30">
    <w:name w:val="Table Grid"/>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Pr/>
    </w:tblStylePr>
    <w:tblStylePr w:type="lastRow">
      <w:tblPr/>
    </w:tblStylePr>
    <w:tblStylePr w:type="firstCol">
      <w:tblPr/>
    </w:tblStylePr>
    <w:tblStylePr w:type="lastCol">
      <w:tblPr/>
    </w:tblStylePr>
    <w:tblStylePr w:type="band1Vert">
      <w:tblPr/>
    </w:tblStylePr>
    <w:tblStylePr w:type="band2Vert">
      <w:tblPr/>
    </w:tblStylePr>
    <w:tblStylePr w:type="band1Horz">
      <w:tblPr/>
    </w:tblStylePr>
    <w:tblStylePr w:type="band2Horz">
      <w:tblPr/>
    </w:tblStylePr>
    <w:tblStylePr w:type="neCell">
      <w:tblPr/>
    </w:tblStylePr>
    <w:tblStylePr w:type="nwCell">
      <w:tblPr/>
    </w:tblStylePr>
    <w:tblStylePr w:type="seCell">
      <w:tblPr/>
    </w:tblStylePr>
    <w:tblStylePr w:type="swCell">
      <w:tblPr/>
    </w:tblStylePr>
  </w:style>
  <w:style w:type="character" w:styleId="32">
    <w:name w:val="endnote reference"/>
    <w:semiHidden/>
    <w:unhideWhenUsed/>
    <w:uiPriority w:val="99"/>
    <w:rPr>
      <w:vertAlign w:val="superscript"/>
    </w:rPr>
  </w:style>
  <w:style w:type="character" w:styleId="33">
    <w:name w:val="Hyperlink"/>
    <w:unhideWhenUsed/>
    <w:uiPriority w:val="99"/>
    <w:rPr>
      <w:color w:val="0000FF" w:themeColor="hyperlink"/>
      <w:u w:val="single"/>
      <w14:textFill>
        <w14:solidFill>
          <w14:schemeClr w14:val="hlink"/>
        </w14:solidFill>
      </w14:textFill>
    </w:rPr>
  </w:style>
  <w:style w:type="character" w:styleId="34">
    <w:name w:val="footnote reference"/>
    <w:unhideWhenUsed/>
    <w:uiPriority w:val="99"/>
    <w:rPr>
      <w:vertAlign w:val="superscript"/>
    </w:rPr>
  </w:style>
  <w:style w:type="character" w:customStyle="1" w:styleId="35">
    <w:name w:val="Heading 1 Char"/>
    <w:link w:val="3"/>
    <w:uiPriority w:val="9"/>
    <w:rPr>
      <w:rFonts w:ascii="等线" w:hAnsi="等线" w:eastAsia="等线" w:cs="等线"/>
      <w:sz w:val="40"/>
      <w:szCs w:val="40"/>
    </w:rPr>
  </w:style>
  <w:style w:type="character" w:customStyle="1" w:styleId="36">
    <w:name w:val="Heading 2 Char"/>
    <w:link w:val="4"/>
    <w:uiPriority w:val="9"/>
    <w:rPr>
      <w:rFonts w:ascii="等线" w:hAnsi="等线" w:eastAsia="等线" w:cs="等线"/>
      <w:sz w:val="34"/>
    </w:rPr>
  </w:style>
  <w:style w:type="character" w:customStyle="1" w:styleId="37">
    <w:name w:val="Heading 3 Char"/>
    <w:link w:val="5"/>
    <w:uiPriority w:val="9"/>
    <w:rPr>
      <w:rFonts w:ascii="等线" w:hAnsi="等线" w:eastAsia="等线" w:cs="等线"/>
      <w:sz w:val="30"/>
      <w:szCs w:val="30"/>
    </w:rPr>
  </w:style>
  <w:style w:type="character" w:customStyle="1" w:styleId="38">
    <w:name w:val="Heading 4 Char"/>
    <w:link w:val="6"/>
    <w:uiPriority w:val="9"/>
    <w:rPr>
      <w:rFonts w:ascii="等线" w:hAnsi="等线" w:eastAsia="等线" w:cs="等线"/>
      <w:b/>
      <w:bCs/>
      <w:sz w:val="26"/>
      <w:szCs w:val="26"/>
    </w:rPr>
  </w:style>
  <w:style w:type="character" w:customStyle="1" w:styleId="39">
    <w:name w:val="Heading 5 Char"/>
    <w:link w:val="7"/>
    <w:uiPriority w:val="9"/>
    <w:rPr>
      <w:rFonts w:ascii="等线" w:hAnsi="等线" w:eastAsia="等线" w:cs="等线"/>
      <w:b/>
      <w:bCs/>
      <w:sz w:val="24"/>
      <w:szCs w:val="24"/>
    </w:rPr>
  </w:style>
  <w:style w:type="character" w:customStyle="1" w:styleId="40">
    <w:name w:val="Heading 6 Char"/>
    <w:link w:val="8"/>
    <w:uiPriority w:val="9"/>
    <w:rPr>
      <w:rFonts w:ascii="等线" w:hAnsi="等线" w:eastAsia="等线" w:cs="等线"/>
      <w:b/>
      <w:bCs/>
      <w:sz w:val="22"/>
      <w:szCs w:val="22"/>
    </w:rPr>
  </w:style>
  <w:style w:type="character" w:customStyle="1" w:styleId="41">
    <w:name w:val="Heading 7 Char"/>
    <w:link w:val="9"/>
    <w:uiPriority w:val="9"/>
    <w:rPr>
      <w:rFonts w:ascii="等线" w:hAnsi="等线" w:eastAsia="等线" w:cs="等线"/>
      <w:b/>
      <w:bCs/>
      <w:i/>
      <w:iCs/>
      <w:sz w:val="22"/>
      <w:szCs w:val="22"/>
    </w:rPr>
  </w:style>
  <w:style w:type="character" w:customStyle="1" w:styleId="42">
    <w:name w:val="Heading 8 Char"/>
    <w:link w:val="10"/>
    <w:uiPriority w:val="9"/>
    <w:rPr>
      <w:rFonts w:ascii="等线" w:hAnsi="等线" w:eastAsia="等线" w:cs="等线"/>
      <w:i/>
      <w:iCs/>
      <w:sz w:val="22"/>
      <w:szCs w:val="22"/>
    </w:rPr>
  </w:style>
  <w:style w:type="character" w:customStyle="1" w:styleId="43">
    <w:name w:val="Heading 9 Char"/>
    <w:link w:val="11"/>
    <w:uiPriority w:val="9"/>
    <w:rPr>
      <w:rFonts w:ascii="等线" w:hAnsi="等线" w:eastAsia="等线" w:cs="等线"/>
      <w:i/>
      <w:iCs/>
      <w:sz w:val="21"/>
      <w:szCs w:val="21"/>
    </w:rPr>
  </w:style>
  <w:style w:type="paragraph" w:styleId="44">
    <w:name w:val="List Paragraph"/>
    <w:basedOn w:val="1"/>
    <w:qFormat/>
    <w:uiPriority w:val="34"/>
    <w:pPr>
      <w:ind w:left="720"/>
      <w:contextualSpacing/>
    </w:pPr>
  </w:style>
  <w:style w:type="paragraph" w:styleId="45">
    <w:name w:val="No Spacing"/>
    <w:qFormat/>
    <w:uiPriority w:val="1"/>
    <w:pPr>
      <w:spacing w:before="0" w:after="0" w:line="240" w:lineRule="auto"/>
    </w:pPr>
    <w:rPr>
      <w:rFonts w:hint="default" w:ascii="Times New Roman" w:hAnsi="Times New Roman" w:eastAsia="宋体" w:cs="Times New Roman"/>
    </w:rPr>
  </w:style>
  <w:style w:type="character" w:customStyle="1" w:styleId="46">
    <w:name w:val="Title Char"/>
    <w:link w:val="28"/>
    <w:uiPriority w:val="10"/>
    <w:rPr>
      <w:sz w:val="48"/>
      <w:szCs w:val="48"/>
    </w:rPr>
  </w:style>
  <w:style w:type="character" w:customStyle="1" w:styleId="47">
    <w:name w:val="Subtitle Char"/>
    <w:link w:val="22"/>
    <w:uiPriority w:val="11"/>
    <w:rPr>
      <w:sz w:val="24"/>
      <w:szCs w:val="24"/>
    </w:rPr>
  </w:style>
  <w:style w:type="paragraph" w:styleId="48">
    <w:name w:val="Quote"/>
    <w:basedOn w:val="1"/>
    <w:next w:val="1"/>
    <w:link w:val="49"/>
    <w:qFormat/>
    <w:uiPriority w:val="29"/>
    <w:pPr>
      <w:ind w:left="720" w:right="720"/>
    </w:pPr>
    <w:rPr>
      <w:i/>
    </w:rPr>
  </w:style>
  <w:style w:type="character" w:customStyle="1" w:styleId="49">
    <w:name w:val="Quote Char"/>
    <w:link w:val="48"/>
    <w:uiPriority w:val="29"/>
    <w:rPr>
      <w:i/>
    </w:rPr>
  </w:style>
  <w:style w:type="paragraph" w:styleId="50">
    <w:name w:val="Intense Quote"/>
    <w:basedOn w:val="1"/>
    <w:next w:val="1"/>
    <w:link w:val="51"/>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51">
    <w:name w:val="Intense Quote Char"/>
    <w:link w:val="50"/>
    <w:uiPriority w:val="30"/>
    <w:rPr>
      <w:i/>
    </w:rPr>
  </w:style>
  <w:style w:type="character" w:customStyle="1" w:styleId="52">
    <w:name w:val="Header Char"/>
    <w:link w:val="19"/>
    <w:uiPriority w:val="99"/>
  </w:style>
  <w:style w:type="character" w:customStyle="1" w:styleId="53">
    <w:name w:val="Footer Char"/>
    <w:link w:val="18"/>
    <w:uiPriority w:val="99"/>
  </w:style>
  <w:style w:type="character" w:customStyle="1" w:styleId="54">
    <w:name w:val="Caption Char"/>
    <w:link w:val="18"/>
    <w:uiPriority w:val="99"/>
  </w:style>
  <w:style w:type="table" w:customStyle="1" w:styleId="55">
    <w:name w:val="Table Grid Ligh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Pr/>
    </w:tblStylePr>
    <w:tblStylePr w:type="lastRow">
      <w:tblPr/>
    </w:tblStylePr>
    <w:tblStylePr w:type="firstCol">
      <w:tblPr/>
    </w:tblStylePr>
    <w:tblStylePr w:type="lastCol">
      <w:tblPr/>
    </w:tblStylePr>
    <w:tblStylePr w:type="band1Vert">
      <w:tblPr/>
    </w:tblStylePr>
    <w:tblStylePr w:type="band2Vert">
      <w:tblPr/>
    </w:tblStylePr>
    <w:tblStylePr w:type="band1Horz">
      <w:tbl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56">
    <w:name w:val="Plain Table 1"/>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Pr/>
    </w:tblStylePr>
    <w:tblStylePr w:type="lastRow">
      <w:rPr>
        <w:rFonts w:ascii="Arial" w:hAnsi="Arial"/>
        <w:b/>
        <w:color w:val="404040"/>
        <w:sz w:val="22"/>
      </w:rPr>
      <w:tbl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tblPr/>
      <w:tcPr>
        <w:shd w:val="clear" w:color="F1F1F1" w:themeColor="text1" w:themeTint="0D" w:fill="F1F1F1" w:themeFill="text1" w:themeFillTint="0D"/>
      </w:tcPr>
    </w:tblStylePr>
    <w:tblStylePr w:type="band2Vert">
      <w:tblPr/>
    </w:tblStylePr>
    <w:tblStylePr w:type="band1Horz">
      <w:tblPr/>
      <w:tcPr>
        <w:shd w:val="clear" w:color="F1F1F1" w:themeColor="text1" w:themeTint="0D" w:fill="F1F1F1" w:themeFill="text1" w:themeFillTint="0D"/>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57">
    <w:name w:val="Plain Table 2"/>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blPr/>
      <w:tcPr>
        <w:tcBorders>
          <w:top w:val="single" w:color="000000" w:themeColor="text1" w:sz="4" w:space="0"/>
          <w:bottom w:val="single" w:color="000000" w:themeColor="text1" w:sz="4" w:space="0"/>
        </w:tcBorders>
      </w:tcPr>
    </w:tblStylePr>
    <w:tblStylePr w:type="lastRow">
      <w:rPr>
        <w:rFonts w:ascii="Arial" w:hAnsi="Arial"/>
        <w:b/>
        <w:color w:val="404040"/>
        <w:sz w:val="22"/>
      </w:rPr>
      <w:tbl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58">
    <w:name w:val="Plain Table 3"/>
    <w:uiPriority w:val="99"/>
    <w:pPr>
      <w:spacing w:after="0" w:line="240" w:lineRule="auto"/>
    </w:pPr>
    <w:tblPr/>
    <w:tblStylePr w:type="firstRow">
      <w:rPr>
        <w:b/>
        <w:caps/>
        <w:color w:val="404040"/>
      </w:rPr>
      <w:tblPr/>
      <w:tcPr>
        <w:tcBorders>
          <w:top w:val="nil"/>
          <w:left w:val="nil"/>
          <w:bottom w:val="single" w:color="404040" w:sz="4" w:space="0"/>
          <w:right w:val="nil"/>
        </w:tcBorders>
      </w:tcPr>
    </w:tblStylePr>
    <w:tblStylePr w:type="lastRow">
      <w:rPr>
        <w:b/>
        <w:caps/>
        <w:color w:val="404040"/>
      </w:rPr>
      <w:tblPr/>
    </w:tblStylePr>
    <w:tblStylePr w:type="firstCol">
      <w:rPr>
        <w:b/>
        <w:caps/>
        <w:color w:val="404040"/>
      </w:rPr>
      <w:tblPr/>
      <w:tcPr>
        <w:tcBorders>
          <w:top w:val="nil"/>
          <w:left w:val="nil"/>
          <w:bottom w:val="nil"/>
          <w:right w:val="single" w:color="404040" w:sz="4" w:space="0"/>
        </w:tcBorders>
      </w:tcPr>
    </w:tblStylePr>
    <w:tblStylePr w:type="lastCol">
      <w:rPr>
        <w:b/>
        <w:caps/>
        <w:color w:val="404040"/>
      </w:rPr>
      <w:tblPr/>
    </w:tblStylePr>
    <w:tblStylePr w:type="band1Vert">
      <w:rPr>
        <w:rFonts w:ascii="Arial" w:hAnsi="Arial"/>
        <w:color w:val="404040"/>
        <w:sz w:val="22"/>
      </w:rPr>
      <w:tblPr/>
      <w:tcPr>
        <w:shd w:val="clear" w:color="F1F1F1" w:themeColor="text1" w:themeTint="0D" w:fill="F1F1F1" w:themeFill="text1" w:themeFillTint="0D"/>
      </w:tcPr>
    </w:tblStylePr>
    <w:tblStylePr w:type="band2Vert">
      <w:tblPr/>
    </w:tblStylePr>
    <w:tblStylePr w:type="band1Horz">
      <w:rPr>
        <w:rFonts w:ascii="Arial" w:hAnsi="Arial"/>
        <w:color w:val="404040"/>
        <w:sz w:val="22"/>
      </w:rPr>
      <w:tblPr/>
      <w:tcPr>
        <w:shd w:val="clear" w:color="F1F1F1" w:themeColor="text1" w:themeTint="0D" w:fill="F1F1F1" w:themeFill="text1" w:themeFillTint="0D"/>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59">
    <w:name w:val="Plain Table 4"/>
    <w:uiPriority w:val="99"/>
    <w:pPr>
      <w:spacing w:after="0" w:line="240" w:lineRule="auto"/>
    </w:pPr>
    <w:tblPr/>
    <w:tblStylePr w:type="firstRow">
      <w:rPr>
        <w:b/>
        <w:color w:val="404040"/>
      </w:rPr>
      <w:tbl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1F1F1" w:themeColor="text1" w:themeTint="0D" w:fill="F1F1F1" w:themeFill="text1" w:themeFillTint="0D"/>
      </w:tcPr>
    </w:tblStylePr>
    <w:tblStylePr w:type="band2Vert">
      <w:tblPr/>
    </w:tblStylePr>
    <w:tblStylePr w:type="band1Horz">
      <w:rPr>
        <w:rFonts w:ascii="Arial" w:hAnsi="Arial"/>
        <w:color w:val="404040"/>
        <w:sz w:val="22"/>
      </w:rPr>
      <w:tblPr/>
      <w:tcPr>
        <w:shd w:val="clear" w:color="F1F1F1" w:themeColor="text1" w:themeTint="0D" w:fill="F1F1F1" w:themeFill="text1" w:themeFillTint="0D"/>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0">
    <w:name w:val="Plain Table 5"/>
    <w:uiPriority w:val="99"/>
    <w:pPr>
      <w:spacing w:after="0" w:line="240" w:lineRule="auto"/>
    </w:pPr>
    <w:tblPr/>
    <w:tblStylePr w:type="firstRow">
      <w:rPr>
        <w:i/>
        <w:color w:val="404040"/>
      </w:rPr>
      <w:tblPr/>
      <w:tcPr>
        <w:tcBorders>
          <w:left w:val="nil"/>
          <w:bottom w:val="single" w:color="404040" w:sz="4" w:space="0"/>
          <w:right w:val="nil"/>
        </w:tcBorders>
        <w:shd w:val="clear" w:color="FFFFFF" w:fill="auto"/>
      </w:tcPr>
    </w:tblStylePr>
    <w:tblStylePr w:type="lastRow">
      <w:rPr>
        <w:i/>
        <w:color w:val="404040"/>
      </w:rPr>
      <w:tblPr/>
      <w:tcPr>
        <w:tcBorders>
          <w:top w:val="single" w:color="404040" w:sz="4" w:space="0"/>
          <w:left w:val="nil"/>
          <w:right w:val="nil"/>
        </w:tcBorders>
        <w:shd w:val="clear" w:color="FFFFFF" w:fill="auto"/>
      </w:tcPr>
    </w:tblStylePr>
    <w:tblStylePr w:type="firstCol">
      <w:pPr>
        <w:jc w:val="right"/>
      </w:pPr>
      <w:rPr>
        <w:i/>
        <w:color w:val="404040"/>
      </w:rPr>
      <w:tblPr/>
      <w:tcPr>
        <w:tcBorders>
          <w:right w:val="single" w:color="404040" w:sz="4" w:space="0"/>
        </w:tcBorders>
        <w:shd w:val="clear" w:color="FFFFFF" w:fill="auto"/>
      </w:tcPr>
    </w:tblStylePr>
    <w:tblStylePr w:type="lastCol">
      <w:rPr>
        <w:i/>
        <w:color w:val="404040"/>
      </w:rPr>
      <w:tblPr/>
      <w:tcPr>
        <w:tcBorders>
          <w:left w:val="single" w:color="404040" w:sz="4" w:space="0"/>
        </w:tcBorders>
        <w:shd w:val="clear" w:color="FFFFFF" w:fill="auto"/>
      </w:tcPr>
    </w:tblStylePr>
    <w:tblStylePr w:type="band1Vert">
      <w:rPr>
        <w:rFonts w:ascii="Arial" w:hAnsi="Arial"/>
        <w:color w:val="404040"/>
        <w:sz w:val="22"/>
      </w:rPr>
      <w:tblPr/>
      <w:tcPr>
        <w:shd w:val="clear" w:color="F1F1F1" w:themeColor="text1" w:themeTint="0D" w:fill="F1F1F1" w:themeFill="text1" w:themeFillTint="0D"/>
      </w:tcPr>
    </w:tblStylePr>
    <w:tblStylePr w:type="band2Vert">
      <w:tblPr/>
    </w:tblStylePr>
    <w:tblStylePr w:type="band1Horz">
      <w:rPr>
        <w:rFonts w:ascii="Arial" w:hAnsi="Arial"/>
        <w:color w:val="404040"/>
        <w:sz w:val="22"/>
      </w:rPr>
      <w:tblPr/>
      <w:tcPr>
        <w:shd w:val="clear" w:color="F1F1F1" w:themeColor="text1" w:themeTint="0D" w:fill="F1F1F1" w:themeFill="text1" w:themeFillTint="0D"/>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1">
    <w:name w:val="Grid Table 1 Ligh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blPr/>
      <w:tcPr>
        <w:tcBorders>
          <w:bottom w:val="single" w:color="696969" w:themeColor="text1"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2">
    <w:name w:val="Grid Table 1 Light - Accent 1"/>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blPr/>
      <w:tcPr>
        <w:tcBorders>
          <w:bottom w:val="single" w:color="98B5D8" w:themeColor="accent1"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3">
    <w:name w:val="Grid Table 1 Light - Accent 2"/>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blPr/>
      <w:tcPr>
        <w:tcBorders>
          <w:bottom w:val="single" w:color="DA9896" w:themeColor="accent2"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4">
    <w:name w:val="Grid Table 1 Light - Accent 3"/>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blPr/>
      <w:tcPr>
        <w:tcBorders>
          <w:bottom w:val="single" w:color="C4D79E" w:themeColor="accent3"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5">
    <w:name w:val="Grid Table 1 Light - Accent 4"/>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blPr/>
      <w:tcPr>
        <w:tcBorders>
          <w:bottom w:val="single" w:color="B4A4C8" w:themeColor="accent4"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6">
    <w:name w:val="Grid Table 1 Light - Accent 5"/>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blPr/>
      <w:tcPr>
        <w:tcBorders>
          <w:bottom w:val="single" w:color="95CEDD" w:themeColor="accent5"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7">
    <w:name w:val="Grid Table 1 Light - Accent 6"/>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blPr/>
      <w:tcPr>
        <w:tcBorders>
          <w:bottom w:val="single" w:color="FAC192" w:themeColor="accent6"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8">
    <w:name w:val="Grid Table 2"/>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blPr/>
      <w:tcPr>
        <w:tcBorders>
          <w:top w:val="nil"/>
          <w:left w:val="nil"/>
          <w:bottom w:val="single" w:color="696969" w:themeColor="text1" w:themeTint="95" w:sz="12" w:space="0"/>
          <w:right w:val="nil"/>
        </w:tcBorders>
        <w:shd w:val="clear" w:color="FFFFFF" w:fill="auto"/>
      </w:tcPr>
    </w:tblStylePr>
    <w:tblStylePr w:type="lastRow">
      <w:rPr>
        <w:b/>
        <w:color w:val="404040"/>
      </w:rPr>
      <w:tblPr/>
      <w:tcPr>
        <w:tcBorders>
          <w:top w:val="single" w:color="696969" w:themeColor="text1" w:themeTint="95"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CACACA" w:themeColor="text1" w:themeTint="34" w:fill="CACACA" w:themeFill="text1" w:themeFillTint="34"/>
      </w:tcPr>
    </w:tblStylePr>
    <w:tblStylePr w:type="band2Vert">
      <w:tblPr/>
    </w:tblStylePr>
    <w:tblStylePr w:type="band1Horz">
      <w:rPr>
        <w:rFonts w:ascii="Arial" w:hAnsi="Arial"/>
        <w:color w:val="404040"/>
        <w:sz w:val="22"/>
      </w:rPr>
      <w:tblPr/>
      <w:tcPr>
        <w:shd w:val="clear" w:color="CACACA" w:themeColor="text1" w:themeTint="34" w:fill="CACACA" w:themeFill="tex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9">
    <w:name w:val="Grid Table 2 - Accent 1"/>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blPr/>
      <w:tcPr>
        <w:tcBorders>
          <w:top w:val="nil"/>
          <w:left w:val="nil"/>
          <w:bottom w:val="single" w:color="5D8BC2" w:themeColor="accent1" w:themeTint="EA" w:sz="12" w:space="0"/>
          <w:right w:val="nil"/>
        </w:tcBorders>
        <w:shd w:val="clear" w:color="FFFFFF" w:fill="auto"/>
      </w:tcPr>
    </w:tblStylePr>
    <w:tblStylePr w:type="lastRow">
      <w:rPr>
        <w:b/>
        <w:color w:val="404040"/>
      </w:rPr>
      <w:tblPr/>
      <w:tcPr>
        <w:tcBorders>
          <w:top w:val="single" w:color="5D8BC2" w:themeColor="accent1" w:themeTint="EA"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BE5F1" w:themeColor="accent1" w:themeTint="34" w:fill="DBE5F1" w:themeFill="accent1" w:themeFillTint="34"/>
      </w:tcPr>
    </w:tblStylePr>
    <w:tblStylePr w:type="band2Vert">
      <w:tblPr/>
    </w:tblStylePr>
    <w:tblStylePr w:type="band1Horz">
      <w:rPr>
        <w:rFonts w:ascii="Arial" w:hAnsi="Arial"/>
        <w:color w:val="404040"/>
        <w:sz w:val="22"/>
      </w:rPr>
      <w:tblPr/>
      <w:tcPr>
        <w:shd w:val="clear" w:color="DBE5F1" w:themeColor="accent1" w:themeTint="34" w:fill="DBE5F1" w:themeFill="accen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0">
    <w:name w:val="Grid Table 2 - Accent 2"/>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blPr/>
      <w:tcPr>
        <w:tcBorders>
          <w:top w:val="nil"/>
          <w:left w:val="nil"/>
          <w:bottom w:val="single" w:color="D99795" w:themeColor="accent2" w:themeTint="97" w:sz="12" w:space="0"/>
          <w:right w:val="nil"/>
        </w:tcBorders>
        <w:shd w:val="clear" w:color="FFFFFF" w:fill="auto"/>
      </w:tcPr>
    </w:tblStylePr>
    <w:tblStylePr w:type="lastRow">
      <w:rPr>
        <w:b/>
        <w:color w:val="404040"/>
      </w:rPr>
      <w:tblPr/>
      <w:tcPr>
        <w:tcBorders>
          <w:top w:val="single" w:color="D99795" w:themeColor="accent2" w:themeTint="97"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2DCDC" w:themeColor="accent2" w:themeTint="32" w:fill="F2DCDC" w:themeFill="accent2" w:themeFillTint="32"/>
      </w:tcPr>
    </w:tblStylePr>
    <w:tblStylePr w:type="band2Vert">
      <w:tblPr/>
    </w:tblStylePr>
    <w:tblStylePr w:type="band1Horz">
      <w:rPr>
        <w:rFonts w:ascii="Arial" w:hAnsi="Arial"/>
        <w:color w:val="404040"/>
        <w:sz w:val="22"/>
      </w:rPr>
      <w:tblPr/>
      <w:tcPr>
        <w:shd w:val="clear" w:color="F2DCDC" w:themeColor="accent2" w:themeTint="32" w:fill="F2DCDC" w:themeFill="accent2" w:themeFillTint="32"/>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1">
    <w:name w:val="Grid Table 2 - Accent 3"/>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blPr/>
      <w:tcPr>
        <w:tcBorders>
          <w:top w:val="nil"/>
          <w:left w:val="nil"/>
          <w:bottom w:val="single" w:color="9BBB59" w:themeColor="accent3" w:themeTint="FE" w:sz="12" w:space="0"/>
          <w:right w:val="nil"/>
        </w:tcBorders>
        <w:shd w:val="clear" w:color="FFFFFF" w:fill="auto"/>
      </w:tcPr>
    </w:tblStylePr>
    <w:tblStylePr w:type="lastRow">
      <w:rPr>
        <w:b/>
        <w:color w:val="404040"/>
      </w:rPr>
      <w:tblPr/>
      <w:tcPr>
        <w:tcBorders>
          <w:top w:val="single" w:color="9BBB59" w:themeColor="accent3" w:themeTint="FE"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AF1DD" w:themeColor="accent3" w:themeTint="34" w:fill="EAF1DD" w:themeFill="accent3" w:themeFillTint="34"/>
      </w:tcPr>
    </w:tblStylePr>
    <w:tblStylePr w:type="band2Vert">
      <w:tblPr/>
    </w:tblStylePr>
    <w:tblStylePr w:type="band1Horz">
      <w:rPr>
        <w:rFonts w:ascii="Arial" w:hAnsi="Arial"/>
        <w:color w:val="404040"/>
        <w:sz w:val="22"/>
      </w:rPr>
      <w:tblPr/>
      <w:tcPr>
        <w:shd w:val="clear" w:color="EAF1DD" w:themeColor="accent3" w:themeTint="34" w:fill="EAF1DD" w:themeFill="accent3"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2">
    <w:name w:val="Grid Table 2 - Accent 4"/>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blPr/>
      <w:tcPr>
        <w:tcBorders>
          <w:top w:val="nil"/>
          <w:left w:val="nil"/>
          <w:bottom w:val="single" w:color="B2A1C6" w:themeColor="accent4" w:themeTint="9A" w:sz="12" w:space="0"/>
          <w:right w:val="nil"/>
        </w:tcBorders>
        <w:shd w:val="clear" w:color="FFFFFF" w:fill="auto"/>
      </w:tcPr>
    </w:tblStylePr>
    <w:tblStylePr w:type="lastRow">
      <w:rPr>
        <w:b/>
        <w:color w:val="404040"/>
      </w:rPr>
      <w:tblPr/>
      <w:tcPr>
        <w:tcBorders>
          <w:top w:val="single" w:color="B2A1C6" w:themeColor="accent4" w:themeTint="9A"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5DFEC" w:themeColor="accent4" w:themeTint="34" w:fill="E5DFEC" w:themeFill="accent4" w:themeFillTint="34"/>
      </w:tcPr>
    </w:tblStylePr>
    <w:tblStylePr w:type="band2Vert">
      <w:tblPr/>
    </w:tblStylePr>
    <w:tblStylePr w:type="band1Horz">
      <w:rPr>
        <w:rFonts w:ascii="Arial" w:hAnsi="Arial"/>
        <w:color w:val="404040"/>
        <w:sz w:val="22"/>
      </w:rPr>
      <w:tblPr/>
      <w:tcPr>
        <w:shd w:val="clear" w:color="E5DFEC" w:themeColor="accent4" w:themeTint="34" w:fill="E5DFEC" w:themeFill="accent4"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3">
    <w:name w:val="Grid Table 2 - Accent 5"/>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blPr/>
      <w:tcPr>
        <w:tcBorders>
          <w:top w:val="nil"/>
          <w:left w:val="nil"/>
          <w:bottom w:val="single" w:color="4BACC6" w:themeColor="accent5" w:sz="12" w:space="0"/>
          <w:right w:val="nil"/>
        </w:tcBorders>
        <w:shd w:val="clear" w:color="FFFFFF" w:fill="auto"/>
      </w:tcPr>
    </w:tblStylePr>
    <w:tblStylePr w:type="lastRow">
      <w:rPr>
        <w:b/>
        <w:color w:val="404040"/>
      </w:rPr>
      <w:tblPr/>
      <w:tcPr>
        <w:tcBorders>
          <w:top w:val="single" w:color="4BACC6" w:themeColor="accent5"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AEEF3" w:themeColor="accent5" w:themeTint="34" w:fill="DAEEF3" w:themeFill="accent5" w:themeFillTint="34"/>
      </w:tcPr>
    </w:tblStylePr>
    <w:tblStylePr w:type="band2Vert">
      <w:tblPr/>
    </w:tblStylePr>
    <w:tblStylePr w:type="band1Horz">
      <w:rPr>
        <w:rFonts w:ascii="Arial" w:hAnsi="Arial"/>
        <w:color w:val="404040"/>
        <w:sz w:val="22"/>
      </w:rPr>
      <w:tblPr/>
      <w:tcPr>
        <w:shd w:val="clear" w:color="DAEEF3" w:themeColor="accent5" w:themeTint="34" w:fill="DAEEF3" w:themeFill="accent5"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4">
    <w:name w:val="Grid Table 2 - Accent 6"/>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blPr/>
      <w:tcPr>
        <w:tcBorders>
          <w:top w:val="nil"/>
          <w:left w:val="nil"/>
          <w:bottom w:val="single" w:color="F79646" w:themeColor="accent6" w:sz="12" w:space="0"/>
          <w:right w:val="nil"/>
        </w:tcBorders>
        <w:shd w:val="clear" w:color="FFFFFF" w:fill="auto"/>
      </w:tcPr>
    </w:tblStylePr>
    <w:tblStylePr w:type="lastRow">
      <w:rPr>
        <w:b/>
        <w:color w:val="404040"/>
      </w:rPr>
      <w:tblPr/>
      <w:tcPr>
        <w:tcBorders>
          <w:top w:val="single" w:color="F79646" w:themeColor="accent6"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DE9D9" w:themeColor="accent6" w:themeTint="34" w:fill="FDE9D9" w:themeFill="accent6" w:themeFillTint="34"/>
      </w:tcPr>
    </w:tblStylePr>
    <w:tblStylePr w:type="band2Vert">
      <w:tblPr/>
    </w:tblStylePr>
    <w:tblStylePr w:type="band1Horz">
      <w:rPr>
        <w:rFonts w:ascii="Arial" w:hAnsi="Arial"/>
        <w:color w:val="404040"/>
        <w:sz w:val="22"/>
      </w:rPr>
      <w:tblPr/>
      <w:tcPr>
        <w:shd w:val="clear" w:color="FDE9D9" w:themeColor="accent6" w:themeTint="34" w:fill="FDE9D9" w:themeFill="accent6"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5">
    <w:name w:val="Grid Table 3"/>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ACACA" w:themeColor="text1" w:themeTint="34" w:fill="CACACA" w:themeFill="text1" w:themeFillTint="34"/>
      </w:tcPr>
    </w:tblStylePr>
    <w:tblStylePr w:type="band2Vert">
      <w:tblPr/>
    </w:tblStylePr>
    <w:tblStylePr w:type="band1Horz">
      <w:rPr>
        <w:rFonts w:ascii="Arial" w:hAnsi="Arial"/>
        <w:color w:val="404040"/>
        <w:sz w:val="22"/>
      </w:rPr>
      <w:tblPr/>
      <w:tcPr>
        <w:shd w:val="clear" w:color="CACACA" w:themeColor="text1" w:themeTint="34" w:fill="CACACA" w:themeFill="tex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6">
    <w:name w:val="Grid Table 3 - Accent 1"/>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BE5F1" w:themeColor="accent1" w:themeTint="34" w:fill="DBE5F1" w:themeFill="accent1" w:themeFillTint="34"/>
      </w:tcPr>
    </w:tblStylePr>
    <w:tblStylePr w:type="band2Vert">
      <w:tblPr/>
    </w:tblStylePr>
    <w:tblStylePr w:type="band1Horz">
      <w:rPr>
        <w:rFonts w:ascii="Arial" w:hAnsi="Arial"/>
        <w:color w:val="404040"/>
        <w:sz w:val="22"/>
      </w:rPr>
      <w:tblPr/>
      <w:tcPr>
        <w:shd w:val="clear" w:color="DBE5F1" w:themeColor="accent1" w:themeTint="34" w:fill="DBE5F1" w:themeFill="accen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7">
    <w:name w:val="Grid Table 3 - Accent 2"/>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2Vert">
      <w:tblPr/>
    </w:tblStylePr>
    <w:tblStylePr w:type="band1Horz">
      <w:rPr>
        <w:rFonts w:ascii="Arial" w:hAnsi="Arial"/>
        <w:color w:val="404040"/>
        <w:sz w:val="22"/>
      </w:rPr>
      <w:tblPr/>
      <w:tcPr>
        <w:shd w:val="clear" w:color="F2DCDC" w:themeColor="accent2" w:themeTint="32" w:fill="F2DCDC" w:themeFill="accent2" w:themeFillTint="32"/>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8">
    <w:name w:val="Grid Table 3 - Accent 3"/>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D" w:themeColor="accent3" w:themeTint="34" w:fill="EAF1DD" w:themeFill="accent3" w:themeFillTint="34"/>
      </w:tcPr>
    </w:tblStylePr>
    <w:tblStylePr w:type="band2Vert">
      <w:tblPr/>
    </w:tblStylePr>
    <w:tblStylePr w:type="band1Horz">
      <w:rPr>
        <w:rFonts w:ascii="Arial" w:hAnsi="Arial"/>
        <w:color w:val="404040"/>
        <w:sz w:val="22"/>
      </w:rPr>
      <w:tblPr/>
      <w:tcPr>
        <w:shd w:val="clear" w:color="EAF1DD" w:themeColor="accent3" w:themeTint="34" w:fill="EAF1DD" w:themeFill="accent3"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9">
    <w:name w:val="Grid Table 3 - Accent 4"/>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2Vert">
      <w:tblPr/>
    </w:tblStylePr>
    <w:tblStylePr w:type="band1Horz">
      <w:rPr>
        <w:rFonts w:ascii="Arial" w:hAnsi="Arial"/>
        <w:color w:val="404040"/>
        <w:sz w:val="22"/>
      </w:rPr>
      <w:tblPr/>
      <w:tcPr>
        <w:shd w:val="clear" w:color="E5DFEC" w:themeColor="accent4" w:themeTint="34" w:fill="E5DFEC" w:themeFill="accent4"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0">
    <w:name w:val="Grid Table 3 - Accent 5"/>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2Vert">
      <w:tblPr/>
    </w:tblStylePr>
    <w:tblStylePr w:type="band1Horz">
      <w:rPr>
        <w:rFonts w:ascii="Arial" w:hAnsi="Arial"/>
        <w:color w:val="404040"/>
        <w:sz w:val="22"/>
      </w:rPr>
      <w:tblPr/>
      <w:tcPr>
        <w:shd w:val="clear" w:color="DAEEF3" w:themeColor="accent5" w:themeTint="34" w:fill="DAEEF3" w:themeFill="accent5"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1">
    <w:name w:val="Grid Table 3 - Accent 6"/>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9" w:themeColor="accent6" w:themeTint="34" w:fill="FDE9D9" w:themeFill="accent6" w:themeFillTint="34"/>
      </w:tcPr>
    </w:tblStylePr>
    <w:tblStylePr w:type="band2Vert">
      <w:tblPr/>
    </w:tblStylePr>
    <w:tblStylePr w:type="band1Horz">
      <w:rPr>
        <w:rFonts w:ascii="Arial" w:hAnsi="Arial"/>
        <w:color w:val="404040"/>
        <w:sz w:val="22"/>
      </w:rPr>
      <w:tblPr/>
      <w:tcPr>
        <w:shd w:val="clear" w:color="FDE9D9" w:themeColor="accent6" w:themeTint="34" w:fill="FDE9D9" w:themeFill="accent6"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2">
    <w:name w:val="Grid Table 4"/>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blPr/>
      <w:tcPr>
        <w:tcBorders>
          <w:top w:val="single" w:color="000000" w:themeColor="text1"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CACACA" w:themeColor="text1" w:themeTint="34" w:fill="CACACA" w:themeFill="text1" w:themeFillTint="34"/>
      </w:tcPr>
    </w:tblStylePr>
    <w:tblStylePr w:type="band2Vert">
      <w:tblPr/>
    </w:tblStylePr>
    <w:tblStylePr w:type="band1Horz">
      <w:rPr>
        <w:rFonts w:ascii="Arial" w:hAnsi="Arial"/>
        <w:color w:val="404040"/>
        <w:sz w:val="22"/>
      </w:rPr>
      <w:tblPr/>
      <w:tcPr>
        <w:shd w:val="clear" w:color="CACACA" w:themeColor="text1" w:themeTint="34" w:fill="CACACA" w:themeFill="tex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3">
    <w:name w:val="Grid Table 4 - Accent 1"/>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bl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blPr/>
      <w:tcPr>
        <w:tcBorders>
          <w:top w:val="single" w:color="5D8BC2" w:themeColor="accent1" w:themeTint="EA"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CE6F2" w:themeColor="accent1" w:themeTint="32" w:fill="DCE6F2" w:themeFill="accent1" w:themeFillTint="32"/>
      </w:tcPr>
    </w:tblStylePr>
    <w:tblStylePr w:type="band2Vert">
      <w:tblPr/>
    </w:tblStylePr>
    <w:tblStylePr w:type="band1Horz">
      <w:rPr>
        <w:rFonts w:ascii="Arial" w:hAnsi="Arial"/>
        <w:color w:val="404040"/>
        <w:sz w:val="22"/>
      </w:rPr>
      <w:tblPr/>
      <w:tcPr>
        <w:shd w:val="clear" w:color="DCE6F2" w:themeColor="accent1" w:themeTint="32" w:fill="DCE6F2" w:themeFill="accent1" w:themeFillTint="32"/>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4">
    <w:name w:val="Grid Table 4 - Accent 2"/>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bl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blPr/>
      <w:tcPr>
        <w:tcBorders>
          <w:top w:val="single" w:color="D99795" w:themeColor="accent2" w:themeTint="97"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2DCDC" w:themeColor="accent2" w:themeTint="32" w:fill="F2DCDC" w:themeFill="accent2" w:themeFillTint="32"/>
      </w:tcPr>
    </w:tblStylePr>
    <w:tblStylePr w:type="band2Vert">
      <w:tblPr/>
    </w:tblStylePr>
    <w:tblStylePr w:type="band1Horz">
      <w:rPr>
        <w:rFonts w:ascii="Arial" w:hAnsi="Arial"/>
        <w:color w:val="404040"/>
        <w:sz w:val="22"/>
      </w:rPr>
      <w:tblPr/>
      <w:tcPr>
        <w:shd w:val="clear" w:color="F2DCDC" w:themeColor="accent2" w:themeTint="32" w:fill="F2DCDC" w:themeFill="accent2" w:themeFillTint="32"/>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5">
    <w:name w:val="Grid Table 4 - Accent 3"/>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bl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blPr/>
      <w:tcPr>
        <w:tcBorders>
          <w:top w:val="single" w:color="9BBB59" w:themeColor="accent3" w:themeTint="FE"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AF1DD" w:themeColor="accent3" w:themeTint="34" w:fill="EAF1DD" w:themeFill="accent3" w:themeFillTint="34"/>
      </w:tcPr>
    </w:tblStylePr>
    <w:tblStylePr w:type="band2Vert">
      <w:tblPr/>
    </w:tblStylePr>
    <w:tblStylePr w:type="band1Horz">
      <w:rPr>
        <w:rFonts w:ascii="Arial" w:hAnsi="Arial"/>
        <w:color w:val="404040"/>
        <w:sz w:val="22"/>
      </w:rPr>
      <w:tblPr/>
      <w:tcPr>
        <w:shd w:val="clear" w:color="EAF1DD" w:themeColor="accent3" w:themeTint="34" w:fill="EAF1DD" w:themeFill="accent3"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6">
    <w:name w:val="Grid Table 4 - Accent 4"/>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bl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blPr/>
      <w:tcPr>
        <w:tcBorders>
          <w:top w:val="single" w:color="B2A1C6" w:themeColor="accent4" w:themeTint="9A"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5DFEC" w:themeColor="accent4" w:themeTint="34" w:fill="E5DFEC" w:themeFill="accent4" w:themeFillTint="34"/>
      </w:tcPr>
    </w:tblStylePr>
    <w:tblStylePr w:type="band2Vert">
      <w:tblPr/>
    </w:tblStylePr>
    <w:tblStylePr w:type="band1Horz">
      <w:rPr>
        <w:rFonts w:ascii="Arial" w:hAnsi="Arial"/>
        <w:color w:val="404040"/>
        <w:sz w:val="22"/>
      </w:rPr>
      <w:tblPr/>
      <w:tcPr>
        <w:shd w:val="clear" w:color="E5DFEC" w:themeColor="accent4" w:themeTint="34" w:fill="E5DFEC" w:themeFill="accent4"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7">
    <w:name w:val="Grid Table 4 - Accent 5"/>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blPr/>
      <w:tcPr>
        <w:tcBorders>
          <w:top w:val="single" w:color="4BACC6" w:themeColor="accent5"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AEEF3" w:themeColor="accent5" w:themeTint="34" w:fill="DAEEF3" w:themeFill="accent5" w:themeFillTint="34"/>
      </w:tcPr>
    </w:tblStylePr>
    <w:tblStylePr w:type="band2Vert">
      <w:tblPr/>
    </w:tblStylePr>
    <w:tblStylePr w:type="band1Horz">
      <w:rPr>
        <w:rFonts w:ascii="Arial" w:hAnsi="Arial"/>
        <w:color w:val="404040"/>
        <w:sz w:val="22"/>
      </w:rPr>
      <w:tblPr/>
      <w:tcPr>
        <w:shd w:val="clear" w:color="DAEEF3" w:themeColor="accent5" w:themeTint="34" w:fill="DAEEF3" w:themeFill="accent5"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8">
    <w:name w:val="Grid Table 4 - Accent 6"/>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blPr/>
      <w:tcPr>
        <w:tcBorders>
          <w:top w:val="single" w:color="F79646" w:themeColor="accent6"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DE9D9" w:themeColor="accent6" w:themeTint="34" w:fill="FDE9D9" w:themeFill="accent6" w:themeFillTint="34"/>
      </w:tcPr>
    </w:tblStylePr>
    <w:tblStylePr w:type="band2Vert">
      <w:tblPr/>
    </w:tblStylePr>
    <w:tblStylePr w:type="band1Horz">
      <w:rPr>
        <w:rFonts w:ascii="Arial" w:hAnsi="Arial"/>
        <w:color w:val="404040"/>
        <w:sz w:val="22"/>
      </w:rPr>
      <w:tblPr/>
      <w:tcPr>
        <w:shd w:val="clear" w:color="FDE9D9" w:themeColor="accent6" w:themeTint="34" w:fill="FDE9D9" w:themeFill="accent6"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9">
    <w:name w:val="Grid Table 5 Dark"/>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98989" w:themeColor="text1" w:themeTint="75" w:fill="898989" w:themeFill="text1" w:themeFillTint="75"/>
      </w:tcPr>
    </w:tblStylePr>
    <w:tblStylePr w:type="band2Vert">
      <w:tblPr/>
    </w:tblStylePr>
    <w:tblStylePr w:type="band1Horz">
      <w:tblPr/>
      <w:tcPr>
        <w:shd w:val="clear" w:color="898989" w:themeColor="text1" w:themeTint="75" w:fill="898989" w:themeFill="text1"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0">
    <w:name w:val="Grid Table 5 Dark- Accent 1"/>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5E0" w:themeColor="accent1" w:themeTint="75" w:fill="AEC5E0" w:themeFill="accent1" w:themeFillTint="75"/>
      </w:tcPr>
    </w:tblStylePr>
    <w:tblStylePr w:type="band2Vert">
      <w:tblPr/>
    </w:tblStylePr>
    <w:tblStylePr w:type="band1Horz">
      <w:tblPr/>
      <w:tcPr>
        <w:shd w:val="clear" w:color="AEC5E0" w:themeColor="accent1" w:themeTint="75" w:fill="AEC5E0" w:themeFill="accent1"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1">
    <w:name w:val="Grid Table 5 Dark - Accent 2"/>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2Vert">
      <w:tblPr/>
    </w:tblStylePr>
    <w:tblStylePr w:type="band1Horz">
      <w:tblPr/>
      <w:tcPr>
        <w:shd w:val="clear" w:color="E2AEAD" w:themeColor="accent2" w:themeTint="75" w:fill="E2AEAD" w:themeFill="accent2"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2">
    <w:name w:val="Grid Table 5 Dark - Accent 3"/>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1DFB2" w:themeColor="accent3" w:themeTint="75" w:fill="D1DFB2" w:themeFill="accent3" w:themeFillTint="75"/>
      </w:tcPr>
    </w:tblStylePr>
    <w:tblStylePr w:type="band2Vert">
      <w:tblPr/>
    </w:tblStylePr>
    <w:tblStylePr w:type="band1Horz">
      <w:tblPr/>
      <w:tcPr>
        <w:shd w:val="clear" w:color="D1DFB2" w:themeColor="accent3" w:themeTint="75" w:fill="D1DFB2" w:themeFill="accent3"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3">
    <w:name w:val="Grid Table 5 Dark- Accent 4"/>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2Vert">
      <w:tblPr/>
    </w:tblStylePr>
    <w:tblStylePr w:type="band1Horz">
      <w:tblPr/>
      <w:tcPr>
        <w:shd w:val="clear" w:color="C4B7D4" w:themeColor="accent4" w:themeTint="75" w:fill="C4B7D4" w:themeFill="accent4"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4">
    <w:name w:val="Grid Table 5 Dark - Accent 5"/>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2Vert">
      <w:tblPr/>
    </w:tblStylePr>
    <w:tblStylePr w:type="band1Horz">
      <w:tblPr/>
      <w:tcPr>
        <w:shd w:val="clear" w:color="ACD8E4" w:themeColor="accent5" w:themeTint="75" w:fill="ACD8E4" w:themeFill="accent5"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5">
    <w:name w:val="Grid Table 5 Dark - Accent 6"/>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2Vert">
      <w:tblPr/>
    </w:tblStylePr>
    <w:tblStylePr w:type="band1Horz">
      <w:tblPr/>
      <w:tcPr>
        <w:shd w:val="clear" w:color="FBCEAA" w:themeColor="accent6" w:themeTint="75" w:fill="FBCEAA" w:themeFill="accent6"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6">
    <w:name w:val="Grid Table 6 Colorful"/>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bl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Pr/>
    </w:tblStylePr>
    <w:tblStylePr w:type="firstCol">
      <w:rPr>
        <w:b/>
        <w:color w:val="808080" w:themeColor="text1" w:themeTint="80"/>
        <w14:textFill>
          <w14:solidFill>
            <w14:schemeClr w14:val="tx1">
              <w14:lumMod w14:val="50000"/>
              <w14:lumOff w14:val="50000"/>
            </w14:schemeClr>
          </w14:solidFill>
        </w14:textFill>
      </w:rPr>
      <w:tblPr/>
    </w:tblStylePr>
    <w:tblStylePr w:type="lastCol">
      <w:rPr>
        <w:b/>
        <w:color w:val="808080" w:themeColor="text1" w:themeTint="80"/>
        <w14:textFill>
          <w14:solidFill>
            <w14:schemeClr w14:val="tx1">
              <w14:lumMod w14:val="50000"/>
              <w14:lumOff w14:val="50000"/>
            </w14:schemeClr>
          </w14:solidFill>
        </w14:textFill>
      </w:rPr>
      <w:tblPr/>
    </w:tblStylePr>
    <w:tblStylePr w:type="band1Vert">
      <w:tblPr/>
      <w:tcPr>
        <w:shd w:val="clear" w:color="CACACA" w:themeColor="text1" w:themeTint="34" w:fill="CACACA" w:themeFill="text1" w:themeFillTint="34"/>
      </w:tcPr>
    </w:tblStylePr>
    <w:tblStylePr w:type="band2Vert">
      <w:tblPr/>
    </w:tblStylePr>
    <w:tblStylePr w:type="band1Horz">
      <w:rPr>
        <w:rFonts w:ascii="Arial" w:hAnsi="Arial"/>
        <w:color w:val="808080" w:themeColor="text1" w:themeTint="80"/>
        <w:sz w:val="22"/>
        <w14:textFill>
          <w14:solidFill>
            <w14:schemeClr w14:val="tx1">
              <w14:lumMod w14:val="50000"/>
              <w14:lumOff w14:val="50000"/>
            </w14:schemeClr>
          </w14:solidFill>
        </w14:textFill>
      </w:rPr>
      <w:tbl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97">
    <w:name w:val="Grid Table 6 Colorful - Accent 1"/>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bl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Pr/>
    </w:tblStylePr>
    <w:tblStylePr w:type="firstCol">
      <w:rPr>
        <w:b/>
        <w:color w:val="A7C0DE" w:themeColor="accent1" w:themeTint="80"/>
        <w14:textFill>
          <w14:solidFill>
            <w14:schemeClr w14:val="accent1">
              <w14:lumMod w14:val="50000"/>
              <w14:lumOff w14:val="50000"/>
            </w14:schemeClr>
          </w14:solidFill>
        </w14:textFill>
      </w:rPr>
      <w:tblPr/>
    </w:tblStylePr>
    <w:tblStylePr w:type="lastCol">
      <w:rPr>
        <w:b/>
        <w:color w:val="A7C0DE" w:themeColor="accent1" w:themeTint="80"/>
        <w14:textFill>
          <w14:solidFill>
            <w14:schemeClr w14:val="accent1">
              <w14:lumMod w14:val="50000"/>
              <w14:lumOff w14:val="50000"/>
            </w14:schemeClr>
          </w14:solidFill>
        </w14:textFill>
      </w:rPr>
      <w:tblPr/>
    </w:tblStylePr>
    <w:tblStylePr w:type="band1Vert">
      <w:tblPr/>
      <w:tcPr>
        <w:shd w:val="clear" w:color="DBE5F1" w:themeColor="accent1" w:themeTint="34" w:fill="DBE5F1" w:themeFill="accent1" w:themeFillTint="34"/>
      </w:tcPr>
    </w:tblStylePr>
    <w:tblStylePr w:type="band2Vert">
      <w:tbl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bl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98">
    <w:name w:val="Grid Table 6 Colorful - Accent 2"/>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bl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Pr/>
    </w:tblStylePr>
    <w:tblStylePr w:type="firstCol">
      <w:rPr>
        <w:b/>
        <w:color w:val="DA9896" w:themeColor="accent2" w:themeTint="96"/>
        <w14:textFill>
          <w14:solidFill>
            <w14:schemeClr w14:val="accent2">
              <w14:lumMod w14:val="59000"/>
              <w14:lumOff w14:val="41000"/>
            </w14:schemeClr>
          </w14:solidFill>
        </w14:textFill>
      </w:rPr>
      <w:tblPr/>
    </w:tblStylePr>
    <w:tblStylePr w:type="lastCol">
      <w:rPr>
        <w:b/>
        <w:color w:val="DA9896" w:themeColor="accent2" w:themeTint="96"/>
        <w14:textFill>
          <w14:solidFill>
            <w14:schemeClr w14:val="accent2">
              <w14:lumMod w14:val="59000"/>
              <w14:lumOff w14:val="41000"/>
            </w14:schemeClr>
          </w14:solidFill>
        </w14:textFill>
      </w:rPr>
      <w:tblPr/>
    </w:tblStylePr>
    <w:tblStylePr w:type="band1Vert">
      <w:tblPr/>
      <w:tcPr>
        <w:shd w:val="clear" w:color="F2DCDC" w:themeColor="accent2" w:themeTint="32" w:fill="F2DCDC" w:themeFill="accent2" w:themeFillTint="32"/>
      </w:tcPr>
    </w:tblStylePr>
    <w:tblStylePr w:type="band2Vert">
      <w:tbl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bl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99">
    <w:name w:val="Grid Table 6 Colorful - Accent 3"/>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bl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Pr/>
    </w:tblStylePr>
    <w:tblStylePr w:type="firstCol">
      <w:rPr>
        <w:b/>
        <w:color w:val="9BBB59" w:themeColor="accent3" w:themeTint="FF"/>
        <w14:textFill>
          <w14:solidFill>
            <w14:schemeClr w14:val="accent3">
              <w14:lumMod w14:val="100000"/>
              <w14:lumOff w14:val="0"/>
            </w14:schemeClr>
          </w14:solidFill>
        </w14:textFill>
      </w:rPr>
      <w:tblPr/>
    </w:tblStylePr>
    <w:tblStylePr w:type="lastCol">
      <w:rPr>
        <w:b/>
        <w:color w:val="9BBB59" w:themeColor="accent3" w:themeTint="FF"/>
        <w14:textFill>
          <w14:solidFill>
            <w14:schemeClr w14:val="accent3">
              <w14:lumMod w14:val="100000"/>
              <w14:lumOff w14:val="0"/>
            </w14:schemeClr>
          </w14:solidFill>
        </w14:textFill>
      </w:rPr>
      <w:tblPr/>
    </w:tblStylePr>
    <w:tblStylePr w:type="band1Vert">
      <w:tblPr/>
      <w:tcPr>
        <w:shd w:val="clear" w:color="EAF1DD" w:themeColor="accent3" w:themeTint="34" w:fill="EAF1DD" w:themeFill="accent3" w:themeFillTint="34"/>
      </w:tcPr>
    </w:tblStylePr>
    <w:tblStylePr w:type="band2Vert">
      <w:tblPr/>
    </w:tblStylePr>
    <w:tblStylePr w:type="band1Horz">
      <w:rPr>
        <w:rFonts w:ascii="Arial" w:hAnsi="Arial"/>
        <w:color w:val="9BBB59" w:themeColor="accent3" w:themeTint="FF"/>
        <w:sz w:val="22"/>
        <w14:textFill>
          <w14:solidFill>
            <w14:schemeClr w14:val="accent3">
              <w14:lumMod w14:val="100000"/>
              <w14:lumOff w14:val="0"/>
            </w14:schemeClr>
          </w14:solidFill>
        </w14:textFill>
      </w:rPr>
      <w:tbl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0">
    <w:name w:val="Grid Table 6 Colorful - Accent 4"/>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bl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Pr/>
    </w:tblStylePr>
    <w:tblStylePr w:type="firstCol">
      <w:rPr>
        <w:b/>
        <w:color w:val="B3A2C7" w:themeColor="accent4" w:themeTint="99"/>
        <w14:textFill>
          <w14:solidFill>
            <w14:schemeClr w14:val="accent4">
              <w14:lumMod w14:val="60000"/>
              <w14:lumOff w14:val="40000"/>
            </w14:schemeClr>
          </w14:solidFill>
        </w14:textFill>
      </w:rPr>
      <w:tblPr/>
    </w:tblStylePr>
    <w:tblStylePr w:type="lastCol">
      <w:rPr>
        <w:b/>
        <w:color w:val="B3A2C7" w:themeColor="accent4" w:themeTint="99"/>
        <w14:textFill>
          <w14:solidFill>
            <w14:schemeClr w14:val="accent4">
              <w14:lumMod w14:val="60000"/>
              <w14:lumOff w14:val="40000"/>
            </w14:schemeClr>
          </w14:solidFill>
        </w14:textFill>
      </w:rPr>
      <w:tblPr/>
    </w:tblStylePr>
    <w:tblStylePr w:type="band1Vert">
      <w:tblPr/>
      <w:tcPr>
        <w:shd w:val="clear" w:color="E5DFEC" w:themeColor="accent4" w:themeTint="34" w:fill="E5DFEC" w:themeFill="accent4" w:themeFillTint="34"/>
      </w:tcPr>
    </w:tblStylePr>
    <w:tblStylePr w:type="band2Vert">
      <w:tbl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bl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1">
    <w:name w:val="Grid Table 6 Colorful - Accent 5"/>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blPr/>
      <w:tcPr>
        <w:tcBorders>
          <w:bottom w:val="single" w:color="4BACC6" w:themeColor="accent5" w:sz="12" w:space="0"/>
        </w:tcBorders>
      </w:tcPr>
    </w:tblStylePr>
    <w:tblStylePr w:type="lastRow">
      <w:rPr>
        <w:b/>
        <w:color w:val="266778" w:themeColor="accent5" w:themeShade="94"/>
      </w:rPr>
      <w:tblPr/>
    </w:tblStylePr>
    <w:tblStylePr w:type="firstCol">
      <w:rPr>
        <w:b/>
        <w:color w:val="266778" w:themeColor="accent5" w:themeShade="94"/>
      </w:rPr>
      <w:tblPr/>
    </w:tblStylePr>
    <w:tblStylePr w:type="lastCol">
      <w:rPr>
        <w:b/>
        <w:color w:val="266778" w:themeColor="accent5" w:themeShade="94"/>
      </w:rPr>
      <w:tblPr/>
    </w:tblStylePr>
    <w:tblStylePr w:type="band1Vert">
      <w:tblPr/>
      <w:tcPr>
        <w:shd w:val="clear" w:color="DAEEF3" w:themeColor="accent5" w:themeTint="34" w:fill="DAEEF3" w:themeFill="accent5" w:themeFillTint="34"/>
      </w:tcPr>
    </w:tblStylePr>
    <w:tblStylePr w:type="band2Vert">
      <w:tblPr/>
    </w:tblStylePr>
    <w:tblStylePr w:type="band1Horz">
      <w:rPr>
        <w:rFonts w:ascii="Arial" w:hAnsi="Arial"/>
        <w:color w:val="266778" w:themeColor="accent5" w:themeShade="94"/>
        <w:sz w:val="22"/>
      </w:rPr>
      <w:tblPr/>
      <w:tcPr>
        <w:shd w:val="clear" w:color="DAEEF3" w:themeColor="accent5" w:themeTint="34" w:fill="DAEEF3" w:themeFill="accent5" w:themeFillTint="34"/>
      </w:tcPr>
    </w:tblStylePr>
    <w:tblStylePr w:type="band2Horz">
      <w:rPr>
        <w:rFonts w:ascii="Arial" w:hAnsi="Arial"/>
        <w:color w:val="266778" w:themeColor="accent5" w:themeShade="94"/>
        <w:sz w:val="22"/>
      </w:rPr>
      <w:tblPr/>
    </w:tblStylePr>
    <w:tblStylePr w:type="neCell">
      <w:tblPr/>
    </w:tblStylePr>
    <w:tblStylePr w:type="nwCell">
      <w:tblPr/>
    </w:tblStylePr>
    <w:tblStylePr w:type="seCell">
      <w:tblPr/>
    </w:tblStylePr>
    <w:tblStylePr w:type="swCell">
      <w:tblPr/>
    </w:tblStylePr>
  </w:style>
  <w:style w:type="table" w:customStyle="1" w:styleId="102">
    <w:name w:val="Grid Table 6 Colorful - Accent 6"/>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blPr/>
      <w:tcPr>
        <w:tcBorders>
          <w:bottom w:val="single" w:color="F79646" w:themeColor="accent6" w:sz="12" w:space="0"/>
        </w:tcBorders>
      </w:tcPr>
    </w:tblStylePr>
    <w:tblStylePr w:type="lastRow">
      <w:rPr>
        <w:b/>
        <w:color w:val="266778" w:themeColor="accent5" w:themeShade="94"/>
      </w:rPr>
      <w:tblPr/>
    </w:tblStylePr>
    <w:tblStylePr w:type="firstCol">
      <w:rPr>
        <w:b/>
        <w:color w:val="266778" w:themeColor="accent5" w:themeShade="94"/>
      </w:rPr>
      <w:tblPr/>
    </w:tblStylePr>
    <w:tblStylePr w:type="lastCol">
      <w:rPr>
        <w:b/>
        <w:color w:val="266778" w:themeColor="accent5" w:themeShade="94"/>
      </w:rPr>
      <w:tblPr/>
    </w:tblStylePr>
    <w:tblStylePr w:type="band1Vert">
      <w:tblPr/>
      <w:tcPr>
        <w:shd w:val="clear" w:color="FDE9D9" w:themeColor="accent6" w:themeTint="34" w:fill="FDE9D9" w:themeFill="accent6" w:themeFillTint="34"/>
      </w:tcPr>
    </w:tblStylePr>
    <w:tblStylePr w:type="band2Vert">
      <w:tblPr/>
    </w:tblStylePr>
    <w:tblStylePr w:type="band1Horz">
      <w:rPr>
        <w:rFonts w:ascii="Arial" w:hAnsi="Arial"/>
        <w:color w:val="266778" w:themeColor="accent5" w:themeShade="94"/>
        <w:sz w:val="22"/>
      </w:rPr>
      <w:tblPr/>
      <w:tcPr>
        <w:shd w:val="clear" w:color="FDE9D9" w:themeColor="accent6" w:themeTint="34" w:fill="FDE9D9" w:themeFill="accent6" w:themeFillTint="34"/>
      </w:tcPr>
    </w:tblStylePr>
    <w:tblStylePr w:type="band2Horz">
      <w:rPr>
        <w:rFonts w:ascii="Arial" w:hAnsi="Arial"/>
        <w:color w:val="266778" w:themeColor="accent5" w:themeShade="94"/>
        <w:sz w:val="22"/>
      </w:rPr>
      <w:tblPr/>
    </w:tblStylePr>
    <w:tblStylePr w:type="neCell">
      <w:tblPr/>
    </w:tblStylePr>
    <w:tblStylePr w:type="nwCell">
      <w:tblPr/>
    </w:tblStylePr>
    <w:tblStylePr w:type="seCell">
      <w:tblPr/>
    </w:tblStylePr>
    <w:tblStylePr w:type="swCell">
      <w:tblPr/>
    </w:tblStylePr>
  </w:style>
  <w:style w:type="table" w:customStyle="1" w:styleId="103">
    <w:name w:val="Grid Table 7 Colorful"/>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bl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bl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single" w:color="7E7E7E" w:themeColor="text1" w:themeTint="80" w:sz="4" w:space="0"/>
          <w:bottom w:val="nil"/>
          <w:right w:val="nil"/>
        </w:tcBorders>
        <w:shd w:val="clear" w:color="FFFFFF" w:fill="auto"/>
      </w:tcPr>
    </w:tblStylePr>
    <w:tblStylePr w:type="band1Vert">
      <w:tblPr/>
      <w:tcPr>
        <w:shd w:val="clear" w:color="F1F1F1" w:themeColor="text1" w:themeTint="0D" w:fill="F1F1F1" w:themeFill="text1" w:themeFillTint="0D"/>
      </w:tcPr>
    </w:tblStylePr>
    <w:tblStylePr w:type="band2Vert">
      <w:tblPr/>
    </w:tblStylePr>
    <w:tblStylePr w:type="band1Horz">
      <w:rPr>
        <w:rFonts w:ascii="Arial" w:hAnsi="Arial"/>
        <w:color w:val="808080" w:themeColor="text1" w:themeTint="80"/>
        <w:sz w:val="22"/>
        <w14:textFill>
          <w14:solidFill>
            <w14:schemeClr w14:val="tx1">
              <w14:lumMod w14:val="50000"/>
              <w14:lumOff w14:val="50000"/>
            </w14:schemeClr>
          </w14:solidFill>
        </w14:textFill>
      </w:rPr>
      <w:tbl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4">
    <w:name w:val="Grid Table 7 Colorful - Accent 1"/>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bl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bl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bl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blPr/>
      <w:tcPr>
        <w:tcBorders>
          <w:top w:val="nil"/>
          <w:left w:val="single" w:color="A6BFDD" w:themeColor="accent1" w:themeTint="80" w:sz="4" w:space="0"/>
          <w:bottom w:val="nil"/>
          <w:right w:val="nil"/>
        </w:tcBorders>
        <w:shd w:val="clear" w:color="FFFFFF" w:fill="auto"/>
      </w:tcPr>
    </w:tblStylePr>
    <w:tblStylePr w:type="band1Vert">
      <w:tblPr/>
      <w:tcPr>
        <w:shd w:val="clear" w:color="DBE5F1" w:themeColor="accent1" w:themeTint="34" w:fill="DBE5F1" w:themeFill="accent1" w:themeFillTint="34"/>
      </w:tcPr>
    </w:tblStylePr>
    <w:tblStylePr w:type="band2Vert">
      <w:tbl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bl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5">
    <w:name w:val="Grid Table 7 Colorful - Accent 2"/>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bl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bl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bl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blPr/>
      <w:tcPr>
        <w:tcBorders>
          <w:top w:val="nil"/>
          <w:left w:val="single" w:color="D99795" w:themeColor="accent2" w:themeTint="97" w:sz="4" w:space="0"/>
          <w:bottom w:val="nil"/>
          <w:right w:val="nil"/>
        </w:tcBorders>
        <w:shd w:val="clear" w:color="FFFFFF" w:fill="auto"/>
      </w:tcPr>
    </w:tblStylePr>
    <w:tblStylePr w:type="band1Vert">
      <w:tblPr/>
      <w:tcPr>
        <w:shd w:val="clear" w:color="F2DCDC" w:themeColor="accent2" w:themeTint="32" w:fill="F2DCDC" w:themeFill="accent2" w:themeFillTint="32"/>
      </w:tcPr>
    </w:tblStylePr>
    <w:tblStylePr w:type="band2Vert">
      <w:tbl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bl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6">
    <w:name w:val="Grid Table 7 Colorful - Accent 3"/>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bl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bl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bl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blPr/>
      <w:tcPr>
        <w:tcBorders>
          <w:top w:val="nil"/>
          <w:left w:val="single" w:color="9BBB59" w:themeColor="accent3" w:themeTint="FE" w:sz="4" w:space="0"/>
          <w:bottom w:val="nil"/>
          <w:right w:val="nil"/>
        </w:tcBorders>
        <w:shd w:val="clear" w:color="FFFFFF" w:fill="auto"/>
      </w:tcPr>
    </w:tblStylePr>
    <w:tblStylePr w:type="band1Vert">
      <w:tblPr/>
      <w:tcPr>
        <w:shd w:val="clear" w:color="EAF1DD" w:themeColor="accent3" w:themeTint="34" w:fill="EAF1DD" w:themeFill="accent3" w:themeFillTint="34"/>
      </w:tcPr>
    </w:tblStylePr>
    <w:tblStylePr w:type="band2Vert">
      <w:tblPr/>
    </w:tblStylePr>
    <w:tblStylePr w:type="band1Horz">
      <w:rPr>
        <w:rFonts w:ascii="Arial" w:hAnsi="Arial"/>
        <w:color w:val="9BBB59" w:themeColor="accent3" w:themeTint="FF"/>
        <w:sz w:val="22"/>
        <w14:textFill>
          <w14:solidFill>
            <w14:schemeClr w14:val="accent3">
              <w14:lumMod w14:val="100000"/>
              <w14:lumOff w14:val="0"/>
            </w14:schemeClr>
          </w14:solidFill>
        </w14:textFill>
      </w:rPr>
      <w:tbl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7">
    <w:name w:val="Grid Table 7 Colorful - Accent 4"/>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bl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bl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bl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blPr/>
      <w:tcPr>
        <w:tcBorders>
          <w:top w:val="nil"/>
          <w:left w:val="single" w:color="B2A1C6" w:themeColor="accent4" w:themeTint="9A" w:sz="4" w:space="0"/>
          <w:bottom w:val="nil"/>
          <w:right w:val="nil"/>
        </w:tcBorders>
        <w:shd w:val="clear" w:color="FFFFFF" w:fill="auto"/>
      </w:tcPr>
    </w:tblStylePr>
    <w:tblStylePr w:type="band1Vert">
      <w:tblPr/>
      <w:tcPr>
        <w:shd w:val="clear" w:color="E5DFEC" w:themeColor="accent4" w:themeTint="34" w:fill="E5DFEC" w:themeFill="accent4" w:themeFillTint="34"/>
      </w:tcPr>
    </w:tblStylePr>
    <w:tblStylePr w:type="band2Vert">
      <w:tbl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bl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8">
    <w:name w:val="Grid Table 7 Colorful - Accent 5"/>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bl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bl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bl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blPr/>
      <w:tcPr>
        <w:tcBorders>
          <w:top w:val="nil"/>
          <w:left w:val="single" w:color="99D0DE" w:themeColor="accent5" w:themeTint="90" w:sz="4" w:space="0"/>
          <w:bottom w:val="nil"/>
          <w:right w:val="nil"/>
        </w:tcBorders>
        <w:shd w:val="clear" w:color="FFFFFF" w:fill="auto"/>
      </w:tcPr>
    </w:tblStylePr>
    <w:tblStylePr w:type="band1Vert">
      <w:tblPr/>
      <w:tcPr>
        <w:shd w:val="clear" w:color="DAEEF3" w:themeColor="accent5" w:themeTint="34" w:fill="DAEEF3" w:themeFill="accent5" w:themeFillTint="34"/>
      </w:tcPr>
    </w:tblStylePr>
    <w:tblStylePr w:type="band2Vert">
      <w:tblPr/>
    </w:tblStylePr>
    <w:tblStylePr w:type="band1Horz">
      <w:rPr>
        <w:rFonts w:ascii="Arial" w:hAnsi="Arial"/>
        <w:color w:val="266778" w:themeColor="accent5" w:themeShade="94"/>
        <w:sz w:val="22"/>
      </w:rPr>
      <w:tblPr/>
      <w:tcPr>
        <w:shd w:val="clear" w:color="DAEEF3" w:themeColor="accent5" w:themeTint="34" w:fill="DAEEF3" w:themeFill="accent5" w:themeFillTint="34"/>
      </w:tcPr>
    </w:tblStylePr>
    <w:tblStylePr w:type="band2Horz">
      <w:rPr>
        <w:rFonts w:ascii="Arial" w:hAnsi="Arial"/>
        <w:color w:val="266778" w:themeColor="accent5" w:themeShade="94"/>
        <w:sz w:val="22"/>
      </w:rPr>
      <w:tblPr/>
    </w:tblStylePr>
    <w:tblStylePr w:type="neCell">
      <w:tblPr/>
    </w:tblStylePr>
    <w:tblStylePr w:type="nwCell">
      <w:tblPr/>
    </w:tblStylePr>
    <w:tblStylePr w:type="seCell">
      <w:tblPr/>
    </w:tblStylePr>
    <w:tblStylePr w:type="swCell">
      <w:tblPr/>
    </w:tblStylePr>
  </w:style>
  <w:style w:type="table" w:customStyle="1" w:styleId="109">
    <w:name w:val="Grid Table 7 Colorful - Accent 6"/>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bl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bl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bl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blPr/>
      <w:tcPr>
        <w:tcBorders>
          <w:top w:val="nil"/>
          <w:left w:val="single" w:color="FAC396" w:themeColor="accent6" w:themeTint="90" w:sz="4" w:space="0"/>
          <w:bottom w:val="nil"/>
          <w:right w:val="nil"/>
        </w:tcBorders>
        <w:shd w:val="clear" w:color="FFFFFF" w:fill="auto"/>
      </w:tcPr>
    </w:tblStylePr>
    <w:tblStylePr w:type="band1Vert">
      <w:tblPr/>
      <w:tcPr>
        <w:shd w:val="clear" w:color="FDE9D9" w:themeColor="accent6" w:themeTint="34" w:fill="FDE9D9" w:themeFill="accent6" w:themeFillTint="34"/>
      </w:tcPr>
    </w:tblStylePr>
    <w:tblStylePr w:type="band2Vert">
      <w:tblPr/>
    </w:tblStylePr>
    <w:tblStylePr w:type="band1Horz">
      <w:rPr>
        <w:rFonts w:ascii="Arial" w:hAnsi="Arial"/>
        <w:color w:val="B05408" w:themeColor="accent6" w:themeShade="94"/>
        <w:sz w:val="22"/>
      </w:rPr>
      <w:tblPr/>
      <w:tcPr>
        <w:shd w:val="clear" w:color="FDE9D9" w:themeColor="accent6" w:themeTint="34" w:fill="FDE9D9" w:themeFill="accent6" w:themeFillTint="34"/>
      </w:tcPr>
    </w:tblStylePr>
    <w:tblStylePr w:type="band2Horz">
      <w:rPr>
        <w:rFonts w:ascii="Arial" w:hAnsi="Arial"/>
        <w:color w:val="B05408" w:themeColor="accent6" w:themeShade="94"/>
        <w:sz w:val="22"/>
      </w:rPr>
      <w:tblPr/>
    </w:tblStylePr>
    <w:tblStylePr w:type="neCell">
      <w:tblPr/>
    </w:tblStylePr>
    <w:tblStylePr w:type="nwCell">
      <w:tblPr/>
    </w:tblStylePr>
    <w:tblStylePr w:type="seCell">
      <w:tblPr/>
    </w:tblStylePr>
    <w:tblStylePr w:type="swCell">
      <w:tblPr/>
    </w:tblStylePr>
  </w:style>
  <w:style w:type="table" w:customStyle="1" w:styleId="110">
    <w:name w:val="List Table 1 Light"/>
    <w:uiPriority w:val="99"/>
    <w:pPr>
      <w:spacing w:after="0" w:line="240" w:lineRule="auto"/>
    </w:pPr>
    <w:tblPr/>
    <w:tblStylePr w:type="firstRow">
      <w:rPr>
        <w:b/>
        <w:color w:val="404040"/>
      </w:rPr>
      <w:tblPr/>
      <w:tcPr>
        <w:tcBorders>
          <w:top w:val="nil"/>
          <w:left w:val="nil"/>
          <w:bottom w:val="single" w:color="000000" w:themeColor="text1" w:sz="4" w:space="0"/>
          <w:right w:val="nil"/>
        </w:tcBorders>
      </w:tcPr>
    </w:tblStylePr>
    <w:tblStylePr w:type="lastRow">
      <w:rPr>
        <w:b/>
        <w:color w:val="404040"/>
      </w:rPr>
      <w:tblPr/>
      <w:tcPr>
        <w:tcBorders>
          <w:top w:val="single" w:color="000000" w:themeColor="text1"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BEBEBE" w:themeColor="text1" w:themeTint="40" w:fill="BEBEBE" w:themeFill="text1" w:themeFillTint="40"/>
      </w:tcPr>
    </w:tblStylePr>
    <w:tblStylePr w:type="band2Vert">
      <w:tblPr/>
    </w:tblStylePr>
    <w:tblStylePr w:type="band1Horz">
      <w:tblPr/>
      <w:tcPr>
        <w:shd w:val="clear" w:color="BEBEBE" w:themeColor="text1" w:themeTint="40" w:fill="BEBEBE" w:themeFill="tex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1">
    <w:name w:val="List Table 1 Light - Accent 1"/>
    <w:uiPriority w:val="99"/>
    <w:pPr>
      <w:spacing w:after="0" w:line="240" w:lineRule="auto"/>
    </w:pPr>
    <w:tblPr/>
    <w:tblStylePr w:type="firstRow">
      <w:rPr>
        <w:b/>
        <w:color w:val="404040"/>
      </w:rPr>
      <w:tblPr/>
      <w:tcPr>
        <w:tcBorders>
          <w:top w:val="nil"/>
          <w:left w:val="nil"/>
          <w:bottom w:val="single" w:color="4F81BD" w:themeColor="accent1" w:sz="4" w:space="0"/>
          <w:right w:val="nil"/>
        </w:tcBorders>
      </w:tcPr>
    </w:tblStylePr>
    <w:tblStylePr w:type="lastRow">
      <w:rPr>
        <w:b/>
        <w:color w:val="404040"/>
      </w:rPr>
      <w:tblPr/>
      <w:tcPr>
        <w:tcBorders>
          <w:top w:val="single" w:color="4F81BD" w:themeColor="accent1"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D2DFEE" w:themeColor="accent1" w:themeTint="40" w:fill="D2DFEE" w:themeFill="accent1" w:themeFillTint="40"/>
      </w:tcPr>
    </w:tblStylePr>
    <w:tblStylePr w:type="band2Vert">
      <w:tblPr/>
    </w:tblStylePr>
    <w:tblStylePr w:type="band1Horz">
      <w:tblPr/>
      <w:tcPr>
        <w:shd w:val="clear" w:color="D2DFEE" w:themeColor="accent1" w:themeTint="40" w:fill="D2DFEE" w:themeFill="accen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2">
    <w:name w:val="List Table 1 Light - Accent 2"/>
    <w:uiPriority w:val="99"/>
    <w:pPr>
      <w:spacing w:after="0" w:line="240" w:lineRule="auto"/>
    </w:pPr>
    <w:tblPr/>
    <w:tblStylePr w:type="firstRow">
      <w:rPr>
        <w:b/>
        <w:color w:val="404040"/>
      </w:rPr>
      <w:tblPr/>
      <w:tcPr>
        <w:tcBorders>
          <w:top w:val="nil"/>
          <w:left w:val="nil"/>
          <w:bottom w:val="single" w:color="C0504D" w:themeColor="accent2" w:sz="4" w:space="0"/>
          <w:right w:val="nil"/>
        </w:tcBorders>
      </w:tcPr>
    </w:tblStylePr>
    <w:tblStylePr w:type="lastRow">
      <w:rPr>
        <w:b/>
        <w:color w:val="404040"/>
      </w:rPr>
      <w:tblPr/>
      <w:tcPr>
        <w:tcBorders>
          <w:top w:val="single" w:color="C0504D" w:themeColor="accent2"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EFD3D2" w:themeColor="accent2" w:themeTint="40" w:fill="EFD3D2" w:themeFill="accent2" w:themeFillTint="40"/>
      </w:tcPr>
    </w:tblStylePr>
    <w:tblStylePr w:type="band2Vert">
      <w:tblPr/>
    </w:tblStylePr>
    <w:tblStylePr w:type="band1Horz">
      <w:tblPr/>
      <w:tcPr>
        <w:shd w:val="clear" w:color="EFD3D2" w:themeColor="accent2" w:themeTint="40" w:fill="EFD3D2" w:themeFill="accent2"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3">
    <w:name w:val="List Table 1 Light - Accent 3"/>
    <w:uiPriority w:val="99"/>
    <w:pPr>
      <w:spacing w:after="0" w:line="240" w:lineRule="auto"/>
    </w:pPr>
    <w:tblPr/>
    <w:tblStylePr w:type="firstRow">
      <w:rPr>
        <w:b/>
        <w:color w:val="404040"/>
      </w:rPr>
      <w:tblPr/>
      <w:tcPr>
        <w:tcBorders>
          <w:top w:val="nil"/>
          <w:left w:val="nil"/>
          <w:bottom w:val="single" w:color="9BBB59" w:themeColor="accent3" w:sz="4" w:space="0"/>
          <w:right w:val="nil"/>
        </w:tcBorders>
      </w:tcPr>
    </w:tblStylePr>
    <w:tblStylePr w:type="lastRow">
      <w:rPr>
        <w:b/>
        <w:color w:val="404040"/>
      </w:rPr>
      <w:tblPr/>
      <w:tcPr>
        <w:tcBorders>
          <w:top w:val="single" w:color="9BBB59" w:themeColor="accent3"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E5EDD5" w:themeColor="accent3" w:themeTint="40" w:fill="E5EDD5" w:themeFill="accent3" w:themeFillTint="40"/>
      </w:tcPr>
    </w:tblStylePr>
    <w:tblStylePr w:type="band2Vert">
      <w:tblPr/>
    </w:tblStylePr>
    <w:tblStylePr w:type="band1Horz">
      <w:tblPr/>
      <w:tcPr>
        <w:shd w:val="clear" w:color="E5EDD5" w:themeColor="accent3" w:themeTint="40" w:fill="E5EDD5" w:themeFill="accent3"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4">
    <w:name w:val="List Table 1 Light - Accent 4"/>
    <w:uiPriority w:val="99"/>
    <w:pPr>
      <w:spacing w:after="0" w:line="240" w:lineRule="auto"/>
    </w:pPr>
    <w:tblPr/>
    <w:tblStylePr w:type="firstRow">
      <w:rPr>
        <w:b/>
        <w:color w:val="404040"/>
      </w:rPr>
      <w:tblPr/>
      <w:tcPr>
        <w:tcBorders>
          <w:top w:val="nil"/>
          <w:left w:val="nil"/>
          <w:bottom w:val="single" w:color="8064A2" w:themeColor="accent4" w:sz="4" w:space="0"/>
          <w:right w:val="nil"/>
        </w:tcBorders>
      </w:tcPr>
    </w:tblStylePr>
    <w:tblStylePr w:type="lastRow">
      <w:rPr>
        <w:b/>
        <w:color w:val="404040"/>
      </w:rPr>
      <w:tblPr/>
      <w:tcPr>
        <w:tcBorders>
          <w:top w:val="single" w:color="8064A2" w:themeColor="accent4"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DFD8E7" w:themeColor="accent4" w:themeTint="40" w:fill="DFD8E7" w:themeFill="accent4" w:themeFillTint="40"/>
      </w:tcPr>
    </w:tblStylePr>
    <w:tblStylePr w:type="band2Vert">
      <w:tblPr/>
    </w:tblStylePr>
    <w:tblStylePr w:type="band1Horz">
      <w:tblPr/>
      <w:tcPr>
        <w:shd w:val="clear" w:color="DFD8E7" w:themeColor="accent4" w:themeTint="40" w:fill="DFD8E7" w:themeFill="accent4"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5">
    <w:name w:val="List Table 1 Light - Accent 5"/>
    <w:uiPriority w:val="99"/>
    <w:pPr>
      <w:spacing w:after="0" w:line="240" w:lineRule="auto"/>
    </w:pPr>
    <w:tblPr/>
    <w:tblStylePr w:type="firstRow">
      <w:rPr>
        <w:b/>
        <w:color w:val="404040"/>
      </w:rPr>
      <w:tblPr/>
      <w:tcPr>
        <w:tcBorders>
          <w:top w:val="nil"/>
          <w:left w:val="nil"/>
          <w:bottom w:val="single" w:color="4BACC6" w:themeColor="accent5" w:sz="4" w:space="0"/>
          <w:right w:val="nil"/>
        </w:tcBorders>
      </w:tcPr>
    </w:tblStylePr>
    <w:tblStylePr w:type="lastRow">
      <w:rPr>
        <w:b/>
        <w:color w:val="404040"/>
      </w:rPr>
      <w:tblPr/>
      <w:tcPr>
        <w:tcBorders>
          <w:top w:val="single" w:color="4BACC6" w:themeColor="accent5"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D1EAF0" w:themeColor="accent5" w:themeTint="40" w:fill="D1EAF0" w:themeFill="accent5" w:themeFillTint="40"/>
      </w:tcPr>
    </w:tblStylePr>
    <w:tblStylePr w:type="band2Vert">
      <w:tblPr/>
    </w:tblStylePr>
    <w:tblStylePr w:type="band1Horz">
      <w:tblPr/>
      <w:tcPr>
        <w:shd w:val="clear" w:color="D1EAF0" w:themeColor="accent5" w:themeTint="40" w:fill="D1EAF0" w:themeFill="accent5"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6">
    <w:name w:val="List Table 1 Light - Accent 6"/>
    <w:uiPriority w:val="99"/>
    <w:pPr>
      <w:spacing w:after="0" w:line="240" w:lineRule="auto"/>
    </w:pPr>
    <w:tblPr/>
    <w:tblStylePr w:type="firstRow">
      <w:rPr>
        <w:b/>
        <w:color w:val="404040"/>
      </w:rPr>
      <w:tblPr/>
      <w:tcPr>
        <w:tcBorders>
          <w:top w:val="nil"/>
          <w:left w:val="nil"/>
          <w:bottom w:val="single" w:color="F79646" w:themeColor="accent6" w:sz="4" w:space="0"/>
          <w:right w:val="nil"/>
        </w:tcBorders>
      </w:tcPr>
    </w:tblStylePr>
    <w:tblStylePr w:type="lastRow">
      <w:rPr>
        <w:b/>
        <w:color w:val="404040"/>
      </w:rPr>
      <w:tblPr/>
      <w:tcPr>
        <w:tcBorders>
          <w:top w:val="single" w:color="F79646" w:themeColor="accent6"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FCE4D0" w:themeColor="accent6" w:themeTint="40" w:fill="FCE4D0" w:themeFill="accent6" w:themeFillTint="40"/>
      </w:tcPr>
    </w:tblStylePr>
    <w:tblStylePr w:type="band2Vert">
      <w:tblPr/>
    </w:tblStylePr>
    <w:tblStylePr w:type="band1Horz">
      <w:tblPr/>
      <w:tcPr>
        <w:shd w:val="clear" w:color="FCE4D0" w:themeColor="accent6" w:themeTint="40" w:fill="FCE4D0" w:themeFill="accent6"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7">
    <w:name w:val="List Table 2"/>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bl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bl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BEBEBE" w:themeColor="text1" w:themeTint="40" w:fill="BEBEBE" w:themeFill="text1" w:themeFillTint="40"/>
      </w:tcPr>
    </w:tblStylePr>
    <w:tblStylePr w:type="band2Vert">
      <w:tblPr/>
    </w:tblStylePr>
    <w:tblStylePr w:type="band1Horz">
      <w:rPr>
        <w:rFonts w:ascii="Arial" w:hAnsi="Arial"/>
        <w:color w:val="404040"/>
        <w:sz w:val="22"/>
      </w:rPr>
      <w:tblPr/>
      <w:tcPr>
        <w:shd w:val="clear" w:color="BEBEBE" w:themeColor="text1" w:themeTint="40" w:fill="BEBEBE" w:themeFill="tex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8">
    <w:name w:val="List Table 2 - Accent 1"/>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bl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bl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D2DFEE" w:themeColor="accent1" w:themeTint="40" w:fill="D2DFEE" w:themeFill="accent1" w:themeFillTint="40"/>
      </w:tcPr>
    </w:tblStylePr>
    <w:tblStylePr w:type="band2Vert">
      <w:tblPr/>
    </w:tblStylePr>
    <w:tblStylePr w:type="band1Horz">
      <w:rPr>
        <w:rFonts w:ascii="Arial" w:hAnsi="Arial"/>
        <w:color w:val="404040"/>
        <w:sz w:val="22"/>
      </w:rPr>
      <w:tblPr/>
      <w:tcPr>
        <w:shd w:val="clear" w:color="D2DFEE" w:themeColor="accent1" w:themeTint="40" w:fill="D2DFEE" w:themeFill="accen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9">
    <w:name w:val="List Table 2 - Accent 2"/>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bl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bl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EFD3D2" w:themeColor="accent2" w:themeTint="40" w:fill="EFD3D2" w:themeFill="accent2" w:themeFillTint="40"/>
      </w:tcPr>
    </w:tblStylePr>
    <w:tblStylePr w:type="band2Vert">
      <w:tblPr/>
    </w:tblStylePr>
    <w:tblStylePr w:type="band1Horz">
      <w:rPr>
        <w:rFonts w:ascii="Arial" w:hAnsi="Arial"/>
        <w:color w:val="404040"/>
        <w:sz w:val="22"/>
      </w:rPr>
      <w:tblPr/>
      <w:tcPr>
        <w:shd w:val="clear" w:color="EFD3D2" w:themeColor="accent2" w:themeTint="40" w:fill="EFD3D2" w:themeFill="accent2"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0">
    <w:name w:val="List Table 2 - Accent 3"/>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bl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bl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E5EDD5" w:themeColor="accent3" w:themeTint="40" w:fill="E5EDD5" w:themeFill="accent3" w:themeFillTint="40"/>
      </w:tcPr>
    </w:tblStylePr>
    <w:tblStylePr w:type="band2Vert">
      <w:tblPr/>
    </w:tblStylePr>
    <w:tblStylePr w:type="band1Horz">
      <w:rPr>
        <w:rFonts w:ascii="Arial" w:hAnsi="Arial"/>
        <w:color w:val="404040"/>
        <w:sz w:val="22"/>
      </w:rPr>
      <w:tblPr/>
      <w:tcPr>
        <w:shd w:val="clear" w:color="E5EDD5" w:themeColor="accent3" w:themeTint="40" w:fill="E5EDD5" w:themeFill="accent3"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1">
    <w:name w:val="List Table 2 - Accent 4"/>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bl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bl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DFD8E7" w:themeColor="accent4" w:themeTint="40" w:fill="DFD8E7" w:themeFill="accent4" w:themeFillTint="40"/>
      </w:tcPr>
    </w:tblStylePr>
    <w:tblStylePr w:type="band2Vert">
      <w:tblPr/>
    </w:tblStylePr>
    <w:tblStylePr w:type="band1Horz">
      <w:rPr>
        <w:rFonts w:ascii="Arial" w:hAnsi="Arial"/>
        <w:color w:val="404040"/>
        <w:sz w:val="22"/>
      </w:rPr>
      <w:tblPr/>
      <w:tcPr>
        <w:shd w:val="clear" w:color="DFD8E7" w:themeColor="accent4" w:themeTint="40" w:fill="DFD8E7" w:themeFill="accent4"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2">
    <w:name w:val="List Table 2 - Accent 5"/>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bl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bl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D1EAF0" w:themeColor="accent5" w:themeTint="40" w:fill="D1EAF0" w:themeFill="accent5" w:themeFillTint="40"/>
      </w:tcPr>
    </w:tblStylePr>
    <w:tblStylePr w:type="band2Vert">
      <w:tblPr/>
    </w:tblStylePr>
    <w:tblStylePr w:type="band1Horz">
      <w:rPr>
        <w:rFonts w:ascii="Arial" w:hAnsi="Arial"/>
        <w:color w:val="404040"/>
        <w:sz w:val="22"/>
      </w:rPr>
      <w:tblPr/>
      <w:tcPr>
        <w:shd w:val="clear" w:color="D1EAF0" w:themeColor="accent5" w:themeTint="40" w:fill="D1EAF0" w:themeFill="accent5"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3">
    <w:name w:val="List Table 2 - Accent 6"/>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bl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bl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FCE4D0" w:themeColor="accent6" w:themeTint="40" w:fill="FCE4D0" w:themeFill="accent6" w:themeFillTint="40"/>
      </w:tcPr>
    </w:tblStylePr>
    <w:tblStylePr w:type="band2Vert">
      <w:tblPr/>
    </w:tblStylePr>
    <w:tblStylePr w:type="band1Horz">
      <w:rPr>
        <w:rFonts w:ascii="Arial" w:hAnsi="Arial"/>
        <w:color w:val="404040"/>
        <w:sz w:val="22"/>
      </w:rPr>
      <w:tblPr/>
      <w:tcPr>
        <w:shd w:val="clear" w:color="FCE4D0" w:themeColor="accent6" w:themeTint="40" w:fill="FCE4D0" w:themeFill="accent6"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4">
    <w:name w:val="List Table 3"/>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000000" w:themeColor="text1" w:sz="4" w:space="0"/>
          <w:right w:val="single" w:color="000000" w:themeColor="text1" w:sz="4" w:space="0"/>
        </w:tcBorders>
      </w:tcPr>
    </w:tblStylePr>
    <w:tblStylePr w:type="band2Vert">
      <w:tblPr/>
    </w:tblStylePr>
    <w:tblStylePr w:type="band1Horz">
      <w:rPr>
        <w:rFonts w:ascii="Arial" w:hAnsi="Arial"/>
        <w:color w:val="404040"/>
        <w:sz w:val="22"/>
      </w:rPr>
      <w:tblPr/>
      <w:tcPr>
        <w:tcBorders>
          <w:top w:val="single" w:color="000000" w:themeColor="text1" w:sz="4" w:space="0"/>
          <w:bottom w:val="single" w:color="000000" w:themeColor="text1"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5">
    <w:name w:val="List Table 3 - Accent 1"/>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4F81BD" w:themeColor="accent1" w:sz="4" w:space="0"/>
          <w:right w:val="single" w:color="4F81BD" w:themeColor="accent1" w:sz="4" w:space="0"/>
        </w:tcBorders>
      </w:tcPr>
    </w:tblStylePr>
    <w:tblStylePr w:type="band2Vert">
      <w:tblPr/>
    </w:tblStylePr>
    <w:tblStylePr w:type="band1Horz">
      <w:rPr>
        <w:rFonts w:ascii="Arial" w:hAnsi="Arial"/>
        <w:color w:val="404040"/>
        <w:sz w:val="22"/>
      </w:rPr>
      <w:tblPr/>
      <w:tcPr>
        <w:tcBorders>
          <w:top w:val="single" w:color="4F81BD" w:themeColor="accent1" w:sz="4" w:space="0"/>
          <w:bottom w:val="single" w:color="4F81BD" w:themeColor="accent1"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6">
    <w:name w:val="List Table 3 - Accent 2"/>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blPr/>
      <w:tcPr>
        <w:shd w:val="clear" w:color="D99795" w:themeColor="accent2" w:themeTint="97" w:fill="D99795" w:themeFill="accent2" w:themeFillTint="97"/>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D99795" w:themeColor="accent2" w:themeTint="97" w:sz="4" w:space="0"/>
          <w:right w:val="single" w:color="D99795" w:themeColor="accent2" w:themeTint="97" w:sz="4" w:space="0"/>
        </w:tcBorders>
      </w:tcPr>
    </w:tblStylePr>
    <w:tblStylePr w:type="band2Vert">
      <w:tblPr/>
    </w:tblStylePr>
    <w:tblStylePr w:type="band1Horz">
      <w:rPr>
        <w:rFonts w:ascii="Arial" w:hAnsi="Arial"/>
        <w:color w:val="404040"/>
        <w:sz w:val="22"/>
      </w:rPr>
      <w:tblPr/>
      <w:tcPr>
        <w:tcBorders>
          <w:top w:val="single" w:color="D99795" w:themeColor="accent2" w:themeTint="97" w:sz="4" w:space="0"/>
          <w:bottom w:val="single" w:color="D99795" w:themeColor="accent2" w:themeTint="9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7">
    <w:name w:val="List Table 3 - Accent 3"/>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blPr/>
      <w:tcPr>
        <w:shd w:val="clear" w:color="C3D69C" w:themeColor="accent3" w:themeTint="98" w:fill="C3D69C" w:themeFill="accent3" w:themeFillTint="98"/>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C3D69C" w:themeColor="accent3" w:themeTint="98" w:sz="4" w:space="0"/>
          <w:right w:val="single" w:color="C3D69C" w:themeColor="accent3" w:themeTint="98" w:sz="4" w:space="0"/>
        </w:tcBorders>
      </w:tcPr>
    </w:tblStylePr>
    <w:tblStylePr w:type="band2Vert">
      <w:tblPr/>
    </w:tblStylePr>
    <w:tblStylePr w:type="band1Horz">
      <w:rPr>
        <w:rFonts w:ascii="Arial" w:hAnsi="Arial"/>
        <w:color w:val="404040"/>
        <w:sz w:val="22"/>
      </w:rPr>
      <w:tblPr/>
      <w:tcPr>
        <w:tcBorders>
          <w:top w:val="single" w:color="C3D69C" w:themeColor="accent3" w:themeTint="98" w:sz="4" w:space="0"/>
          <w:bottom w:val="single" w:color="C3D69C" w:themeColor="accent3" w:themeTint="98"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8">
    <w:name w:val="List Table 3 - Accent 4"/>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B2A1C6" w:themeColor="accent4" w:themeTint="9A" w:sz="4" w:space="0"/>
          <w:right w:val="single" w:color="B2A1C6" w:themeColor="accent4" w:themeTint="9A" w:sz="4" w:space="0"/>
        </w:tcBorders>
      </w:tcPr>
    </w:tblStylePr>
    <w:tblStylePr w:type="band2Vert">
      <w:tblPr/>
    </w:tblStylePr>
    <w:tblStylePr w:type="band1Horz">
      <w:rPr>
        <w:rFonts w:ascii="Arial" w:hAnsi="Arial"/>
        <w:color w:val="404040"/>
        <w:sz w:val="22"/>
      </w:rPr>
      <w:tblPr/>
      <w:tcPr>
        <w:tcBorders>
          <w:top w:val="single" w:color="B2A1C6" w:themeColor="accent4" w:themeTint="9A" w:sz="4" w:space="0"/>
          <w:bottom w:val="single" w:color="B2A1C6" w:themeColor="accent4" w:themeTint="9A"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9">
    <w:name w:val="List Table 3 - Accent 5"/>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92CCDC" w:themeColor="accent5" w:themeTint="9A" w:sz="4" w:space="0"/>
          <w:right w:val="single" w:color="92CCDC" w:themeColor="accent5" w:themeTint="9A" w:sz="4" w:space="0"/>
        </w:tcBorders>
      </w:tcPr>
    </w:tblStylePr>
    <w:tblStylePr w:type="band2Vert">
      <w:tblPr/>
    </w:tblStylePr>
    <w:tblStylePr w:type="band1Horz">
      <w:rPr>
        <w:rFonts w:ascii="Arial" w:hAnsi="Arial"/>
        <w:color w:val="404040"/>
        <w:sz w:val="22"/>
      </w:rPr>
      <w:tblPr/>
      <w:tcPr>
        <w:tcBorders>
          <w:top w:val="single" w:color="92CCDC" w:themeColor="accent5" w:themeTint="9A" w:sz="4" w:space="0"/>
          <w:bottom w:val="single" w:color="92CCDC" w:themeColor="accent5" w:themeTint="9A"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0">
    <w:name w:val="List Table 3 - Accent 6"/>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FAC090" w:themeColor="accent6" w:themeTint="98" w:sz="4" w:space="0"/>
          <w:right w:val="single" w:color="FAC090" w:themeColor="accent6" w:themeTint="98" w:sz="4" w:space="0"/>
        </w:tcBorders>
      </w:tcPr>
    </w:tblStylePr>
    <w:tblStylePr w:type="band2Vert">
      <w:tblPr/>
    </w:tblStylePr>
    <w:tblStylePr w:type="band1Horz">
      <w:rPr>
        <w:rFonts w:ascii="Arial" w:hAnsi="Arial"/>
        <w:color w:val="404040"/>
        <w:sz w:val="22"/>
      </w:rPr>
      <w:tblPr/>
      <w:tcPr>
        <w:tcBorders>
          <w:top w:val="single" w:color="FAC090" w:themeColor="accent6" w:themeTint="98" w:sz="4" w:space="0"/>
          <w:bottom w:val="single" w:color="FAC090" w:themeColor="accent6" w:themeTint="98"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1">
    <w:name w:val="List Table 4"/>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BEBEBE" w:themeColor="text1" w:themeTint="40" w:fill="BEBEBE" w:themeFill="text1" w:themeFillTint="40"/>
      </w:tcPr>
    </w:tblStylePr>
    <w:tblStylePr w:type="band2Vert">
      <w:tblPr/>
    </w:tblStylePr>
    <w:tblStylePr w:type="band1Horz">
      <w:rPr>
        <w:rFonts w:ascii="Arial" w:hAnsi="Arial"/>
        <w:color w:val="404040"/>
        <w:sz w:val="22"/>
      </w:rPr>
      <w:tblPr/>
      <w:tcPr>
        <w:shd w:val="clear" w:color="BEBEBE" w:themeColor="text1" w:themeTint="40" w:fill="BEBEBE" w:themeFill="tex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2">
    <w:name w:val="List Table 4 - Accent 1"/>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2DFEE" w:themeColor="accent1" w:themeTint="40" w:fill="D2DFEE" w:themeFill="accent1" w:themeFillTint="40"/>
      </w:tcPr>
    </w:tblStylePr>
    <w:tblStylePr w:type="band2Vert">
      <w:tblPr/>
    </w:tblStylePr>
    <w:tblStylePr w:type="band1Horz">
      <w:rPr>
        <w:rFonts w:ascii="Arial" w:hAnsi="Arial"/>
        <w:color w:val="404040"/>
        <w:sz w:val="22"/>
      </w:rPr>
      <w:tblPr/>
      <w:tcPr>
        <w:shd w:val="clear" w:color="D2DFEE" w:themeColor="accent1" w:themeTint="40" w:fill="D2DFEE" w:themeFill="accen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3">
    <w:name w:val="List Table 4 - Accent 2"/>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FD3D2" w:themeColor="accent2" w:themeTint="40" w:fill="EFD3D2" w:themeFill="accent2" w:themeFillTint="40"/>
      </w:tcPr>
    </w:tblStylePr>
    <w:tblStylePr w:type="band2Vert">
      <w:tblPr/>
    </w:tblStylePr>
    <w:tblStylePr w:type="band1Horz">
      <w:rPr>
        <w:rFonts w:ascii="Arial" w:hAnsi="Arial"/>
        <w:color w:val="404040"/>
        <w:sz w:val="22"/>
      </w:rPr>
      <w:tblPr/>
      <w:tcPr>
        <w:shd w:val="clear" w:color="EFD3D2" w:themeColor="accent2" w:themeTint="40" w:fill="EFD3D2" w:themeFill="accent2"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4">
    <w:name w:val="List Table 4 - Accent 3"/>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5EDD5" w:themeColor="accent3" w:themeTint="40" w:fill="E5EDD5" w:themeFill="accent3" w:themeFillTint="40"/>
      </w:tcPr>
    </w:tblStylePr>
    <w:tblStylePr w:type="band2Vert">
      <w:tblPr/>
    </w:tblStylePr>
    <w:tblStylePr w:type="band1Horz">
      <w:rPr>
        <w:rFonts w:ascii="Arial" w:hAnsi="Arial"/>
        <w:color w:val="404040"/>
        <w:sz w:val="22"/>
      </w:rPr>
      <w:tblPr/>
      <w:tcPr>
        <w:shd w:val="clear" w:color="E5EDD5" w:themeColor="accent3" w:themeTint="40" w:fill="E5EDD5" w:themeFill="accent3"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5">
    <w:name w:val="List Table 4 - Accent 4"/>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FD8E7" w:themeColor="accent4" w:themeTint="40" w:fill="DFD8E7" w:themeFill="accent4" w:themeFillTint="40"/>
      </w:tcPr>
    </w:tblStylePr>
    <w:tblStylePr w:type="band2Vert">
      <w:tblPr/>
    </w:tblStylePr>
    <w:tblStylePr w:type="band1Horz">
      <w:rPr>
        <w:rFonts w:ascii="Arial" w:hAnsi="Arial"/>
        <w:color w:val="404040"/>
        <w:sz w:val="22"/>
      </w:rPr>
      <w:tblPr/>
      <w:tcPr>
        <w:shd w:val="clear" w:color="DFD8E7" w:themeColor="accent4" w:themeTint="40" w:fill="DFD8E7" w:themeFill="accent4"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6">
    <w:name w:val="List Table 4 - Accent 5"/>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1EAF0" w:themeColor="accent5" w:themeTint="40" w:fill="D1EAF0" w:themeFill="accent5" w:themeFillTint="40"/>
      </w:tcPr>
    </w:tblStylePr>
    <w:tblStylePr w:type="band2Vert">
      <w:tblPr/>
    </w:tblStylePr>
    <w:tblStylePr w:type="band1Horz">
      <w:rPr>
        <w:rFonts w:ascii="Arial" w:hAnsi="Arial"/>
        <w:color w:val="404040"/>
        <w:sz w:val="22"/>
      </w:rPr>
      <w:tblPr/>
      <w:tcPr>
        <w:shd w:val="clear" w:color="D1EAF0" w:themeColor="accent5" w:themeTint="40" w:fill="D1EAF0" w:themeFill="accent5"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7">
    <w:name w:val="List Table 4 - Accent 6"/>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CE4D0" w:themeColor="accent6" w:themeTint="40" w:fill="FCE4D0" w:themeFill="accent6" w:themeFillTint="40"/>
      </w:tcPr>
    </w:tblStylePr>
    <w:tblStylePr w:type="band2Vert">
      <w:tblPr/>
    </w:tblStylePr>
    <w:tblStylePr w:type="band1Horz">
      <w:rPr>
        <w:rFonts w:ascii="Arial" w:hAnsi="Arial"/>
        <w:color w:val="404040"/>
        <w:sz w:val="22"/>
      </w:rPr>
      <w:tblPr/>
      <w:tcPr>
        <w:shd w:val="clear" w:color="FCE4D0" w:themeColor="accent6" w:themeTint="40" w:fill="FCE4D0" w:themeFill="accent6"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8">
    <w:name w:val="List Table 5 Dark"/>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bl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7E7E7E" w:themeColor="text1" w:themeTint="80" w:sz="32" w:space="0"/>
          <w:right w:val="single" w:color="FFFFFF" w:themeColor="light1" w:sz="4" w:space="0"/>
        </w:tcBorders>
      </w:tcPr>
    </w:tblStylePr>
    <w:tblStylePr w:type="lastCol">
      <w:tblPr/>
      <w:tcPr>
        <w:tcBorders>
          <w:left w:val="single" w:color="FFFFFF" w:themeColor="light1" w:sz="4" w:space="0"/>
          <w:right w:val="single" w:color="7E7E7E" w:themeColor="text1" w:themeTint="80" w:sz="32" w:space="0"/>
        </w:tcBorders>
      </w:tcPr>
    </w:tblStylePr>
    <w:tblStylePr w:type="band1Vert">
      <w:tblPr/>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blPr/>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Pr/>
    </w:tblStylePr>
    <w:tblStylePr w:type="nwCell">
      <w:tblPr/>
    </w:tblStylePr>
    <w:tblStylePr w:type="seCell">
      <w:tblPr/>
    </w:tblStylePr>
    <w:tblStylePr w:type="swCell">
      <w:tblPr/>
    </w:tblStylePr>
  </w:style>
  <w:style w:type="table" w:customStyle="1" w:styleId="139">
    <w:name w:val="List Table 5 Dark - Accent 1"/>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bl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4F81BD" w:themeColor="accent1" w:sz="32" w:space="0"/>
          <w:right w:val="single" w:color="FFFFFF" w:themeColor="light1" w:sz="4" w:space="0"/>
        </w:tcBorders>
      </w:tcPr>
    </w:tblStylePr>
    <w:tblStylePr w:type="lastCol">
      <w:tblPr/>
      <w:tcPr>
        <w:tcBorders>
          <w:left w:val="single" w:color="FFFFFF" w:themeColor="light1" w:sz="4" w:space="0"/>
          <w:right w:val="single" w:color="4F81BD" w:themeColor="accent1" w:sz="32" w:space="0"/>
        </w:tcBorders>
      </w:tcPr>
    </w:tblStylePr>
    <w:tblStylePr w:type="band1Vert">
      <w:tblPr/>
      <w:tcPr>
        <w:tcBorders>
          <w:left w:val="single" w:color="FFFFFF" w:themeColor="light1" w:sz="4" w:space="0"/>
          <w:right w:val="single" w:color="FFFFFF" w:themeColor="light1" w:sz="4" w:space="0"/>
        </w:tcBorders>
        <w:shd w:val="clear" w:color="4F81BD" w:themeColor="accent1" w:fill="4F81BD"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4F81BD" w:themeColor="accent1" w:fill="4F81BD" w:themeFill="accent1"/>
      </w:tcPr>
    </w:tblStylePr>
    <w:tblStylePr w:type="band2Horz">
      <w:tblPr/>
      <w:tcPr>
        <w:tcBorders>
          <w:top w:val="single" w:color="FFFFFF" w:themeColor="light1" w:sz="4" w:space="0"/>
          <w:bottom w:val="single" w:color="FFFFFF" w:themeColor="light1" w:sz="4" w:space="0"/>
        </w:tcBorders>
        <w:shd w:val="clear" w:color="4F81BD" w:themeColor="accent1" w:fill="4F81BD" w:themeFill="accent1"/>
      </w:tcPr>
    </w:tblStylePr>
    <w:tblStylePr w:type="neCell">
      <w:tblPr/>
    </w:tblStylePr>
    <w:tblStylePr w:type="nwCell">
      <w:tblPr/>
    </w:tblStylePr>
    <w:tblStylePr w:type="seCell">
      <w:tblPr/>
    </w:tblStylePr>
    <w:tblStylePr w:type="swCell">
      <w:tblPr/>
    </w:tblStylePr>
  </w:style>
  <w:style w:type="table" w:customStyle="1" w:styleId="140">
    <w:name w:val="List Table 5 Dark - Accent 2"/>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bl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D99795" w:themeColor="accent2" w:themeTint="97" w:sz="32" w:space="0"/>
          <w:right w:val="single" w:color="FFFFFF" w:themeColor="light1" w:sz="4" w:space="0"/>
        </w:tcBorders>
      </w:tcPr>
    </w:tblStylePr>
    <w:tblStylePr w:type="lastCol">
      <w:tblPr/>
      <w:tcPr>
        <w:tcBorders>
          <w:left w:val="single" w:color="FFFFFF" w:themeColor="light1" w:sz="4" w:space="0"/>
          <w:right w:val="single" w:color="D99795" w:themeColor="accent2" w:themeTint="97" w:sz="32" w:space="0"/>
        </w:tcBorders>
      </w:tcPr>
    </w:tblStylePr>
    <w:tblStylePr w:type="band1Vert">
      <w:tblPr/>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blPr/>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neCell">
      <w:tblPr/>
    </w:tblStylePr>
    <w:tblStylePr w:type="nwCell">
      <w:tblPr/>
    </w:tblStylePr>
    <w:tblStylePr w:type="seCell">
      <w:tblPr/>
    </w:tblStylePr>
    <w:tblStylePr w:type="swCell">
      <w:tblPr/>
    </w:tblStylePr>
  </w:style>
  <w:style w:type="table" w:customStyle="1" w:styleId="141">
    <w:name w:val="List Table 5 Dark - Accent 3"/>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bl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C3D69C" w:themeColor="accent3" w:themeTint="98" w:sz="32" w:space="0"/>
          <w:right w:val="single" w:color="FFFFFF" w:themeColor="light1" w:sz="4" w:space="0"/>
        </w:tcBorders>
      </w:tcPr>
    </w:tblStylePr>
    <w:tblStylePr w:type="lastCol">
      <w:tblPr/>
      <w:tcPr>
        <w:tcBorders>
          <w:left w:val="single" w:color="FFFFFF" w:themeColor="light1" w:sz="4" w:space="0"/>
          <w:right w:val="single" w:color="C3D69C" w:themeColor="accent3" w:themeTint="98" w:sz="32" w:space="0"/>
        </w:tcBorders>
      </w:tcPr>
    </w:tblStylePr>
    <w:tblStylePr w:type="band1Vert">
      <w:tblPr/>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blPr/>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neCell">
      <w:tblPr/>
    </w:tblStylePr>
    <w:tblStylePr w:type="nwCell">
      <w:tblPr/>
    </w:tblStylePr>
    <w:tblStylePr w:type="seCell">
      <w:tblPr/>
    </w:tblStylePr>
    <w:tblStylePr w:type="swCell">
      <w:tblPr/>
    </w:tblStylePr>
  </w:style>
  <w:style w:type="table" w:customStyle="1" w:styleId="142">
    <w:name w:val="List Table 5 Dark - Accent 4"/>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bl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B2A1C6" w:themeColor="accent4" w:themeTint="9A" w:sz="32" w:space="0"/>
          <w:right w:val="single" w:color="FFFFFF" w:themeColor="light1" w:sz="4" w:space="0"/>
        </w:tcBorders>
      </w:tcPr>
    </w:tblStylePr>
    <w:tblStylePr w:type="lastCol">
      <w:tblPr/>
      <w:tcPr>
        <w:tcBorders>
          <w:left w:val="single" w:color="FFFFFF" w:themeColor="light1" w:sz="4" w:space="0"/>
          <w:right w:val="single" w:color="B2A1C6" w:themeColor="accent4" w:themeTint="9A" w:sz="32" w:space="0"/>
        </w:tcBorders>
      </w:tcPr>
    </w:tblStylePr>
    <w:tblStylePr w:type="band1Vert">
      <w:tblPr/>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blPr/>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neCell">
      <w:tblPr/>
    </w:tblStylePr>
    <w:tblStylePr w:type="nwCell">
      <w:tblPr/>
    </w:tblStylePr>
    <w:tblStylePr w:type="seCell">
      <w:tblPr/>
    </w:tblStylePr>
    <w:tblStylePr w:type="swCell">
      <w:tblPr/>
    </w:tblStylePr>
  </w:style>
  <w:style w:type="table" w:customStyle="1" w:styleId="143">
    <w:name w:val="List Table 5 Dark - Accent 5"/>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bl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92CCDC" w:themeColor="accent5" w:themeTint="9A" w:sz="32" w:space="0"/>
          <w:right w:val="single" w:color="FFFFFF" w:themeColor="light1" w:sz="4" w:space="0"/>
        </w:tcBorders>
      </w:tcPr>
    </w:tblStylePr>
    <w:tblStylePr w:type="lastCol">
      <w:tblPr/>
      <w:tcPr>
        <w:tcBorders>
          <w:left w:val="single" w:color="FFFFFF" w:themeColor="light1" w:sz="4" w:space="0"/>
          <w:right w:val="single" w:color="92CCDC" w:themeColor="accent5" w:themeTint="9A" w:sz="32" w:space="0"/>
        </w:tcBorders>
      </w:tcPr>
    </w:tblStylePr>
    <w:tblStylePr w:type="band1Vert">
      <w:tblPr/>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blPr/>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neCell">
      <w:tblPr/>
    </w:tblStylePr>
    <w:tblStylePr w:type="nwCell">
      <w:tblPr/>
    </w:tblStylePr>
    <w:tblStylePr w:type="seCell">
      <w:tblPr/>
    </w:tblStylePr>
    <w:tblStylePr w:type="swCell">
      <w:tblPr/>
    </w:tblStylePr>
  </w:style>
  <w:style w:type="table" w:customStyle="1" w:styleId="144">
    <w:name w:val="List Table 5 Dark - Accent 6"/>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bl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FAC090" w:themeColor="accent6" w:themeTint="98" w:sz="32" w:space="0"/>
          <w:right w:val="single" w:color="FFFFFF" w:themeColor="light1" w:sz="4" w:space="0"/>
        </w:tcBorders>
      </w:tcPr>
    </w:tblStylePr>
    <w:tblStylePr w:type="lastCol">
      <w:tblPr/>
      <w:tcPr>
        <w:tcBorders>
          <w:left w:val="single" w:color="FFFFFF" w:themeColor="light1" w:sz="4" w:space="0"/>
          <w:right w:val="single" w:color="FAC090" w:themeColor="accent6" w:themeTint="98" w:sz="32" w:space="0"/>
        </w:tcBorders>
      </w:tcPr>
    </w:tblStylePr>
    <w:tblStylePr w:type="band1Vert">
      <w:tblPr/>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blPr/>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neCell">
      <w:tblPr/>
    </w:tblStylePr>
    <w:tblStylePr w:type="nwCell">
      <w:tblPr/>
    </w:tblStylePr>
    <w:tblStylePr w:type="seCell">
      <w:tblPr/>
    </w:tblStylePr>
    <w:tblStylePr w:type="swCell">
      <w:tblPr/>
    </w:tblStylePr>
  </w:style>
  <w:style w:type="table" w:customStyle="1" w:styleId="145">
    <w:name w:val="List Table 6 Colorful"/>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blPr/>
      <w:tcPr>
        <w:tcBorders>
          <w:bottom w:val="single" w:color="7E7E7E" w:themeColor="text1" w:themeTint="80" w:sz="4" w:space="0"/>
        </w:tcBorders>
      </w:tcPr>
    </w:tblStylePr>
    <w:tblStylePr w:type="lastRow">
      <w:rPr>
        <w:b/>
        <w:color w:val="000000" w:themeColor="text1"/>
        <w14:textFill>
          <w14:solidFill>
            <w14:schemeClr w14:val="tx1"/>
          </w14:solidFill>
        </w14:textFill>
      </w:rPr>
      <w:tblPr/>
      <w:tcPr>
        <w:tcBorders>
          <w:top w:val="single" w:color="7E7E7E" w:themeColor="text1" w:themeTint="80" w:sz="4" w:space="0"/>
        </w:tcBorders>
      </w:tcPr>
    </w:tblStylePr>
    <w:tblStylePr w:type="firstCol">
      <w:rPr>
        <w:b/>
        <w:color w:val="000000" w:themeColor="text1"/>
        <w14:textFill>
          <w14:solidFill>
            <w14:schemeClr w14:val="tx1"/>
          </w14:solidFill>
        </w14:textFill>
      </w:rPr>
      <w:tblPr/>
    </w:tblStylePr>
    <w:tblStylePr w:type="lastCol">
      <w:rPr>
        <w:b/>
        <w:color w:val="000000" w:themeColor="text1"/>
        <w14:textFill>
          <w14:solidFill>
            <w14:schemeClr w14:val="tx1"/>
          </w14:solidFill>
        </w14:textFill>
      </w:rPr>
      <w:tblPr/>
    </w:tblStylePr>
    <w:tblStylePr w:type="band1Vert">
      <w:tblPr/>
      <w:tcPr>
        <w:shd w:val="clear" w:color="BEBEBE" w:themeColor="text1" w:themeTint="40" w:fill="BEBEBE" w:themeFill="text1" w:themeFillTint="40"/>
      </w:tcPr>
    </w:tblStylePr>
    <w:tblStylePr w:type="band2Vert">
      <w:tblPr/>
    </w:tblStylePr>
    <w:tblStylePr w:type="band1Horz">
      <w:rPr>
        <w:rFonts w:ascii="Arial" w:hAnsi="Arial"/>
        <w:color w:val="000000" w:themeColor="text1"/>
        <w:sz w:val="22"/>
        <w14:textFill>
          <w14:solidFill>
            <w14:schemeClr w14:val="tx1"/>
          </w14:solidFill>
        </w14:textFill>
      </w:rPr>
      <w:tbl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Pr/>
    </w:tblStylePr>
    <w:tblStylePr w:type="neCell">
      <w:tblPr/>
    </w:tblStylePr>
    <w:tblStylePr w:type="nwCell">
      <w:tblPr/>
    </w:tblStylePr>
    <w:tblStylePr w:type="seCell">
      <w:tblPr/>
    </w:tblStylePr>
    <w:tblStylePr w:type="swCell">
      <w:tblPr/>
    </w:tblStylePr>
  </w:style>
  <w:style w:type="table" w:customStyle="1" w:styleId="146">
    <w:name w:val="List Table 6 Colorful - Accent 1"/>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blPr/>
      <w:tcPr>
        <w:tcBorders>
          <w:bottom w:val="single" w:color="4F81BD" w:themeColor="accent1" w:sz="4" w:space="0"/>
        </w:tcBorders>
      </w:tcPr>
    </w:tblStylePr>
    <w:tblStylePr w:type="lastRow">
      <w:rPr>
        <w:b/>
        <w:color w:val="2A4B71" w:themeColor="accent1" w:themeShade="94"/>
      </w:rPr>
      <w:tblPr/>
      <w:tcPr>
        <w:tcBorders>
          <w:top w:val="single" w:color="4F81BD" w:themeColor="accent1" w:sz="4" w:space="0"/>
        </w:tcBorders>
      </w:tcPr>
    </w:tblStylePr>
    <w:tblStylePr w:type="firstCol">
      <w:rPr>
        <w:b/>
        <w:color w:val="2A4B71" w:themeColor="accent1" w:themeShade="94"/>
      </w:rPr>
      <w:tblPr/>
    </w:tblStylePr>
    <w:tblStylePr w:type="lastCol">
      <w:rPr>
        <w:b/>
        <w:color w:val="2A4B71" w:themeColor="accent1" w:themeShade="94"/>
      </w:rPr>
      <w:tblPr/>
    </w:tblStylePr>
    <w:tblStylePr w:type="band1Vert">
      <w:tblPr/>
      <w:tcPr>
        <w:shd w:val="clear" w:color="D2DFEE" w:themeColor="accent1" w:themeTint="40" w:fill="D2DFEE" w:themeFill="accent1" w:themeFillTint="40"/>
      </w:tcPr>
    </w:tblStylePr>
    <w:tblStylePr w:type="band2Vert">
      <w:tblPr/>
    </w:tblStylePr>
    <w:tblStylePr w:type="band1Horz">
      <w:rPr>
        <w:rFonts w:ascii="Arial" w:hAnsi="Arial"/>
        <w:color w:val="2A4B71" w:themeColor="accent1" w:themeShade="94"/>
        <w:sz w:val="22"/>
      </w:rPr>
      <w:tblPr/>
      <w:tcPr>
        <w:shd w:val="clear" w:color="D2DFEE" w:themeColor="accent1" w:themeTint="40" w:fill="D2DFEE" w:themeFill="accent1" w:themeFillTint="40"/>
      </w:tcPr>
    </w:tblStylePr>
    <w:tblStylePr w:type="band2Horz">
      <w:rPr>
        <w:rFonts w:ascii="Arial" w:hAnsi="Arial"/>
        <w:color w:val="2A4B71" w:themeColor="accent1" w:themeShade="94"/>
        <w:sz w:val="22"/>
      </w:rPr>
      <w:tblPr/>
    </w:tblStylePr>
    <w:tblStylePr w:type="neCell">
      <w:tblPr/>
    </w:tblStylePr>
    <w:tblStylePr w:type="nwCell">
      <w:tblPr/>
    </w:tblStylePr>
    <w:tblStylePr w:type="seCell">
      <w:tblPr/>
    </w:tblStylePr>
    <w:tblStylePr w:type="swCell">
      <w:tblPr/>
    </w:tblStylePr>
  </w:style>
  <w:style w:type="table" w:customStyle="1" w:styleId="147">
    <w:name w:val="List Table 6 Colorful - Accent 2"/>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bl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bl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Pr/>
    </w:tblStylePr>
    <w:tblStylePr w:type="lastCol">
      <w:rPr>
        <w:b/>
        <w:color w:val="DA9896" w:themeColor="accent2" w:themeTint="96"/>
        <w14:textFill>
          <w14:solidFill>
            <w14:schemeClr w14:val="accent2">
              <w14:lumMod w14:val="59000"/>
              <w14:lumOff w14:val="41000"/>
            </w14:schemeClr>
          </w14:solidFill>
        </w14:textFill>
      </w:rPr>
      <w:tblPr/>
    </w:tblStylePr>
    <w:tblStylePr w:type="band1Vert">
      <w:tblPr/>
      <w:tcPr>
        <w:shd w:val="clear" w:color="EFD3D2" w:themeColor="accent2" w:themeTint="40" w:fill="EFD3D2" w:themeFill="accent2" w:themeFillTint="40"/>
      </w:tcPr>
    </w:tblStylePr>
    <w:tblStylePr w:type="band2Vert">
      <w:tbl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bl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48">
    <w:name w:val="List Table 6 Colorful - Accent 3"/>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bl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bl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Pr/>
    </w:tblStylePr>
    <w:tblStylePr w:type="lastCol">
      <w:rPr>
        <w:b/>
        <w:color w:val="C3D69B" w:themeColor="accent3" w:themeTint="99"/>
        <w14:textFill>
          <w14:solidFill>
            <w14:schemeClr w14:val="accent3">
              <w14:lumMod w14:val="60000"/>
              <w14:lumOff w14:val="40000"/>
            </w14:schemeClr>
          </w14:solidFill>
        </w14:textFill>
      </w:rPr>
      <w:tblPr/>
    </w:tblStylePr>
    <w:tblStylePr w:type="band1Vert">
      <w:tblPr/>
      <w:tcPr>
        <w:shd w:val="clear" w:color="E5EDD5" w:themeColor="accent3" w:themeTint="40" w:fill="E5EDD5" w:themeFill="accent3" w:themeFillTint="40"/>
      </w:tcPr>
    </w:tblStylePr>
    <w:tblStylePr w:type="band2Vert">
      <w:tbl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bl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49">
    <w:name w:val="List Table 6 Colorful - Accent 4"/>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bl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bl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Pr/>
    </w:tblStylePr>
    <w:tblStylePr w:type="lastCol">
      <w:rPr>
        <w:b/>
        <w:color w:val="B3A2C7" w:themeColor="accent4" w:themeTint="99"/>
        <w14:textFill>
          <w14:solidFill>
            <w14:schemeClr w14:val="accent4">
              <w14:lumMod w14:val="60000"/>
              <w14:lumOff w14:val="40000"/>
            </w14:schemeClr>
          </w14:solidFill>
        </w14:textFill>
      </w:rPr>
      <w:tblPr/>
    </w:tblStylePr>
    <w:tblStylePr w:type="band1Vert">
      <w:tblPr/>
      <w:tcPr>
        <w:shd w:val="clear" w:color="DFD8E7" w:themeColor="accent4" w:themeTint="40" w:fill="DFD8E7" w:themeFill="accent4" w:themeFillTint="40"/>
      </w:tcPr>
    </w:tblStylePr>
    <w:tblStylePr w:type="band2Vert">
      <w:tbl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bl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0">
    <w:name w:val="List Table 6 Colorful - Accent 5"/>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bl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bl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Pr/>
    </w:tblStylePr>
    <w:tblStylePr w:type="lastCol">
      <w:rPr>
        <w:b/>
        <w:color w:val="93CDDD" w:themeColor="accent5" w:themeTint="99"/>
        <w14:textFill>
          <w14:solidFill>
            <w14:schemeClr w14:val="accent5">
              <w14:lumMod w14:val="60000"/>
              <w14:lumOff w14:val="40000"/>
            </w14:schemeClr>
          </w14:solidFill>
        </w14:textFill>
      </w:rPr>
      <w:tblPr/>
    </w:tblStylePr>
    <w:tblStylePr w:type="band1Vert">
      <w:tblPr/>
      <w:tcPr>
        <w:shd w:val="clear" w:color="D1EAF0" w:themeColor="accent5" w:themeTint="40" w:fill="D1EAF0" w:themeFill="accent5" w:themeFillTint="40"/>
      </w:tcPr>
    </w:tblStylePr>
    <w:tblStylePr w:type="band2Vert">
      <w:tbl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bl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1">
    <w:name w:val="List Table 6 Colorful - Accent 6"/>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bl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bl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Pr/>
    </w:tblStylePr>
    <w:tblStylePr w:type="lastCol">
      <w:rPr>
        <w:b/>
        <w:color w:val="FAC090" w:themeColor="accent6" w:themeTint="99"/>
        <w14:textFill>
          <w14:solidFill>
            <w14:schemeClr w14:val="accent6">
              <w14:lumMod w14:val="60000"/>
              <w14:lumOff w14:val="40000"/>
            </w14:schemeClr>
          </w14:solidFill>
        </w14:textFill>
      </w:rPr>
      <w:tblPr/>
    </w:tblStylePr>
    <w:tblStylePr w:type="band1Vert">
      <w:tblPr/>
      <w:tcPr>
        <w:shd w:val="clear" w:color="FCE4D0" w:themeColor="accent6" w:themeTint="40" w:fill="FCE4D0" w:themeFill="accent6" w:themeFillTint="40"/>
      </w:tcPr>
    </w:tblStylePr>
    <w:tblStylePr w:type="band2Vert">
      <w:tbl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bl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2">
    <w:name w:val="List Table 7 Colorful"/>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bl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single" w:color="7E7E7E" w:themeColor="text1" w:themeTint="80" w:sz="4" w:space="0"/>
          <w:bottom w:val="nil"/>
          <w:right w:val="nil"/>
        </w:tcBorders>
        <w:shd w:val="clear" w:color="FFFFFF" w:fill="auto"/>
      </w:tcPr>
    </w:tblStylePr>
    <w:tblStylePr w:type="band1Vert">
      <w:tblPr/>
      <w:tcPr>
        <w:shd w:val="clear" w:color="BEBEBE" w:themeColor="text1" w:themeTint="40" w:fill="BEBEBE" w:themeFill="text1" w:themeFillTint="40"/>
      </w:tcPr>
    </w:tblStylePr>
    <w:tblStylePr w:type="band2Vert">
      <w:tblPr/>
    </w:tblStylePr>
    <w:tblStylePr w:type="band1Horz">
      <w:rPr>
        <w:rFonts w:ascii="Arial" w:hAnsi="Arial"/>
        <w:color w:val="808080" w:themeColor="text1" w:themeTint="80"/>
        <w:sz w:val="22"/>
        <w14:textFill>
          <w14:solidFill>
            <w14:schemeClr w14:val="tx1">
              <w14:lumMod w14:val="50000"/>
              <w14:lumOff w14:val="50000"/>
            </w14:schemeClr>
          </w14:solidFill>
        </w14:textFill>
      </w:rPr>
      <w:tbl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3">
    <w:name w:val="List Table 7 Colorful - Accent 1"/>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bl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bl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bl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blPr/>
      <w:tcPr>
        <w:tcBorders>
          <w:top w:val="nil"/>
          <w:left w:val="single" w:color="4F81BD" w:themeColor="accent1" w:sz="4" w:space="0"/>
          <w:bottom w:val="nil"/>
          <w:right w:val="nil"/>
        </w:tcBorders>
        <w:shd w:val="clear" w:color="FFFFFF" w:fill="auto"/>
      </w:tcPr>
    </w:tblStylePr>
    <w:tblStylePr w:type="band1Vert">
      <w:tblPr/>
      <w:tcPr>
        <w:shd w:val="clear" w:color="D2DFEE" w:themeColor="accent1" w:themeTint="40" w:fill="D2DFEE" w:themeFill="accent1" w:themeFillTint="40"/>
      </w:tcPr>
    </w:tblStylePr>
    <w:tblStylePr w:type="band2Vert">
      <w:tblPr/>
    </w:tblStylePr>
    <w:tblStylePr w:type="band1Horz">
      <w:rPr>
        <w:rFonts w:ascii="Arial" w:hAnsi="Arial"/>
        <w:color w:val="2A4B71" w:themeColor="accent1" w:themeShade="94"/>
        <w:sz w:val="22"/>
      </w:rPr>
      <w:tblPr/>
      <w:tcPr>
        <w:shd w:val="clear" w:color="D2DFEE" w:themeColor="accent1" w:themeTint="40" w:fill="D2DFEE" w:themeFill="accent1" w:themeFillTint="40"/>
      </w:tcPr>
    </w:tblStylePr>
    <w:tblStylePr w:type="band2Horz">
      <w:rPr>
        <w:rFonts w:ascii="Arial" w:hAnsi="Arial"/>
        <w:color w:val="2A4B71" w:themeColor="accent1" w:themeShade="94"/>
        <w:sz w:val="22"/>
      </w:rPr>
      <w:tblPr/>
    </w:tblStylePr>
    <w:tblStylePr w:type="neCell">
      <w:tblPr/>
    </w:tblStylePr>
    <w:tblStylePr w:type="nwCell">
      <w:tblPr/>
    </w:tblStylePr>
    <w:tblStylePr w:type="seCell">
      <w:tblPr/>
    </w:tblStylePr>
    <w:tblStylePr w:type="swCell">
      <w:tblPr/>
    </w:tblStylePr>
  </w:style>
  <w:style w:type="table" w:customStyle="1" w:styleId="154">
    <w:name w:val="List Table 7 Colorful - Accent 2"/>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bl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bl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bl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blPr/>
      <w:tcPr>
        <w:tcBorders>
          <w:top w:val="nil"/>
          <w:left w:val="single" w:color="D99795" w:themeColor="accent2" w:themeTint="97" w:sz="4" w:space="0"/>
          <w:bottom w:val="nil"/>
          <w:right w:val="nil"/>
        </w:tcBorders>
        <w:shd w:val="clear" w:color="FFFFFF" w:fill="auto"/>
      </w:tcPr>
    </w:tblStylePr>
    <w:tblStylePr w:type="band1Vert">
      <w:tblPr/>
      <w:tcPr>
        <w:shd w:val="clear" w:color="EFD3D2" w:themeColor="accent2" w:themeTint="40" w:fill="EFD3D2" w:themeFill="accent2" w:themeFillTint="40"/>
      </w:tcPr>
    </w:tblStylePr>
    <w:tblStylePr w:type="band2Vert">
      <w:tbl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bl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5">
    <w:name w:val="List Table 7 Colorful - Accent 3"/>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bl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bl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bl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blPr/>
      <w:tcPr>
        <w:tcBorders>
          <w:top w:val="nil"/>
          <w:left w:val="single" w:color="C3D69C" w:themeColor="accent3" w:themeTint="98" w:sz="4" w:space="0"/>
          <w:bottom w:val="nil"/>
          <w:right w:val="nil"/>
        </w:tcBorders>
        <w:shd w:val="clear" w:color="FFFFFF" w:fill="auto"/>
      </w:tcPr>
    </w:tblStylePr>
    <w:tblStylePr w:type="band1Vert">
      <w:tblPr/>
      <w:tcPr>
        <w:shd w:val="clear" w:color="E5EDD5" w:themeColor="accent3" w:themeTint="40" w:fill="E5EDD5" w:themeFill="accent3" w:themeFillTint="40"/>
      </w:tcPr>
    </w:tblStylePr>
    <w:tblStylePr w:type="band2Vert">
      <w:tbl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bl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6">
    <w:name w:val="List Table 7 Colorful - Accent 4"/>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bl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bl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bl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blPr/>
      <w:tcPr>
        <w:tcBorders>
          <w:top w:val="nil"/>
          <w:left w:val="single" w:color="B2A1C6" w:themeColor="accent4" w:themeTint="9A" w:sz="4" w:space="0"/>
          <w:bottom w:val="nil"/>
          <w:right w:val="nil"/>
        </w:tcBorders>
        <w:shd w:val="clear" w:color="FFFFFF" w:fill="auto"/>
      </w:tcPr>
    </w:tblStylePr>
    <w:tblStylePr w:type="band1Vert">
      <w:tblPr/>
      <w:tcPr>
        <w:shd w:val="clear" w:color="DFD8E7" w:themeColor="accent4" w:themeTint="40" w:fill="DFD8E7" w:themeFill="accent4" w:themeFillTint="40"/>
      </w:tcPr>
    </w:tblStylePr>
    <w:tblStylePr w:type="band2Vert">
      <w:tbl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bl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7">
    <w:name w:val="List Table 7 Colorful - Accent 5"/>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bl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bl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bl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blPr/>
      <w:tcPr>
        <w:tcBorders>
          <w:top w:val="nil"/>
          <w:left w:val="single" w:color="92CCDC" w:themeColor="accent5" w:themeTint="9A" w:sz="4" w:space="0"/>
          <w:bottom w:val="nil"/>
          <w:right w:val="nil"/>
        </w:tcBorders>
        <w:shd w:val="clear" w:color="FFFFFF" w:fill="auto"/>
      </w:tcPr>
    </w:tblStylePr>
    <w:tblStylePr w:type="band1Vert">
      <w:tblPr/>
      <w:tcPr>
        <w:shd w:val="clear" w:color="D1EAF0" w:themeColor="accent5" w:themeTint="40" w:fill="D1EAF0" w:themeFill="accent5" w:themeFillTint="40"/>
      </w:tcPr>
    </w:tblStylePr>
    <w:tblStylePr w:type="band2Vert">
      <w:tbl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bl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8">
    <w:name w:val="List Table 7 Colorful - Accent 6"/>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bl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bl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bl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blPr/>
      <w:tcPr>
        <w:tcBorders>
          <w:top w:val="nil"/>
          <w:left w:val="single" w:color="FAC090" w:themeColor="accent6" w:themeTint="98" w:sz="4" w:space="0"/>
          <w:bottom w:val="nil"/>
          <w:right w:val="nil"/>
        </w:tcBorders>
        <w:shd w:val="clear" w:color="FFFFFF" w:fill="auto"/>
      </w:tcPr>
    </w:tblStylePr>
    <w:tblStylePr w:type="band1Vert">
      <w:tblPr/>
      <w:tcPr>
        <w:shd w:val="clear" w:color="FCE4D0" w:themeColor="accent6" w:themeTint="40" w:fill="FCE4D0" w:themeFill="accent6" w:themeFillTint="40"/>
      </w:tcPr>
    </w:tblStylePr>
    <w:tblStylePr w:type="band2Vert">
      <w:tbl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bl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9">
    <w:name w:val="Lined - Accent"/>
    <w:uiPriority w:val="99"/>
    <w:pPr>
      <w:spacing w:after="0" w:line="240" w:lineRule="auto"/>
    </w:pPr>
    <w:rPr>
      <w:color w:val="404040"/>
    </w:rPr>
    <w:tblPr/>
    <w:tblStylePr w:type="firstRow">
      <w:rPr>
        <w:rFonts w:ascii="Arial" w:hAnsi="Arial"/>
        <w:color w:val="F2F2F2"/>
        <w:sz w:val="22"/>
      </w:rPr>
      <w:tblPr/>
      <w:tcPr>
        <w:shd w:val="clear" w:color="7E7E7E" w:themeColor="text1" w:themeTint="80" w:fill="7E7E7E" w:themeFill="text1" w:themeFillTint="80"/>
      </w:tcPr>
    </w:tblStylePr>
    <w:tblStylePr w:type="lastRow">
      <w:rPr>
        <w:rFonts w:ascii="Arial" w:hAnsi="Arial"/>
        <w:color w:val="F2F2F2"/>
        <w:sz w:val="22"/>
      </w:rPr>
      <w:tblPr/>
      <w:tcPr>
        <w:shd w:val="clear" w:color="7E7E7E" w:themeColor="text1" w:themeTint="80" w:fill="7E7E7E" w:themeFill="text1" w:themeFillTint="80"/>
      </w:tcPr>
    </w:tblStylePr>
    <w:tblStylePr w:type="firstCol">
      <w:rPr>
        <w:rFonts w:ascii="Arial" w:hAnsi="Arial"/>
        <w:color w:val="F2F2F2"/>
        <w:sz w:val="22"/>
      </w:rPr>
      <w:tblPr/>
      <w:tcPr>
        <w:shd w:val="clear" w:color="7E7E7E" w:themeColor="text1" w:themeTint="80" w:fill="7E7E7E" w:themeFill="text1" w:themeFillTint="80"/>
      </w:tcPr>
    </w:tblStylePr>
    <w:tblStylePr w:type="lastCol">
      <w:rPr>
        <w:rFonts w:ascii="Arial" w:hAnsi="Arial"/>
        <w:color w:val="F2F2F2"/>
        <w:sz w:val="22"/>
      </w:rPr>
      <w:tblPr/>
      <w:tcPr>
        <w:shd w:val="clear" w:color="7E7E7E" w:themeColor="text1" w:themeTint="80" w:fill="7E7E7E" w:themeFill="text1" w:themeFillTint="80"/>
      </w:tcPr>
    </w:tblStylePr>
    <w:tblStylePr w:type="band1Vert">
      <w:rPr>
        <w:rFonts w:ascii="Arial" w:hAnsi="Arial"/>
        <w:color w:val="404040"/>
        <w:sz w:val="22"/>
      </w:rPr>
      <w:tblPr/>
    </w:tblStylePr>
    <w:tblStylePr w:type="band2Vert">
      <w:rPr>
        <w:rFonts w:ascii="Arial" w:hAnsi="Arial"/>
        <w:color w:val="404040"/>
        <w:sz w:val="22"/>
      </w:rPr>
      <w:tblPr/>
      <w:tcPr>
        <w:shd w:val="clear" w:color="F1F1F1" w:themeColor="text1" w:themeTint="0D" w:fill="F1F1F1" w:themeFill="text1" w:themeFillTint="0D"/>
      </w:tcPr>
    </w:tblStylePr>
    <w:tblStylePr w:type="band1Horz">
      <w:rPr>
        <w:rFonts w:ascii="Arial" w:hAnsi="Arial"/>
        <w:color w:val="404040"/>
        <w:sz w:val="22"/>
      </w:rPr>
      <w:tblPr/>
    </w:tblStylePr>
    <w:tblStylePr w:type="band2Horz">
      <w:rPr>
        <w:rFonts w:ascii="Arial" w:hAnsi="Arial"/>
        <w:color w:val="404040"/>
        <w:sz w:val="22"/>
      </w:rPr>
      <w:tblPr/>
      <w:tcPr>
        <w:shd w:val="clear" w:color="F1F1F1" w:themeColor="text1" w:themeTint="0D" w:fill="F1F1F1" w:themeFill="text1" w:themeFillTint="0D"/>
      </w:tcPr>
    </w:tblStylePr>
    <w:tblStylePr w:type="neCell">
      <w:tblPr/>
    </w:tblStylePr>
    <w:tblStylePr w:type="nwCell">
      <w:tblPr/>
    </w:tblStylePr>
    <w:tblStylePr w:type="seCell">
      <w:tblPr/>
    </w:tblStylePr>
    <w:tblStylePr w:type="swCell">
      <w:tblPr/>
    </w:tblStylePr>
  </w:style>
  <w:style w:type="table" w:customStyle="1" w:styleId="160">
    <w:name w:val="Lined - Accent 1"/>
    <w:uiPriority w:val="99"/>
    <w:pPr>
      <w:spacing w:after="0" w:line="240" w:lineRule="auto"/>
    </w:pPr>
    <w:rPr>
      <w:color w:val="404040"/>
    </w:rPr>
    <w:tblPr/>
    <w:tblStylePr w:type="firstRow">
      <w:rPr>
        <w:rFonts w:ascii="Arial" w:hAnsi="Arial"/>
        <w:color w:val="F2F2F2"/>
        <w:sz w:val="22"/>
      </w:rPr>
      <w:tblPr/>
      <w:tcPr>
        <w:shd w:val="clear" w:color="5D8BC2" w:themeColor="accent1" w:themeTint="EA" w:fill="5D8BC2" w:themeFill="accent1" w:themeFillTint="EA"/>
      </w:tcPr>
    </w:tblStylePr>
    <w:tblStylePr w:type="lastRow">
      <w:rPr>
        <w:rFonts w:ascii="Arial" w:hAnsi="Arial"/>
        <w:color w:val="F2F2F2"/>
        <w:sz w:val="22"/>
      </w:rPr>
      <w:tblPr/>
      <w:tcPr>
        <w:shd w:val="clear" w:color="5D8BC2" w:themeColor="accent1" w:themeTint="EA" w:fill="5D8BC2" w:themeFill="accent1" w:themeFillTint="EA"/>
      </w:tcPr>
    </w:tblStylePr>
    <w:tblStylePr w:type="firstCol">
      <w:rPr>
        <w:rFonts w:ascii="Arial" w:hAnsi="Arial"/>
        <w:color w:val="F2F2F2"/>
        <w:sz w:val="22"/>
      </w:rPr>
      <w:tblPr/>
      <w:tcPr>
        <w:shd w:val="clear" w:color="5D8BC2" w:themeColor="accent1" w:themeTint="EA" w:fill="5D8BC2" w:themeFill="accent1" w:themeFillTint="EA"/>
      </w:tcPr>
    </w:tblStylePr>
    <w:tblStylePr w:type="lastCol">
      <w:rPr>
        <w:rFonts w:ascii="Arial" w:hAnsi="Arial"/>
        <w:color w:val="F2F2F2"/>
        <w:sz w:val="22"/>
      </w:rPr>
      <w:tblPr/>
      <w:tcPr>
        <w:shd w:val="clear" w:color="5D8BC2" w:themeColor="accent1" w:themeTint="EA" w:fill="5D8BC2" w:themeFill="accent1" w:themeFillTint="EA"/>
      </w:tcPr>
    </w:tblStylePr>
    <w:tblStylePr w:type="band1Vert">
      <w:rPr>
        <w:rFonts w:ascii="Arial" w:hAnsi="Arial"/>
        <w:color w:val="404040"/>
        <w:sz w:val="22"/>
      </w:rPr>
      <w:tbl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Pr/>
    </w:tblStylePr>
    <w:tblStylePr w:type="band2Horz">
      <w:rPr>
        <w:rFonts w:ascii="Arial" w:hAnsi="Arial"/>
        <w:color w:val="404040"/>
        <w:sz w:val="22"/>
      </w:rPr>
      <w:tblPr/>
      <w:tcPr>
        <w:shd w:val="clear" w:color="C7D7EA" w:themeColor="accent1" w:themeTint="50" w:fill="C7D7EA" w:themeFill="accent1" w:themeFillTint="50"/>
      </w:tcPr>
    </w:tblStylePr>
    <w:tblStylePr w:type="neCell">
      <w:tblPr/>
    </w:tblStylePr>
    <w:tblStylePr w:type="nwCell">
      <w:tblPr/>
    </w:tblStylePr>
    <w:tblStylePr w:type="seCell">
      <w:tblPr/>
    </w:tblStylePr>
    <w:tblStylePr w:type="swCell">
      <w:tblPr/>
    </w:tblStylePr>
  </w:style>
  <w:style w:type="table" w:customStyle="1" w:styleId="161">
    <w:name w:val="Lined - Accent 2"/>
    <w:uiPriority w:val="99"/>
    <w:pPr>
      <w:spacing w:after="0" w:line="240" w:lineRule="auto"/>
    </w:pPr>
    <w:rPr>
      <w:color w:val="404040"/>
    </w:rPr>
    <w:tblPr/>
    <w:tblStylePr w:type="firstRow">
      <w:rPr>
        <w:rFonts w:ascii="Arial" w:hAnsi="Arial"/>
        <w:color w:val="F2F2F2"/>
        <w:sz w:val="22"/>
      </w:rPr>
      <w:tblPr/>
      <w:tcPr>
        <w:shd w:val="clear" w:color="D99795" w:themeColor="accent2" w:themeTint="97" w:fill="D99795" w:themeFill="accent2" w:themeFillTint="97"/>
      </w:tcPr>
    </w:tblStylePr>
    <w:tblStylePr w:type="lastRow">
      <w:rPr>
        <w:rFonts w:ascii="Arial" w:hAnsi="Arial"/>
        <w:color w:val="F2F2F2"/>
        <w:sz w:val="22"/>
      </w:rPr>
      <w:tblPr/>
      <w:tcPr>
        <w:shd w:val="clear" w:color="D99795" w:themeColor="accent2" w:themeTint="97" w:fill="D99795" w:themeFill="accent2" w:themeFillTint="97"/>
      </w:tcPr>
    </w:tblStylePr>
    <w:tblStylePr w:type="firstCol">
      <w:rPr>
        <w:rFonts w:ascii="Arial" w:hAnsi="Arial"/>
        <w:color w:val="F2F2F2"/>
        <w:sz w:val="22"/>
      </w:rPr>
      <w:tblPr/>
      <w:tcPr>
        <w:shd w:val="clear" w:color="D99795" w:themeColor="accent2" w:themeTint="97" w:fill="D99795" w:themeFill="accent2" w:themeFillTint="97"/>
      </w:tcPr>
    </w:tblStylePr>
    <w:tblStylePr w:type="lastCol">
      <w:rPr>
        <w:rFonts w:ascii="Arial" w:hAnsi="Arial"/>
        <w:color w:val="F2F2F2"/>
        <w:sz w:val="22"/>
      </w:rPr>
      <w:tblPr/>
      <w:tcPr>
        <w:shd w:val="clear" w:color="D99795" w:themeColor="accent2" w:themeTint="97" w:fill="D99795" w:themeFill="accent2" w:themeFillTint="97"/>
      </w:tcPr>
    </w:tblStylePr>
    <w:tblStylePr w:type="band1Vert">
      <w:rPr>
        <w:rFonts w:ascii="Arial" w:hAnsi="Arial"/>
        <w:color w:val="404040"/>
        <w:sz w:val="22"/>
      </w:rPr>
      <w:tbl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blStylePr>
    <w:tblStylePr w:type="band2Horz">
      <w:rPr>
        <w:rFonts w:ascii="Arial" w:hAnsi="Arial"/>
        <w:color w:val="404040"/>
        <w:sz w:val="22"/>
      </w:rPr>
      <w:tblPr/>
      <w:tcPr>
        <w:shd w:val="clear" w:color="F2DCDC" w:themeColor="accent2" w:themeTint="32" w:fill="F2DCDC" w:themeFill="accent2" w:themeFillTint="32"/>
      </w:tcPr>
    </w:tblStylePr>
    <w:tblStylePr w:type="neCell">
      <w:tblPr/>
    </w:tblStylePr>
    <w:tblStylePr w:type="nwCell">
      <w:tblPr/>
    </w:tblStylePr>
    <w:tblStylePr w:type="seCell">
      <w:tblPr/>
    </w:tblStylePr>
    <w:tblStylePr w:type="swCell">
      <w:tblPr/>
    </w:tblStylePr>
  </w:style>
  <w:style w:type="table" w:customStyle="1" w:styleId="162">
    <w:name w:val="Lined - Accent 3"/>
    <w:uiPriority w:val="99"/>
    <w:pPr>
      <w:spacing w:after="0" w:line="240" w:lineRule="auto"/>
    </w:pPr>
    <w:rPr>
      <w:color w:val="404040"/>
    </w:rPr>
    <w:tblPr/>
    <w:tblStylePr w:type="firstRow">
      <w:rPr>
        <w:rFonts w:ascii="Arial" w:hAnsi="Arial"/>
        <w:color w:val="F2F2F2"/>
        <w:sz w:val="22"/>
      </w:rPr>
      <w:tblPr/>
      <w:tcPr>
        <w:shd w:val="clear" w:color="9BBB59" w:themeColor="accent3" w:themeTint="FE" w:fill="9BBB59" w:themeFill="accent3" w:themeFillTint="FE"/>
      </w:tcPr>
    </w:tblStylePr>
    <w:tblStylePr w:type="lastRow">
      <w:rPr>
        <w:rFonts w:ascii="Arial" w:hAnsi="Arial"/>
        <w:color w:val="F2F2F2"/>
        <w:sz w:val="22"/>
      </w:rPr>
      <w:tblPr/>
      <w:tcPr>
        <w:shd w:val="clear" w:color="9BBB59" w:themeColor="accent3" w:themeTint="FE" w:fill="9BBB59" w:themeFill="accent3" w:themeFillTint="FE"/>
      </w:tcPr>
    </w:tblStylePr>
    <w:tblStylePr w:type="firstCol">
      <w:rPr>
        <w:rFonts w:ascii="Arial" w:hAnsi="Arial"/>
        <w:color w:val="F2F2F2"/>
        <w:sz w:val="22"/>
      </w:rPr>
      <w:tblPr/>
      <w:tcPr>
        <w:shd w:val="clear" w:color="9BBB59" w:themeColor="accent3" w:themeTint="FE" w:fill="9BBB59" w:themeFill="accent3" w:themeFillTint="FE"/>
      </w:tcPr>
    </w:tblStylePr>
    <w:tblStylePr w:type="lastCol">
      <w:rPr>
        <w:rFonts w:ascii="Arial" w:hAnsi="Arial"/>
        <w:color w:val="F2F2F2"/>
        <w:sz w:val="22"/>
      </w:rPr>
      <w:tblPr/>
      <w:tcPr>
        <w:shd w:val="clear" w:color="9BBB59" w:themeColor="accent3" w:themeTint="FE" w:fill="9BBB59" w:themeFill="accent3" w:themeFillTint="FE"/>
      </w:tcPr>
    </w:tblStylePr>
    <w:tblStylePr w:type="band1Vert">
      <w:rPr>
        <w:rFonts w:ascii="Arial" w:hAnsi="Arial"/>
        <w:color w:val="404040"/>
        <w:sz w:val="22"/>
      </w:rPr>
      <w:tblPr/>
    </w:tblStylePr>
    <w:tblStylePr w:type="band2Vert">
      <w:rPr>
        <w:rFonts w:ascii="Arial" w:hAnsi="Arial"/>
        <w:color w:val="404040"/>
        <w:sz w:val="22"/>
      </w:rPr>
      <w:tblPr/>
      <w:tcPr>
        <w:shd w:val="clear" w:color="EAF1DD" w:themeColor="accent3" w:themeTint="34" w:fill="EAF1DD" w:themeFill="accent3"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EAF1DD" w:themeColor="accent3" w:themeTint="34" w:fill="EAF1DD" w:themeFill="accent3" w:themeFillTint="34"/>
      </w:tcPr>
    </w:tblStylePr>
    <w:tblStylePr w:type="neCell">
      <w:tblPr/>
    </w:tblStylePr>
    <w:tblStylePr w:type="nwCell">
      <w:tblPr/>
    </w:tblStylePr>
    <w:tblStylePr w:type="seCell">
      <w:tblPr/>
    </w:tblStylePr>
    <w:tblStylePr w:type="swCell">
      <w:tblPr/>
    </w:tblStylePr>
  </w:style>
  <w:style w:type="table" w:customStyle="1" w:styleId="163">
    <w:name w:val="Lined - Accent 4"/>
    <w:uiPriority w:val="99"/>
    <w:pPr>
      <w:spacing w:after="0" w:line="240" w:lineRule="auto"/>
    </w:pPr>
    <w:rPr>
      <w:color w:val="404040"/>
    </w:rP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E5DFEC" w:themeColor="accent4" w:themeTint="34" w:fill="E5DFEC" w:themeFill="accent4" w:themeFillTint="34"/>
      </w:tcPr>
    </w:tblStylePr>
    <w:tblStylePr w:type="neCell">
      <w:tblPr/>
    </w:tblStylePr>
    <w:tblStylePr w:type="nwCell">
      <w:tblPr/>
    </w:tblStylePr>
    <w:tblStylePr w:type="seCell">
      <w:tblPr/>
    </w:tblStylePr>
    <w:tblStylePr w:type="swCell">
      <w:tblPr/>
    </w:tblStylePr>
  </w:style>
  <w:style w:type="table" w:customStyle="1" w:styleId="164">
    <w:name w:val="Lined - Accent 5"/>
    <w:uiPriority w:val="99"/>
    <w:pPr>
      <w:spacing w:after="0" w:line="240" w:lineRule="auto"/>
    </w:pPr>
    <w:rPr>
      <w:color w:val="404040"/>
    </w:rP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DAEEF3" w:themeColor="accent5" w:themeTint="34" w:fill="DAEEF3" w:themeFill="accent5" w:themeFillTint="34"/>
      </w:tcPr>
    </w:tblStylePr>
    <w:tblStylePr w:type="neCell">
      <w:tblPr/>
    </w:tblStylePr>
    <w:tblStylePr w:type="nwCell">
      <w:tblPr/>
    </w:tblStylePr>
    <w:tblStylePr w:type="seCell">
      <w:tblPr/>
    </w:tblStylePr>
    <w:tblStylePr w:type="swCell">
      <w:tblPr/>
    </w:tblStylePr>
  </w:style>
  <w:style w:type="table" w:customStyle="1" w:styleId="165">
    <w:name w:val="Lined - Accent 6"/>
    <w:uiPriority w:val="99"/>
    <w:pPr>
      <w:spacing w:after="0" w:line="240" w:lineRule="auto"/>
    </w:pPr>
    <w:rPr>
      <w:color w:val="404040"/>
    </w:rP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Pr/>
    </w:tblStylePr>
    <w:tblStylePr w:type="band2Vert">
      <w:rPr>
        <w:rFonts w:ascii="Arial" w:hAnsi="Arial"/>
        <w:color w:val="404040"/>
        <w:sz w:val="22"/>
      </w:rPr>
      <w:tblPr/>
      <w:tcPr>
        <w:shd w:val="clear" w:color="FDE9D9" w:themeColor="accent6" w:themeTint="34" w:fill="FDE9D9" w:themeFill="accent6"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FDE9D9" w:themeColor="accent6" w:themeTint="34" w:fill="FDE9D9" w:themeFill="accent6" w:themeFillTint="34"/>
      </w:tcPr>
    </w:tblStylePr>
    <w:tblStylePr w:type="neCell">
      <w:tblPr/>
    </w:tblStylePr>
    <w:tblStylePr w:type="nwCell">
      <w:tblPr/>
    </w:tblStylePr>
    <w:tblStylePr w:type="seCell">
      <w:tblPr/>
    </w:tblStylePr>
    <w:tblStylePr w:type="swCell">
      <w:tblPr/>
    </w:tblStylePr>
  </w:style>
  <w:style w:type="table" w:customStyle="1" w:styleId="166">
    <w:name w:val="Bordered &amp; Lined - Accen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blPr/>
      <w:tcPr>
        <w:shd w:val="clear" w:color="7E7E7E" w:themeColor="text1" w:themeTint="80" w:fill="7E7E7E" w:themeFill="text1" w:themeFillTint="80"/>
      </w:tcPr>
    </w:tblStylePr>
    <w:tblStylePr w:type="lastRow">
      <w:rPr>
        <w:rFonts w:ascii="Arial" w:hAnsi="Arial"/>
        <w:color w:val="F2F2F2"/>
        <w:sz w:val="22"/>
      </w:rPr>
      <w:tblPr/>
      <w:tcPr>
        <w:shd w:val="clear" w:color="7E7E7E" w:themeColor="text1" w:themeTint="80" w:fill="7E7E7E" w:themeFill="text1" w:themeFillTint="80"/>
      </w:tcPr>
    </w:tblStylePr>
    <w:tblStylePr w:type="firstCol">
      <w:rPr>
        <w:rFonts w:ascii="Arial" w:hAnsi="Arial"/>
        <w:color w:val="F2F2F2"/>
        <w:sz w:val="22"/>
      </w:rPr>
      <w:tblPr/>
      <w:tcPr>
        <w:shd w:val="clear" w:color="7E7E7E" w:themeColor="text1" w:themeTint="80" w:fill="7E7E7E" w:themeFill="text1" w:themeFillTint="80"/>
      </w:tcPr>
    </w:tblStylePr>
    <w:tblStylePr w:type="lastCol">
      <w:rPr>
        <w:rFonts w:ascii="Arial" w:hAnsi="Arial"/>
        <w:color w:val="F2F2F2"/>
        <w:sz w:val="22"/>
      </w:rPr>
      <w:tblPr/>
      <w:tcPr>
        <w:shd w:val="clear" w:color="7E7E7E" w:themeColor="text1" w:themeTint="80" w:fill="7E7E7E" w:themeFill="text1" w:themeFillTint="80"/>
      </w:tcPr>
    </w:tblStylePr>
    <w:tblStylePr w:type="band1Vert">
      <w:rPr>
        <w:rFonts w:ascii="Arial" w:hAnsi="Arial"/>
        <w:color w:val="404040"/>
        <w:sz w:val="22"/>
      </w:rPr>
      <w:tblPr/>
    </w:tblStylePr>
    <w:tblStylePr w:type="band2Vert">
      <w:rPr>
        <w:rFonts w:ascii="Arial" w:hAnsi="Arial"/>
        <w:color w:val="404040"/>
        <w:sz w:val="22"/>
      </w:rPr>
      <w:tblPr/>
      <w:tcPr>
        <w:shd w:val="clear" w:color="F1F1F1" w:themeColor="text1" w:themeTint="0D" w:fill="F1F1F1" w:themeFill="text1" w:themeFillTint="0D"/>
      </w:tcPr>
    </w:tblStylePr>
    <w:tblStylePr w:type="band1Horz">
      <w:rPr>
        <w:rFonts w:ascii="Arial" w:hAnsi="Arial"/>
        <w:color w:val="404040"/>
        <w:sz w:val="22"/>
      </w:rPr>
      <w:tblPr/>
    </w:tblStylePr>
    <w:tblStylePr w:type="band2Horz">
      <w:rPr>
        <w:rFonts w:ascii="Arial" w:hAnsi="Arial"/>
        <w:color w:val="404040"/>
        <w:sz w:val="22"/>
      </w:rPr>
      <w:tblPr/>
      <w:tcPr>
        <w:shd w:val="clear" w:color="F1F1F1" w:themeColor="text1" w:themeTint="0D" w:fill="F1F1F1" w:themeFill="text1" w:themeFillTint="0D"/>
      </w:tcPr>
    </w:tblStylePr>
    <w:tblStylePr w:type="neCell">
      <w:tblPr/>
    </w:tblStylePr>
    <w:tblStylePr w:type="nwCell">
      <w:tblPr/>
    </w:tblStylePr>
    <w:tblStylePr w:type="seCell">
      <w:tblPr/>
    </w:tblStylePr>
    <w:tblStylePr w:type="swCell">
      <w:tblPr/>
    </w:tblStylePr>
  </w:style>
  <w:style w:type="table" w:customStyle="1" w:styleId="167">
    <w:name w:val="Bordered &amp; Lined - Accent 1"/>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blPr/>
      <w:tcPr>
        <w:shd w:val="clear" w:color="5D8BC2" w:themeColor="accent1" w:themeTint="EA" w:fill="5D8BC2" w:themeFill="accent1" w:themeFillTint="EA"/>
      </w:tcPr>
    </w:tblStylePr>
    <w:tblStylePr w:type="lastRow">
      <w:rPr>
        <w:rFonts w:ascii="Arial" w:hAnsi="Arial"/>
        <w:color w:val="F2F2F2"/>
        <w:sz w:val="22"/>
      </w:rPr>
      <w:tblPr/>
      <w:tcPr>
        <w:shd w:val="clear" w:color="5D8BC2" w:themeColor="accent1" w:themeTint="EA" w:fill="5D8BC2" w:themeFill="accent1" w:themeFillTint="EA"/>
      </w:tcPr>
    </w:tblStylePr>
    <w:tblStylePr w:type="firstCol">
      <w:rPr>
        <w:rFonts w:ascii="Arial" w:hAnsi="Arial"/>
        <w:color w:val="F2F2F2"/>
        <w:sz w:val="22"/>
      </w:rPr>
      <w:tblPr/>
      <w:tcPr>
        <w:shd w:val="clear" w:color="5D8BC2" w:themeColor="accent1" w:themeTint="EA" w:fill="5D8BC2" w:themeFill="accent1" w:themeFillTint="EA"/>
      </w:tcPr>
    </w:tblStylePr>
    <w:tblStylePr w:type="lastCol">
      <w:rPr>
        <w:rFonts w:ascii="Arial" w:hAnsi="Arial"/>
        <w:color w:val="F2F2F2"/>
        <w:sz w:val="22"/>
      </w:rPr>
      <w:tblPr/>
      <w:tcPr>
        <w:shd w:val="clear" w:color="5D8BC2" w:themeColor="accent1" w:themeTint="EA" w:fill="5D8BC2" w:themeFill="accent1" w:themeFillTint="EA"/>
      </w:tcPr>
    </w:tblStylePr>
    <w:tblStylePr w:type="band1Vert">
      <w:rPr>
        <w:rFonts w:ascii="Arial" w:hAnsi="Arial"/>
        <w:color w:val="404040"/>
        <w:sz w:val="22"/>
      </w:rPr>
      <w:tbl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Pr/>
    </w:tblStylePr>
    <w:tblStylePr w:type="band2Horz">
      <w:rPr>
        <w:rFonts w:ascii="Arial" w:hAnsi="Arial"/>
        <w:color w:val="404040"/>
        <w:sz w:val="22"/>
      </w:rPr>
      <w:tblPr/>
      <w:tcPr>
        <w:shd w:val="clear" w:color="C7D7EA" w:themeColor="accent1" w:themeTint="50" w:fill="C7D7EA" w:themeFill="accent1" w:themeFillTint="50"/>
      </w:tcPr>
    </w:tblStylePr>
    <w:tblStylePr w:type="neCell">
      <w:tblPr/>
    </w:tblStylePr>
    <w:tblStylePr w:type="nwCell">
      <w:tblPr/>
    </w:tblStylePr>
    <w:tblStylePr w:type="seCell">
      <w:tblPr/>
    </w:tblStylePr>
    <w:tblStylePr w:type="swCell">
      <w:tblPr/>
    </w:tblStylePr>
  </w:style>
  <w:style w:type="table" w:customStyle="1" w:styleId="168">
    <w:name w:val="Bordered &amp; Lined - Accent 2"/>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blPr/>
      <w:tcPr>
        <w:shd w:val="clear" w:color="D99795" w:themeColor="accent2" w:themeTint="97" w:fill="D99795" w:themeFill="accent2" w:themeFillTint="97"/>
      </w:tcPr>
    </w:tblStylePr>
    <w:tblStylePr w:type="lastRow">
      <w:rPr>
        <w:rFonts w:ascii="Arial" w:hAnsi="Arial"/>
        <w:color w:val="F2F2F2"/>
        <w:sz w:val="22"/>
      </w:rPr>
      <w:tblPr/>
      <w:tcPr>
        <w:shd w:val="clear" w:color="D99795" w:themeColor="accent2" w:themeTint="97" w:fill="D99795" w:themeFill="accent2" w:themeFillTint="97"/>
      </w:tcPr>
    </w:tblStylePr>
    <w:tblStylePr w:type="firstCol">
      <w:rPr>
        <w:rFonts w:ascii="Arial" w:hAnsi="Arial"/>
        <w:color w:val="F2F2F2"/>
        <w:sz w:val="22"/>
      </w:rPr>
      <w:tblPr/>
      <w:tcPr>
        <w:shd w:val="clear" w:color="D99795" w:themeColor="accent2" w:themeTint="97" w:fill="D99795" w:themeFill="accent2" w:themeFillTint="97"/>
      </w:tcPr>
    </w:tblStylePr>
    <w:tblStylePr w:type="lastCol">
      <w:rPr>
        <w:rFonts w:ascii="Arial" w:hAnsi="Arial"/>
        <w:color w:val="F2F2F2"/>
        <w:sz w:val="22"/>
      </w:rPr>
      <w:tblPr/>
      <w:tcPr>
        <w:shd w:val="clear" w:color="D99795" w:themeColor="accent2" w:themeTint="97" w:fill="D99795" w:themeFill="accent2" w:themeFillTint="97"/>
      </w:tcPr>
    </w:tblStylePr>
    <w:tblStylePr w:type="band1Vert">
      <w:rPr>
        <w:rFonts w:ascii="Arial" w:hAnsi="Arial"/>
        <w:color w:val="404040"/>
        <w:sz w:val="22"/>
      </w:rPr>
      <w:tbl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blStylePr>
    <w:tblStylePr w:type="band2Horz">
      <w:rPr>
        <w:rFonts w:ascii="Arial" w:hAnsi="Arial"/>
        <w:color w:val="404040"/>
        <w:sz w:val="22"/>
      </w:rPr>
      <w:tblPr/>
      <w:tcPr>
        <w:shd w:val="clear" w:color="F2DCDC" w:themeColor="accent2" w:themeTint="32" w:fill="F2DCDC" w:themeFill="accent2" w:themeFillTint="32"/>
      </w:tcPr>
    </w:tblStylePr>
    <w:tblStylePr w:type="neCell">
      <w:tblPr/>
    </w:tblStylePr>
    <w:tblStylePr w:type="nwCell">
      <w:tblPr/>
    </w:tblStylePr>
    <w:tblStylePr w:type="seCell">
      <w:tblPr/>
    </w:tblStylePr>
    <w:tblStylePr w:type="swCell">
      <w:tblPr/>
    </w:tblStylePr>
  </w:style>
  <w:style w:type="table" w:customStyle="1" w:styleId="169">
    <w:name w:val="Bordered &amp; Lined - Accent 3"/>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blPr/>
      <w:tcPr>
        <w:shd w:val="clear" w:color="9BBB59" w:themeColor="accent3" w:themeTint="FE" w:fill="9BBB59" w:themeFill="accent3" w:themeFillTint="FE"/>
      </w:tcPr>
    </w:tblStylePr>
    <w:tblStylePr w:type="lastRow">
      <w:rPr>
        <w:rFonts w:ascii="Arial" w:hAnsi="Arial"/>
        <w:color w:val="F2F2F2"/>
        <w:sz w:val="22"/>
      </w:rPr>
      <w:tblPr/>
      <w:tcPr>
        <w:shd w:val="clear" w:color="9BBB59" w:themeColor="accent3" w:themeTint="FE" w:fill="9BBB59" w:themeFill="accent3" w:themeFillTint="FE"/>
      </w:tcPr>
    </w:tblStylePr>
    <w:tblStylePr w:type="firstCol">
      <w:rPr>
        <w:rFonts w:ascii="Arial" w:hAnsi="Arial"/>
        <w:color w:val="F2F2F2"/>
        <w:sz w:val="22"/>
      </w:rPr>
      <w:tblPr/>
      <w:tcPr>
        <w:shd w:val="clear" w:color="9BBB59" w:themeColor="accent3" w:themeTint="FE" w:fill="9BBB59" w:themeFill="accent3" w:themeFillTint="FE"/>
      </w:tcPr>
    </w:tblStylePr>
    <w:tblStylePr w:type="lastCol">
      <w:rPr>
        <w:rFonts w:ascii="Arial" w:hAnsi="Arial"/>
        <w:color w:val="F2F2F2"/>
        <w:sz w:val="22"/>
      </w:rPr>
      <w:tblPr/>
      <w:tcPr>
        <w:shd w:val="clear" w:color="9BBB59" w:themeColor="accent3" w:themeTint="FE" w:fill="9BBB59" w:themeFill="accent3" w:themeFillTint="FE"/>
      </w:tcPr>
    </w:tblStylePr>
    <w:tblStylePr w:type="band1Vert">
      <w:rPr>
        <w:rFonts w:ascii="Arial" w:hAnsi="Arial"/>
        <w:color w:val="404040"/>
        <w:sz w:val="22"/>
      </w:rPr>
      <w:tblPr/>
    </w:tblStylePr>
    <w:tblStylePr w:type="band2Vert">
      <w:rPr>
        <w:rFonts w:ascii="Arial" w:hAnsi="Arial"/>
        <w:color w:val="404040"/>
        <w:sz w:val="22"/>
      </w:rPr>
      <w:tblPr/>
      <w:tcPr>
        <w:shd w:val="clear" w:color="EAF1DD" w:themeColor="accent3" w:themeTint="34" w:fill="EAF1DD" w:themeFill="accent3"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EAF1DD" w:themeColor="accent3" w:themeTint="34" w:fill="EAF1DD" w:themeFill="accent3" w:themeFillTint="34"/>
      </w:tcPr>
    </w:tblStylePr>
    <w:tblStylePr w:type="neCell">
      <w:tblPr/>
    </w:tblStylePr>
    <w:tblStylePr w:type="nwCell">
      <w:tblPr/>
    </w:tblStylePr>
    <w:tblStylePr w:type="seCell">
      <w:tblPr/>
    </w:tblStylePr>
    <w:tblStylePr w:type="swCell">
      <w:tblPr/>
    </w:tblStylePr>
  </w:style>
  <w:style w:type="table" w:customStyle="1" w:styleId="170">
    <w:name w:val="Bordered &amp; Lined - Accent 4"/>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E5DFEC" w:themeColor="accent4" w:themeTint="34" w:fill="E5DFEC" w:themeFill="accent4" w:themeFillTint="34"/>
      </w:tcPr>
    </w:tblStylePr>
    <w:tblStylePr w:type="neCell">
      <w:tblPr/>
    </w:tblStylePr>
    <w:tblStylePr w:type="nwCell">
      <w:tblPr/>
    </w:tblStylePr>
    <w:tblStylePr w:type="seCell">
      <w:tblPr/>
    </w:tblStylePr>
    <w:tblStylePr w:type="swCell">
      <w:tblPr/>
    </w:tblStylePr>
  </w:style>
  <w:style w:type="table" w:customStyle="1" w:styleId="171">
    <w:name w:val="Bordered &amp; Lined - Accent 5"/>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DAEEF3" w:themeColor="accent5" w:themeTint="34" w:fill="DAEEF3" w:themeFill="accent5" w:themeFillTint="34"/>
      </w:tcPr>
    </w:tblStylePr>
    <w:tblStylePr w:type="neCell">
      <w:tblPr/>
    </w:tblStylePr>
    <w:tblStylePr w:type="nwCell">
      <w:tblPr/>
    </w:tblStylePr>
    <w:tblStylePr w:type="seCell">
      <w:tblPr/>
    </w:tblStylePr>
    <w:tblStylePr w:type="swCell">
      <w:tblPr/>
    </w:tblStylePr>
  </w:style>
  <w:style w:type="table" w:customStyle="1" w:styleId="172">
    <w:name w:val="Bordered &amp; Lined - Accent 6"/>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Pr/>
    </w:tblStylePr>
    <w:tblStylePr w:type="band2Vert">
      <w:rPr>
        <w:rFonts w:ascii="Arial" w:hAnsi="Arial"/>
        <w:color w:val="404040"/>
        <w:sz w:val="22"/>
      </w:rPr>
      <w:tblPr/>
      <w:tcPr>
        <w:shd w:val="clear" w:color="FDE9D9" w:themeColor="accent6" w:themeTint="34" w:fill="FDE9D9" w:themeFill="accent6"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FDE9D9" w:themeColor="accent6" w:themeTint="34" w:fill="FDE9D9" w:themeFill="accent6" w:themeFillTint="34"/>
      </w:tcPr>
    </w:tblStylePr>
    <w:tblStylePr w:type="neCell">
      <w:tblPr/>
    </w:tblStylePr>
    <w:tblStylePr w:type="nwCell">
      <w:tblPr/>
    </w:tblStylePr>
    <w:tblStylePr w:type="seCell">
      <w:tblPr/>
    </w:tblStylePr>
    <w:tblStylePr w:type="swCell">
      <w:tblPr/>
    </w:tblStylePr>
  </w:style>
  <w:style w:type="table" w:customStyle="1" w:styleId="173">
    <w:name w:val="Bordered"/>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blPr/>
      <w:tcPr>
        <w:tcBorders>
          <w:bottom w:val="single" w:color="7E7E7E" w:themeColor="text1" w:themeTint="80" w:sz="12" w:space="0"/>
        </w:tcBorders>
      </w:tcPr>
    </w:tblStylePr>
    <w:tblStylePr w:type="lastRow">
      <w:rPr>
        <w:rFonts w:ascii="Arial" w:hAnsi="Arial"/>
        <w:color w:val="404040"/>
        <w:sz w:val="22"/>
      </w:rPr>
      <w:tblPr/>
      <w:tcPr>
        <w:tcBorders>
          <w:top w:val="single" w:color="7E7E7E" w:themeColor="text1" w:themeTint="80"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7E7E7E" w:themeColor="text1" w:themeTint="80"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74">
    <w:name w:val="Bordered - Accent 1"/>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blPr/>
      <w:tcPr>
        <w:tcBorders>
          <w:bottom w:val="single" w:color="4F81BD" w:themeColor="accent1" w:sz="12" w:space="0"/>
        </w:tcBorders>
      </w:tcPr>
    </w:tblStylePr>
    <w:tblStylePr w:type="lastRow">
      <w:rPr>
        <w:rFonts w:ascii="Arial" w:hAnsi="Arial"/>
        <w:color w:val="404040"/>
        <w:sz w:val="22"/>
      </w:rPr>
      <w:tblPr/>
      <w:tcPr>
        <w:tcBorders>
          <w:top w:val="single" w:color="4F81BD" w:themeColor="accent1"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4F81BD" w:themeColor="accent1"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75">
    <w:name w:val="Bordered - Accent 2"/>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blPr/>
      <w:tcPr>
        <w:tcBorders>
          <w:bottom w:val="single" w:color="D99795" w:themeColor="accent2" w:themeTint="97" w:sz="12" w:space="0"/>
        </w:tcBorders>
      </w:tcPr>
    </w:tblStylePr>
    <w:tblStylePr w:type="lastRow">
      <w:rPr>
        <w:rFonts w:ascii="Arial" w:hAnsi="Arial"/>
        <w:color w:val="404040"/>
        <w:sz w:val="22"/>
      </w:rPr>
      <w:tblPr/>
      <w:tcPr>
        <w:tcBorders>
          <w:top w:val="single" w:color="D99795" w:themeColor="accent2" w:themeTint="97"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D99795" w:themeColor="accent2" w:themeTint="97"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76">
    <w:name w:val="Bordered - Accent 3"/>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blPr/>
      <w:tcPr>
        <w:tcBorders>
          <w:bottom w:val="single" w:color="C3D69C" w:themeColor="accent3" w:themeTint="98" w:sz="12" w:space="0"/>
        </w:tcBorders>
      </w:tcPr>
    </w:tblStylePr>
    <w:tblStylePr w:type="lastRow">
      <w:rPr>
        <w:rFonts w:ascii="Arial" w:hAnsi="Arial"/>
        <w:color w:val="404040"/>
        <w:sz w:val="22"/>
      </w:rPr>
      <w:tblPr/>
      <w:tcPr>
        <w:tcBorders>
          <w:top w:val="single" w:color="C3D69C" w:themeColor="accent3" w:themeTint="98"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C3D69C" w:themeColor="accent3" w:themeTint="98"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77">
    <w:name w:val="Bordered - Accent 4"/>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blPr/>
      <w:tcPr>
        <w:tcBorders>
          <w:bottom w:val="single" w:color="B2A1C6" w:themeColor="accent4" w:themeTint="9A" w:sz="12" w:space="0"/>
        </w:tcBorders>
      </w:tcPr>
    </w:tblStylePr>
    <w:tblStylePr w:type="lastRow">
      <w:rPr>
        <w:rFonts w:ascii="Arial" w:hAnsi="Arial"/>
        <w:color w:val="404040"/>
        <w:sz w:val="22"/>
      </w:rPr>
      <w:tblPr/>
      <w:tcPr>
        <w:tcBorders>
          <w:top w:val="single" w:color="B2A1C6" w:themeColor="accent4" w:themeTint="9A"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B2A1C6" w:themeColor="accent4" w:themeTint="9A"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78">
    <w:name w:val="Bordered - Accent 5"/>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blPr/>
      <w:tcPr>
        <w:tcBorders>
          <w:bottom w:val="single" w:color="92CCDC" w:themeColor="accent5" w:themeTint="9A" w:sz="12" w:space="0"/>
        </w:tcBorders>
      </w:tcPr>
    </w:tblStylePr>
    <w:tblStylePr w:type="lastRow">
      <w:rPr>
        <w:rFonts w:ascii="Arial" w:hAnsi="Arial"/>
        <w:color w:val="404040"/>
        <w:sz w:val="22"/>
      </w:rPr>
      <w:tblPr/>
      <w:tcPr>
        <w:tcBorders>
          <w:top w:val="single" w:color="92CCDC" w:themeColor="accent5" w:themeTint="9A"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92CCDC" w:themeColor="accent5" w:themeTint="9A"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79">
    <w:name w:val="Bordered - Accent 6"/>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blPr/>
      <w:tcPr>
        <w:tcBorders>
          <w:bottom w:val="single" w:color="FAC090" w:themeColor="accent6" w:themeTint="98" w:sz="12" w:space="0"/>
        </w:tcBorders>
      </w:tcPr>
    </w:tblStylePr>
    <w:tblStylePr w:type="lastRow">
      <w:rPr>
        <w:rFonts w:ascii="Arial" w:hAnsi="Arial"/>
        <w:color w:val="404040"/>
        <w:sz w:val="22"/>
      </w:rPr>
      <w:tblPr/>
      <w:tcPr>
        <w:tcBorders>
          <w:top w:val="single" w:color="FAC090" w:themeColor="accent6" w:themeTint="98"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FAC090" w:themeColor="accent6" w:themeTint="98"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character" w:customStyle="1" w:styleId="180">
    <w:name w:val="Footnote Text Char"/>
    <w:link w:val="23"/>
    <w:uiPriority w:val="99"/>
    <w:rPr>
      <w:sz w:val="18"/>
    </w:rPr>
  </w:style>
  <w:style w:type="character" w:customStyle="1" w:styleId="181">
    <w:name w:val="Endnote Text Char"/>
    <w:link w:val="17"/>
    <w:uiPriority w:val="99"/>
    <w:rPr>
      <w:sz w:val="20"/>
    </w:rPr>
  </w:style>
  <w:style w:type="paragraph" w:customStyle="1" w:styleId="182">
    <w:name w:val="TOC Heading"/>
    <w:unhideWhenUsed/>
    <w:uiPriority w:val="39"/>
    <w:rPr>
      <w:rFonts w:hint="default" w:ascii="Times New Roman" w:hAnsi="Times New Roman" w:eastAsia="宋体" w:cs="Times New Roman"/>
    </w:rPr>
  </w:style>
  <w:style w:type="character" w:customStyle="1" w:styleId="183">
    <w:name w:val="默认段落字体1"/>
    <w:link w:val="1"/>
    <w:semiHidden/>
    <w:uiPriority w:val="0"/>
  </w:style>
  <w:style w:type="table" w:customStyle="1" w:styleId="184">
    <w:name w:val="普通表格1"/>
    <w:semiHidden/>
    <w:uiPriority w:val="0"/>
    <w:tblPr/>
    <w:tblStylePr w:type="firstRow">
      <w:tblPr/>
    </w:tblStylePr>
    <w:tblStylePr w:type="lastRow">
      <w:tblPr/>
    </w:tblStylePr>
    <w:tblStylePr w:type="firstCol">
      <w:tblPr/>
    </w:tblStylePr>
    <w:tblStylePr w:type="lastCol">
      <w:tblPr/>
    </w:tblStylePr>
    <w:tblStylePr w:type="band1Vert">
      <w:tblPr/>
    </w:tblStylePr>
    <w:tblStylePr w:type="band2Vert">
      <w:tblPr/>
    </w:tblStylePr>
    <w:tblStylePr w:type="band1Horz">
      <w:tblPr/>
    </w:tblStylePr>
    <w:tblStylePr w:type="band2Horz">
      <w:tblPr/>
    </w:tblStylePr>
    <w:tblStylePr w:type="neCell">
      <w:tblPr/>
    </w:tblStylePr>
    <w:tblStylePr w:type="nwCell">
      <w:tblPr/>
    </w:tblStylePr>
    <w:tblStylePr w:type="seCell">
      <w:tblPr/>
    </w:tblStylePr>
    <w:tblStylePr w:type="swCell">
      <w:tblPr/>
    </w:tblStylePr>
  </w:style>
  <w:style w:type="paragraph" w:customStyle="1" w:styleId="185">
    <w:name w:val="页脚1"/>
    <w:basedOn w:val="1"/>
    <w:link w:val="186"/>
    <w:uiPriority w:val="0"/>
    <w:pPr>
      <w:tabs>
        <w:tab w:val="center" w:pos="4153"/>
        <w:tab w:val="right" w:pos="8306"/>
      </w:tabs>
      <w:jc w:val="left"/>
    </w:pPr>
    <w:rPr>
      <w:sz w:val="18"/>
      <w:szCs w:val="18"/>
    </w:rPr>
  </w:style>
  <w:style w:type="character" w:customStyle="1" w:styleId="186">
    <w:name w:val="页脚 字符"/>
    <w:link w:val="185"/>
    <w:uiPriority w:val="0"/>
    <w:rPr>
      <w:sz w:val="18"/>
      <w:szCs w:val="18"/>
    </w:rPr>
  </w:style>
  <w:style w:type="paragraph" w:customStyle="1" w:styleId="187">
    <w:name w:val="页眉1"/>
    <w:basedOn w:val="1"/>
    <w:link w:val="188"/>
    <w:uiPriority w:val="0"/>
    <w:pPr>
      <w:pBdr>
        <w:bottom w:val="single" w:color="000000" w:sz="6" w:space="1"/>
      </w:pBdr>
      <w:tabs>
        <w:tab w:val="center" w:pos="4153"/>
        <w:tab w:val="right" w:pos="8306"/>
      </w:tabs>
      <w:jc w:val="center"/>
    </w:pPr>
    <w:rPr>
      <w:sz w:val="18"/>
      <w:szCs w:val="18"/>
    </w:rPr>
  </w:style>
  <w:style w:type="character" w:customStyle="1" w:styleId="188">
    <w:name w:val="页眉 字符"/>
    <w:link w:val="187"/>
    <w:uiPriority w:val="0"/>
    <w:rPr>
      <w:sz w:val="18"/>
      <w:szCs w:val="18"/>
    </w:rPr>
  </w:style>
  <w:style w:type="paragraph" w:customStyle="1" w:styleId="189">
    <w:name w:val="普通(网站)1"/>
    <w:basedOn w:val="1"/>
    <w:uiPriority w:val="0"/>
    <w:pPr>
      <w:widowControl/>
      <w:spacing w:before="100" w:beforeAutospacing="1" w:after="100" w:afterAutospacing="1"/>
      <w:jc w:val="left"/>
    </w:pPr>
    <w:rPr>
      <w:rFonts w:ascii="宋体" w:hAnsi="宋体" w:cs="宋体"/>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4042</Words>
  <Characters>4384</Characters>
  <TotalTime>1</TotalTime>
  <ScaleCrop>false</ScaleCrop>
  <LinksUpToDate>false</LinksUpToDate>
  <CharactersWithSpaces>4396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2021-10-29T09:36:00Z</dcterms:created>
  <dc:creator>H</dc:creator>
  <cp:lastModifiedBy>乐萍@</cp:lastModifiedBy>
  <dcterms:modified xsi:type="dcterms:W3CDTF">2025-11-24T07:49:10Z</dcterms:modified>
  <dc:title>汝城县预算</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eyJoZGlkIjoiMmM4N2IwNjRlMmU3NGQ0MjAyNTk2OWVlN2U3NWEwZTYiLCJ1c2VySWQiOiIyNjAwMzY5ODYifQ==</vt:lpwstr>
  </property>
  <property fmtid="{D5CDD505-2E9C-101B-9397-08002B2CF9AE}" pid="3" name="KSOProductBuildVer">
    <vt:lpwstr>2052-12.1.0.23542</vt:lpwstr>
  </property>
  <property fmtid="{D5CDD505-2E9C-101B-9397-08002B2CF9AE}" pid="4" name="ICV">
    <vt:lpwstr>31BE7E5AB70C49AEA28A267C96C234B1_12</vt:lpwstr>
  </property>
</Properties>
</file>