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万家庄街道办事处</w:t>
      </w: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7"/>
        <w:jc w:val="center"/>
        <w:rPr>
          <w:rFonts w:hint="eastAsia"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spacing w:line="500" w:lineRule="exact"/>
        <w:jc w:val="both"/>
        <w:rPr>
          <w:b/>
          <w:sz w:val="36"/>
          <w:szCs w:val="28"/>
        </w:rPr>
      </w:pPr>
    </w:p>
    <w:p>
      <w:pPr>
        <w:pStyle w:val="17"/>
        <w:spacing w:line="500" w:lineRule="exact"/>
        <w:jc w:val="both"/>
        <w:rPr>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7"/>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万家庄街道办事处</w:t>
      </w: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pStyle w:val="17"/>
        <w:jc w:val="both"/>
        <w:rPr>
          <w:rFonts w:hint="eastAsia" w:hAnsi="黑体"/>
          <w:sz w:val="32"/>
          <w:szCs w:val="32"/>
        </w:rPr>
      </w:pPr>
    </w:p>
    <w:p>
      <w:pPr>
        <w:pStyle w:val="17"/>
        <w:jc w:val="both"/>
        <w:rPr>
          <w:rFonts w:hint="eastAsia" w:hAnsi="黑体"/>
          <w:sz w:val="32"/>
          <w:szCs w:val="32"/>
        </w:rPr>
      </w:pPr>
    </w:p>
    <w:p>
      <w:pPr>
        <w:pStyle w:val="3"/>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万家庄街道办事处</w:t>
      </w:r>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pPr>
        <w:pStyle w:val="3"/>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pPr>
        <w:pStyle w:val="3"/>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pPr>
        <w:spacing w:line="360" w:lineRule="auto"/>
        <w:ind w:firstLine="960" w:firstLineChars="300"/>
        <w:rPr>
          <w:rFonts w:hint="eastAsia" w:ascii="仿宋" w:hAnsi="仿宋" w:eastAsia="仿宋" w:cs="仿宋"/>
          <w:kern w:val="0"/>
          <w:sz w:val="32"/>
          <w:szCs w:val="32"/>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万家庄街道办事处</w:t>
      </w:r>
      <w:r>
        <w:rPr>
          <w:rFonts w:hint="eastAsia" w:ascii="仿宋" w:hAnsi="仿宋" w:eastAsia="仿宋" w:cs="仿宋"/>
          <w:color w:val="000000"/>
          <w:sz w:val="32"/>
          <w:szCs w:val="32"/>
          <w:shd w:val="clear" w:color="auto" w:fill="FFFFFF"/>
        </w:rPr>
        <w:t>单位内设机构包括：</w:t>
      </w:r>
      <w:r>
        <w:rPr>
          <w:rFonts w:hint="eastAsia" w:ascii="仿宋" w:hAnsi="仿宋" w:eastAsia="仿宋" w:cs="仿宋"/>
          <w:sz w:val="32"/>
          <w:szCs w:val="32"/>
        </w:rPr>
        <w:t>我单位为正科级全额拨款行政单位，内设党政综合办公室、基层党建办公室、经济发展办公室、社会事务办公室、自然资源和生态环境办公室、社会治安和应急管理办公室，社会事务综合服务中心、农业综合服务中心、政务服务中心，退役军人服务站，综合行政执法大队等11个办公室（事务中心、站、大队）。</w:t>
      </w:r>
      <w:r>
        <w:rPr>
          <w:rFonts w:hint="eastAsia" w:ascii="仿宋" w:hAnsi="仿宋" w:eastAsia="仿宋" w:cs="仿宋"/>
          <w:color w:val="000000"/>
          <w:sz w:val="32"/>
          <w:szCs w:val="32"/>
          <w:shd w:val="clear" w:color="auto" w:fill="FFFFFF"/>
        </w:rPr>
        <w:t>现编人数行政</w:t>
      </w:r>
      <w:r>
        <w:rPr>
          <w:rFonts w:hint="eastAsia" w:ascii="仿宋" w:hAnsi="仿宋" w:eastAsia="仿宋" w:cs="仿宋"/>
          <w:color w:val="000000"/>
          <w:sz w:val="32"/>
          <w:szCs w:val="32"/>
          <w:shd w:val="clear" w:color="auto" w:fill="FFFFFF"/>
          <w:lang w:val="en-US" w:eastAsia="zh-CN"/>
        </w:rPr>
        <w:t>36</w:t>
      </w:r>
      <w:r>
        <w:rPr>
          <w:rFonts w:hint="eastAsia" w:ascii="仿宋" w:hAnsi="仿宋" w:eastAsia="仿宋" w:cs="仿宋"/>
          <w:color w:val="000000"/>
          <w:sz w:val="32"/>
          <w:szCs w:val="32"/>
          <w:shd w:val="clear" w:color="auto" w:fill="FFFFFF"/>
        </w:rPr>
        <w:t>人，事业</w:t>
      </w:r>
      <w:r>
        <w:rPr>
          <w:rFonts w:hint="eastAsia" w:ascii="仿宋" w:hAnsi="仿宋" w:eastAsia="仿宋" w:cs="仿宋"/>
          <w:color w:val="000000"/>
          <w:sz w:val="32"/>
          <w:szCs w:val="32"/>
          <w:shd w:val="clear" w:color="auto" w:fill="FFFFFF"/>
          <w:lang w:val="en-US" w:eastAsia="zh-CN"/>
        </w:rPr>
        <w:t>27</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pPr>
        <w:pStyle w:val="3"/>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万家庄街道办事处</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万家庄街道办事处</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7520" w:type="dxa"/>
        <w:tblInd w:w="0" w:type="dxa"/>
        <w:tblLayout w:type="fixed"/>
        <w:tblCellMar>
          <w:top w:w="0" w:type="dxa"/>
          <w:left w:w="0" w:type="dxa"/>
          <w:bottom w:w="0" w:type="dxa"/>
          <w:right w:w="0" w:type="dxa"/>
        </w:tblCellMar>
      </w:tblPr>
      <w:tblGrid>
        <w:gridCol w:w="216"/>
        <w:gridCol w:w="216"/>
        <w:gridCol w:w="558"/>
        <w:gridCol w:w="928"/>
        <w:gridCol w:w="1814"/>
        <w:gridCol w:w="1188"/>
        <w:gridCol w:w="626"/>
        <w:gridCol w:w="1174"/>
        <w:gridCol w:w="640"/>
        <w:gridCol w:w="1160"/>
        <w:gridCol w:w="654"/>
        <w:gridCol w:w="1146"/>
        <w:gridCol w:w="668"/>
        <w:gridCol w:w="1132"/>
        <w:gridCol w:w="682"/>
        <w:gridCol w:w="1118"/>
        <w:gridCol w:w="1460"/>
        <w:gridCol w:w="340"/>
        <w:gridCol w:w="1800"/>
      </w:tblGrid>
      <w:tr>
        <w:tblPrEx>
          <w:tblCellMar>
            <w:top w:w="0" w:type="dxa"/>
            <w:left w:w="0" w:type="dxa"/>
            <w:bottom w:w="0" w:type="dxa"/>
            <w:right w:w="0" w:type="dxa"/>
          </w:tblCellMar>
        </w:tblPrEx>
        <w:trPr>
          <w:gridAfter w:val="2"/>
          <w:wAfter w:w="2140" w:type="dxa"/>
          <w:trHeight w:val="710" w:hRule="atLeast"/>
        </w:trPr>
        <w:tc>
          <w:tcPr>
            <w:tcW w:w="15380" w:type="dxa"/>
            <w:gridSpan w:val="17"/>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3"/>
              <w:gridCol w:w="613"/>
              <w:gridCol w:w="1409"/>
              <w:gridCol w:w="5038"/>
              <w:gridCol w:w="1177"/>
              <w:gridCol w:w="460"/>
              <w:gridCol w:w="93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1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64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1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28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1184.15</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七、灾害防治及应急管理支出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22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65"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1184.15</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2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1184.15</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2"/>
          <w:wAfter w:w="2140" w:type="dxa"/>
          <w:trHeight w:val="90" w:hRule="atLeast"/>
        </w:trPr>
        <w:tc>
          <w:tcPr>
            <w:tcW w:w="2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2"/>
          <w:wAfter w:w="2140" w:type="dxa"/>
          <w:trHeight w:val="90" w:hRule="atLeast"/>
        </w:trPr>
        <w:tc>
          <w:tcPr>
            <w:tcW w:w="43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11,841,482.01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11,841,482.01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tbl>
      <w:tblPr>
        <w:tblStyle w:val="11"/>
        <w:tblW w:w="16027" w:type="dxa"/>
        <w:tblInd w:w="93" w:type="dxa"/>
        <w:tblLayout w:type="autofit"/>
        <w:tblCellMar>
          <w:top w:w="0" w:type="dxa"/>
          <w:left w:w="108" w:type="dxa"/>
          <w:bottom w:w="0" w:type="dxa"/>
          <w:right w:w="108" w:type="dxa"/>
        </w:tblCellMar>
      </w:tblPr>
      <w:tblGrid>
        <w:gridCol w:w="990"/>
        <w:gridCol w:w="633"/>
        <w:gridCol w:w="263"/>
        <w:gridCol w:w="1481"/>
        <w:gridCol w:w="1553"/>
        <w:gridCol w:w="399"/>
        <w:gridCol w:w="1401"/>
        <w:gridCol w:w="590"/>
        <w:gridCol w:w="1210"/>
        <w:gridCol w:w="781"/>
        <w:gridCol w:w="1019"/>
        <w:gridCol w:w="972"/>
        <w:gridCol w:w="828"/>
        <w:gridCol w:w="1163"/>
        <w:gridCol w:w="637"/>
        <w:gridCol w:w="2107"/>
      </w:tblGrid>
      <w:tr>
        <w:tblPrEx>
          <w:tblCellMar>
            <w:top w:w="0" w:type="dxa"/>
            <w:left w:w="108" w:type="dxa"/>
            <w:bottom w:w="0" w:type="dxa"/>
            <w:right w:w="108" w:type="dxa"/>
          </w:tblCellMar>
        </w:tblPrEx>
        <w:trPr>
          <w:trHeight w:val="807" w:hRule="atLeast"/>
        </w:trPr>
        <w:tc>
          <w:tcPr>
            <w:tcW w:w="16027" w:type="dxa"/>
            <w:gridSpan w:val="1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11,841,482.01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11,671,482.01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11"/>
        <w:tblW w:w="16590" w:type="dxa"/>
        <w:tblInd w:w="93" w:type="dxa"/>
        <w:tblLayout w:type="fixed"/>
        <w:tblCellMar>
          <w:top w:w="0" w:type="dxa"/>
          <w:left w:w="108" w:type="dxa"/>
          <w:bottom w:w="0" w:type="dxa"/>
          <w:right w:w="108" w:type="dxa"/>
        </w:tblCellMar>
      </w:tblPr>
      <w:tblGrid>
        <w:gridCol w:w="2073"/>
        <w:gridCol w:w="766"/>
        <w:gridCol w:w="379"/>
        <w:gridCol w:w="432"/>
        <w:gridCol w:w="1030"/>
        <w:gridCol w:w="26"/>
        <w:gridCol w:w="414"/>
        <w:gridCol w:w="1753"/>
        <w:gridCol w:w="1066"/>
        <w:gridCol w:w="1717"/>
        <w:gridCol w:w="70"/>
        <w:gridCol w:w="425"/>
        <w:gridCol w:w="1452"/>
        <w:gridCol w:w="320"/>
        <w:gridCol w:w="934"/>
        <w:gridCol w:w="399"/>
        <w:gridCol w:w="854"/>
        <w:gridCol w:w="1269"/>
        <w:gridCol w:w="142"/>
      </w:tblGrid>
      <w:tr>
        <w:tblPrEx>
          <w:tblCellMar>
            <w:top w:w="0" w:type="dxa"/>
            <w:left w:w="108" w:type="dxa"/>
            <w:bottom w:w="0" w:type="dxa"/>
            <w:right w:w="108" w:type="dxa"/>
          </w:tblCellMar>
        </w:tblPrEx>
        <w:trPr>
          <w:trHeight w:val="285" w:hRule="atLeast"/>
        </w:trPr>
        <w:tc>
          <w:tcPr>
            <w:tcW w:w="3218" w:type="dxa"/>
            <w:gridSpan w:val="3"/>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4" w:name="RANGE!A1:I22"/>
            <w:bookmarkEnd w:id="4"/>
            <w:bookmarkStart w:id="5" w:name="RANGE!A1:F16"/>
          </w:p>
        </w:tc>
        <w:tc>
          <w:tcPr>
            <w:tcW w:w="43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70"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606"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2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5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25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25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11"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264"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21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218"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color w:val="000000"/>
                <w:kern w:val="0"/>
                <w:sz w:val="20"/>
                <w:szCs w:val="20"/>
                <w:lang w:eastAsia="zh-CN"/>
              </w:rPr>
              <w:t>万</w:t>
            </w:r>
            <w:r>
              <w:rPr>
                <w:rFonts w:hint="eastAsia" w:ascii="宋体" w:hAnsi="宋体" w:eastAsia="宋体" w:cs="宋体"/>
                <w:color w:val="000000"/>
                <w:kern w:val="0"/>
                <w:sz w:val="20"/>
                <w:szCs w:val="2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47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67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312" w:hRule="atLeast"/>
        </w:trPr>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6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2" w:type="dxa"/>
          <w:trHeight w:val="296"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01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6,343,252.12</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6,343,252.12</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8"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9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11"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3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61"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16"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1,167,676.35</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1,167,676.35</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871"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602"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6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83"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3,981,000.00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3,981,000.00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35"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61"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61"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7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78"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5"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2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77"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69"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303"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11,841,482.01</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13256" w:type="dxa"/>
            <w:gridSpan w:val="1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12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87" w:hRule="atLeast"/>
        </w:trPr>
        <w:tc>
          <w:tcPr>
            <w:tcW w:w="13256" w:type="dxa"/>
            <w:gridSpan w:val="1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2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单位：元</w:t>
      </w:r>
    </w:p>
    <w:tbl>
      <w:tblPr>
        <w:tblStyle w:val="11"/>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4396"/>
        <w:gridCol w:w="2119"/>
        <w:gridCol w:w="2119"/>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11,841,482.01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11,671,482.01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560,928.35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6,183,352.12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339,553.54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606,748.00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09"/>
        <w:gridCol w:w="237"/>
        <w:gridCol w:w="1261"/>
        <w:gridCol w:w="1964"/>
        <w:gridCol w:w="2629"/>
        <w:gridCol w:w="2030"/>
        <w:gridCol w:w="2559"/>
        <w:gridCol w:w="1892"/>
        <w:gridCol w:w="1897"/>
        <w:gridCol w:w="236"/>
      </w:tblGrid>
      <w:tr>
        <w:tblPrEx>
          <w:tblCellMar>
            <w:top w:w="0" w:type="dxa"/>
            <w:left w:w="108" w:type="dxa"/>
            <w:bottom w:w="0" w:type="dxa"/>
            <w:right w:w="108" w:type="dxa"/>
          </w:tblCellMar>
        </w:tblPrEx>
        <w:trPr>
          <w:trHeight w:val="113" w:hRule="atLeast"/>
        </w:trPr>
        <w:tc>
          <w:tcPr>
            <w:tcW w:w="15614"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tblPrEx>
          <w:tblCellMar>
            <w:top w:w="0" w:type="dxa"/>
            <w:left w:w="108" w:type="dxa"/>
            <w:bottom w:w="0" w:type="dxa"/>
            <w:right w:w="108" w:type="dxa"/>
          </w:tblCellMar>
        </w:tblPrEx>
        <w:trPr>
          <w:trHeight w:val="113" w:hRule="atLeast"/>
        </w:trPr>
        <w:tc>
          <w:tcPr>
            <w:tcW w:w="15614" w:type="dxa"/>
            <w:gridSpan w:val="10"/>
            <w:tcBorders>
              <w:top w:val="nil"/>
              <w:left w:val="nil"/>
              <w:bottom w:val="nil"/>
              <w:right w:val="nil"/>
            </w:tcBorders>
            <w:shd w:val="clear" w:color="auto" w:fill="auto"/>
            <w:noWrap/>
            <w:vAlign w:val="center"/>
          </w:tcPr>
          <w:tbl>
            <w:tblPr>
              <w:tblStyle w:val="11"/>
              <w:tblW w:w="184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898"/>
              <w:gridCol w:w="1500"/>
              <w:gridCol w:w="637"/>
              <w:gridCol w:w="2290"/>
              <w:gridCol w:w="1500"/>
              <w:gridCol w:w="637"/>
              <w:gridCol w:w="3701"/>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23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8,246,234.01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2,624,900.00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4,709,280.00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959,664.00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812,413.00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185,780.00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880,928.35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21,739.12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339,553.54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336,876.00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800,348.00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577,748.00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459,900.00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9,046,582.01</w:t>
                  </w:r>
                </w:p>
              </w:tc>
              <w:tc>
                <w:tcPr>
                  <w:tcW w:w="105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2,624,900.00</w:t>
                  </w:r>
                </w:p>
              </w:tc>
            </w:tr>
          </w:tbl>
          <w:p>
            <w:pPr>
              <w:widowControl/>
              <w:jc w:val="both"/>
              <w:rPr>
                <w:rFonts w:hint="eastAsia"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284" w:hRule="exact"/>
        </w:trPr>
        <w:tc>
          <w:tcPr>
            <w:tcW w:w="15614" w:type="dxa"/>
            <w:gridSpan w:val="10"/>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CellMar>
            <w:top w:w="0" w:type="dxa"/>
            <w:left w:w="108" w:type="dxa"/>
            <w:bottom w:w="0" w:type="dxa"/>
            <w:right w:w="108" w:type="dxa"/>
          </w:tblCellMar>
        </w:tblPrEx>
        <w:trPr>
          <w:trHeight w:val="284" w:hRule="exact"/>
        </w:trPr>
        <w:tc>
          <w:tcPr>
            <w:tcW w:w="15614" w:type="dxa"/>
            <w:gridSpan w:val="10"/>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15378"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90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6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2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3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55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90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6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2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3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55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5" w:hRule="atLeast"/>
        </w:trPr>
        <w:tc>
          <w:tcPr>
            <w:tcW w:w="15378"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8"/>
        <w:gridCol w:w="1141"/>
        <w:gridCol w:w="1154"/>
        <w:gridCol w:w="1131"/>
        <w:gridCol w:w="1154"/>
        <w:gridCol w:w="1154"/>
        <w:gridCol w:w="1207"/>
        <w:gridCol w:w="1142"/>
        <w:gridCol w:w="1154"/>
        <w:gridCol w:w="1131"/>
        <w:gridCol w:w="1154"/>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1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4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1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0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4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1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tbl>
            <w:tblPr>
              <w:tblStyle w:val="11"/>
              <w:tblW w:w="1482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136"/>
              <w:gridCol w:w="1235"/>
              <w:gridCol w:w="1235"/>
              <w:gridCol w:w="1235"/>
              <w:gridCol w:w="1236"/>
              <w:gridCol w:w="1236"/>
              <w:gridCol w:w="1236"/>
              <w:gridCol w:w="1236"/>
              <w:gridCol w:w="1236"/>
              <w:gridCol w:w="1236"/>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40,000.00</w:t>
                  </w:r>
                </w:p>
              </w:tc>
            </w:tr>
          </w:tbl>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7"/>
        <w:rPr>
          <w:sz w:val="72"/>
          <w:szCs w:val="72"/>
        </w:rPr>
      </w:pPr>
    </w:p>
    <w:p>
      <w:pPr>
        <w:pStyle w:val="17"/>
        <w:rPr>
          <w:sz w:val="72"/>
          <w:szCs w:val="72"/>
        </w:rPr>
      </w:pPr>
    </w:p>
    <w:p>
      <w:pPr>
        <w:pStyle w:val="17"/>
        <w:rPr>
          <w:sz w:val="72"/>
          <w:szCs w:val="72"/>
        </w:rPr>
      </w:pPr>
    </w:p>
    <w:p>
      <w:pPr>
        <w:pStyle w:val="17"/>
        <w:rPr>
          <w:sz w:val="72"/>
          <w:szCs w:val="72"/>
        </w:rPr>
      </w:pPr>
    </w:p>
    <w:p>
      <w:pPr>
        <w:pStyle w:val="17"/>
        <w:jc w:val="center"/>
        <w:rPr>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w:t>
      </w:r>
      <w:bookmarkStart w:id="7" w:name="START_IS_ZERO_04_1"/>
      <w:bookmarkEnd w:id="7"/>
      <w:bookmarkStart w:id="8" w:name="IS_ZERO_04"/>
      <w:bookmarkEnd w:id="8"/>
      <w:bookmarkStart w:id="9" w:name="START_INCOME_PAY_AMT"/>
      <w:bookmarkEnd w:id="9"/>
      <w:bookmarkStart w:id="10" w:name="DIS_MARK_IS_ZERO_04_1"/>
      <w:bookmarkStart w:id="11" w:name="DIS_MARK_INCOME_PAY_AMT"/>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增加39.13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人员调入，人均经费增加</w:t>
      </w:r>
      <w:r>
        <w:rPr>
          <w:rFonts w:hint="eastAsia" w:ascii="Times New Roman" w:hAnsi="Times New Roman" w:eastAsia="仿宋_GB2312"/>
          <w:sz w:val="32"/>
          <w:szCs w:val="32"/>
        </w:rPr>
        <w:t>。</w:t>
      </w:r>
      <w:bookmarkEnd w:id="10"/>
      <w:bookmarkEnd w:id="11"/>
      <w:bookmarkStart w:id="12" w:name="DIS_MARK_IS_ZERO_04_2"/>
      <w:bookmarkEnd w:id="12"/>
      <w:bookmarkStart w:id="13" w:name="END_INCOME_PAY_AMT"/>
      <w:bookmarkEnd w:id="13"/>
      <w:bookmarkStart w:id="14" w:name="END_IS_ZERO_04_2"/>
      <w:bookmarkEnd w:id="14"/>
      <w:bookmarkStart w:id="15" w:name="START_IS_ZERO_04_2"/>
      <w:bookmarkEnd w:id="15"/>
      <w:bookmarkStart w:id="16" w:name="END_IS_ZERO_04_1"/>
      <w:bookmarkEnd w:id="16"/>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增加39.13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2023年度收入合计</w:t>
      </w:r>
      <w:r>
        <w:rPr>
          <w:rFonts w:hint="eastAsia" w:ascii="Times New Roman" w:hAnsi="Times New Roman" w:eastAsia="仿宋_GB2312"/>
          <w:sz w:val="32"/>
          <w:szCs w:val="32"/>
          <w:lang w:val="en-US" w:eastAsia="zh-CN"/>
        </w:rPr>
        <w:t>1184.15</w:t>
      </w:r>
      <w:r>
        <w:rPr>
          <w:rFonts w:hint="eastAsia" w:ascii="Times New Roman" w:hAnsi="Times New Roman" w:eastAsia="仿宋_GB2312" w:cs="黑体"/>
          <w:color w:val="000000"/>
          <w:kern w:val="0"/>
          <w:sz w:val="32"/>
          <w:szCs w:val="32"/>
          <w:lang w:val="en-US" w:eastAsia="zh-CN" w:bidi="ar-SA"/>
        </w:rPr>
        <w:t>万元，</w:t>
      </w:r>
      <w:bookmarkStart w:id="17" w:name="START_INCOME_SRHJ_AMT"/>
      <w:bookmarkEnd w:id="17"/>
      <w:bookmarkStart w:id="18" w:name="DIS_MARK_INCOME_SRHJ_AMT"/>
      <w:r>
        <w:rPr>
          <w:rFonts w:hint="eastAsia" w:ascii="Times New Roman" w:hAnsi="Times New Roman" w:eastAsia="仿宋_GB2312" w:cs="黑体"/>
          <w:color w:val="000000"/>
          <w:kern w:val="0"/>
          <w:sz w:val="32"/>
          <w:szCs w:val="32"/>
          <w:lang w:val="en-US" w:eastAsia="zh-CN" w:bidi="ar-SA"/>
        </w:rPr>
        <w:t>其中：</w:t>
      </w:r>
      <w:bookmarkStart w:id="19" w:name="START_INCOME_CZBKSR_AMT"/>
      <w:bookmarkEnd w:id="19"/>
      <w:bookmarkStart w:id="20" w:name="DIS_MARK_INCOME_CZBKSR_AMT"/>
      <w:r>
        <w:rPr>
          <w:rFonts w:hint="eastAsia" w:ascii="Times New Roman" w:hAnsi="Times New Roman" w:eastAsia="仿宋_GB2312" w:cs="黑体"/>
          <w:color w:val="000000"/>
          <w:kern w:val="0"/>
          <w:sz w:val="32"/>
          <w:szCs w:val="32"/>
          <w:lang w:val="en-US" w:eastAsia="zh-CN" w:bidi="ar-SA"/>
        </w:rPr>
        <w:t>财政拨款收入</w:t>
      </w:r>
      <w:r>
        <w:rPr>
          <w:rFonts w:hint="eastAsia" w:ascii="Times New Roman" w:hAnsi="Times New Roman" w:eastAsia="仿宋_GB2312"/>
          <w:sz w:val="32"/>
          <w:szCs w:val="32"/>
          <w:lang w:val="en-US" w:eastAsia="zh-CN"/>
        </w:rPr>
        <w:t>1184.15</w:t>
      </w:r>
      <w:r>
        <w:rPr>
          <w:rFonts w:hint="eastAsia" w:ascii="Times New Roman" w:hAnsi="Times New Roman" w:eastAsia="仿宋_GB2312" w:cs="黑体"/>
          <w:color w:val="000000"/>
          <w:kern w:val="0"/>
          <w:sz w:val="32"/>
          <w:szCs w:val="32"/>
          <w:lang w:val="en-US" w:eastAsia="zh-CN" w:bidi="ar-SA"/>
        </w:rPr>
        <w:t>万元，占100.00%。</w:t>
      </w:r>
      <w:bookmarkEnd w:id="18"/>
      <w:bookmarkEnd w:id="20"/>
      <w:bookmarkStart w:id="21" w:name="END_INCOME_SYSR_AMT"/>
      <w:bookmarkEnd w:id="21"/>
      <w:bookmarkStart w:id="22" w:name="DIS_MARK_INCOME_SYSR_AMT"/>
      <w:bookmarkEnd w:id="22"/>
      <w:bookmarkStart w:id="23" w:name="START_INCOME_FSDWSJSR_AMT"/>
      <w:bookmarkEnd w:id="23"/>
      <w:bookmarkStart w:id="24" w:name="END_INCOME_QTSR_AMT"/>
      <w:bookmarkEnd w:id="24"/>
      <w:bookmarkStart w:id="25" w:name="DIS_MARK_INCOME_JYSR_AMT"/>
      <w:bookmarkEnd w:id="25"/>
      <w:bookmarkStart w:id="26" w:name="END_INCOME_JYSR_AMT"/>
      <w:bookmarkEnd w:id="26"/>
      <w:bookmarkStart w:id="27" w:name="START_INCOME_SJBZSR_AMT"/>
      <w:bookmarkEnd w:id="27"/>
      <w:bookmarkStart w:id="28" w:name="DIS_MARK_INCOME_SJBZSR_AMT"/>
      <w:bookmarkEnd w:id="28"/>
      <w:bookmarkStart w:id="29" w:name="START_INCOME_QTSR_AMT"/>
      <w:bookmarkEnd w:id="29"/>
      <w:bookmarkStart w:id="30" w:name="DIS_MARK_INCOME_FSDWSJSR_AMT"/>
      <w:bookmarkEnd w:id="30"/>
      <w:bookmarkStart w:id="31" w:name="END_INCOME_SJBZSR_AMT"/>
      <w:bookmarkEnd w:id="31"/>
      <w:bookmarkStart w:id="32" w:name="START_INCOME_SYSR_AMT"/>
      <w:bookmarkEnd w:id="32"/>
      <w:bookmarkStart w:id="33" w:name="DIS_MARK_INCOME_QTSR_AMT"/>
      <w:bookmarkEnd w:id="33"/>
      <w:bookmarkStart w:id="34" w:name="START_INCOME_JYSR_AMT"/>
      <w:bookmarkEnd w:id="34"/>
      <w:bookmarkStart w:id="35" w:name="END_INCOME_FSDWSJSR_AMT"/>
      <w:bookmarkEnd w:id="35"/>
      <w:bookmarkStart w:id="36" w:name="END_INCOME_CZBKSR_AMT"/>
      <w:bookmarkEnd w:id="36"/>
      <w:bookmarkStart w:id="37" w:name="END_INCOME_SRHJ_AMT"/>
      <w:bookmarkEnd w:id="37"/>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万元，其中：</w:t>
      </w:r>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634.33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53.57</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增加39.13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人员调入，人均经费增加</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增加39.13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增加39.13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2023年度财政拨款支出</w:t>
      </w:r>
      <w:r>
        <w:rPr>
          <w:rFonts w:hint="eastAsia" w:ascii="Times New Roman" w:hAnsi="Times New Roman" w:eastAsia="仿宋_GB2312"/>
          <w:sz w:val="32"/>
          <w:szCs w:val="32"/>
          <w:lang w:val="en-US" w:eastAsia="zh-CN"/>
        </w:rPr>
        <w:t>1184.15</w:t>
      </w:r>
      <w:r>
        <w:rPr>
          <w:rFonts w:hint="eastAsia" w:ascii="Times New Roman" w:hAnsi="Times New Roman" w:eastAsia="仿宋_GB2312" w:cs="黑体"/>
          <w:color w:val="000000"/>
          <w:kern w:val="0"/>
          <w:sz w:val="32"/>
          <w:szCs w:val="32"/>
          <w:lang w:val="en-US" w:eastAsia="zh-CN" w:bidi="ar-SA"/>
        </w:rPr>
        <w:t>万元，</w:t>
      </w:r>
      <w:bookmarkStart w:id="38" w:name="START_PAY_AMT_1"/>
      <w:bookmarkEnd w:id="38"/>
      <w:bookmarkStart w:id="39" w:name="DIS_MARK_PAY_AMT_1"/>
      <w:r>
        <w:rPr>
          <w:rFonts w:hint="eastAsia" w:ascii="Times New Roman" w:hAnsi="Times New Roman" w:eastAsia="仿宋_GB2312" w:cs="黑体"/>
          <w:color w:val="000000"/>
          <w:kern w:val="0"/>
          <w:sz w:val="32"/>
          <w:szCs w:val="32"/>
          <w:lang w:val="en-US" w:eastAsia="zh-CN" w:bidi="ar-SA"/>
        </w:rPr>
        <w:t>主要用于以下方面：</w:t>
      </w:r>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634.33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53.57</w:t>
      </w:r>
      <w:r>
        <w:rPr>
          <w:rFonts w:hint="eastAsia" w:ascii="仿宋_GB2312" w:hAnsi="仿宋_GB2312" w:eastAsia="仿宋_GB2312" w:cs="仿宋_GB2312"/>
          <w:sz w:val="32"/>
          <w:szCs w:val="32"/>
        </w:rPr>
        <w:t>%</w:t>
      </w:r>
      <w:r>
        <w:rPr>
          <w:rFonts w:hint="eastAsia" w:ascii="Times New Roman" w:hAnsi="Times New Roman" w:eastAsia="仿宋_GB2312" w:cs="黑体"/>
          <w:color w:val="000000"/>
          <w:kern w:val="0"/>
          <w:sz w:val="32"/>
          <w:szCs w:val="32"/>
          <w:lang w:val="en-US" w:eastAsia="zh-CN" w:bidi="ar-SA"/>
        </w:rPr>
        <w:t>；社会保障和就业支出116.77万元，占比9.86%；卫生健康支出33.96万元，占比2.87%；农林水支出398.1万元，占比33.62%；灾害防治及应急管理支出1万元，占比0.001%。</w:t>
      </w:r>
      <w:bookmarkEnd w:id="39"/>
      <w:bookmarkStart w:id="40" w:name="END_PAY_ZWFXZC_AMT_1"/>
      <w:bookmarkEnd w:id="40"/>
      <w:bookmarkStart w:id="41" w:name="START_PAY_ZWFXFZC_AMT_1"/>
      <w:bookmarkEnd w:id="41"/>
      <w:bookmarkStart w:id="42" w:name="DIS_MARK_PAY_KYTBGZAPDZC_AMT_1"/>
      <w:bookmarkEnd w:id="42"/>
      <w:bookmarkStart w:id="43" w:name="DIS_MARK_PAY_QTZC_AMT_1"/>
      <w:bookmarkEnd w:id="43"/>
      <w:bookmarkStart w:id="44" w:name="END_PAY_ZHFZJYJGLZC_AMT_1"/>
      <w:bookmarkEnd w:id="44"/>
      <w:bookmarkStart w:id="45" w:name="START_PAY_YBF_AMT_1"/>
      <w:bookmarkEnd w:id="45"/>
      <w:bookmarkStart w:id="46" w:name="END_PAY_QTZC_AMT_1"/>
      <w:bookmarkEnd w:id="46"/>
      <w:bookmarkStart w:id="47" w:name="START_PAY_ZWHBZC_AMT_1"/>
      <w:bookmarkEnd w:id="47"/>
      <w:bookmarkStart w:id="48" w:name="DIS_MARK_PAY_ZWFXZC_AMT_1"/>
      <w:bookmarkEnd w:id="48"/>
      <w:bookmarkStart w:id="49" w:name="END_PAY_KYTBGZAPDZC_AMT_1"/>
      <w:bookmarkEnd w:id="49"/>
      <w:bookmarkStart w:id="50" w:name="START_PAY_QTZC_AMT_1"/>
      <w:bookmarkEnd w:id="50"/>
      <w:bookmarkStart w:id="51" w:name="END_PAY_ZWFXFZC_AMT_1"/>
      <w:bookmarkEnd w:id="51"/>
      <w:bookmarkStart w:id="52" w:name="START_PAY_ZYXZCZC_AMT_1"/>
      <w:bookmarkEnd w:id="52"/>
      <w:bookmarkStart w:id="53" w:name="DIS_MARK_PAY_ZYXZCZC_AMT_1"/>
      <w:bookmarkEnd w:id="53"/>
      <w:bookmarkStart w:id="54" w:name="DIS_MARK_PAY_ZWFXFZC_AMT_1"/>
      <w:bookmarkEnd w:id="54"/>
      <w:bookmarkStart w:id="55" w:name="END_PAY_ZYXZCZC_AMT_1"/>
      <w:bookmarkEnd w:id="55"/>
      <w:bookmarkStart w:id="56" w:name="START_PAY_KYTBGZAPDZC_AMT_1"/>
      <w:bookmarkEnd w:id="56"/>
      <w:bookmarkStart w:id="57" w:name="DIS_MARK_PAY_YBF_AMT_1"/>
      <w:bookmarkEnd w:id="57"/>
      <w:bookmarkStart w:id="58" w:name="END_PAY_YBF_AMT_1"/>
      <w:bookmarkEnd w:id="58"/>
      <w:bookmarkStart w:id="59" w:name="END_PAY_AMT_1"/>
      <w:bookmarkEnd w:id="59"/>
      <w:bookmarkStart w:id="60" w:name="DIS_MARK_PAY_ZWHBZC_AMT_1"/>
      <w:bookmarkEnd w:id="60"/>
      <w:bookmarkStart w:id="61" w:name="START_PAY_ZWFXZC_AMT_1"/>
      <w:bookmarkEnd w:id="61"/>
      <w:bookmarkStart w:id="62" w:name="END_PAY_ZWHBZC_AMT_1"/>
      <w:bookmarkEnd w:id="62"/>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1184.15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1、一般公共服务支出行政运行。</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634.33</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634.33</w:t>
      </w:r>
      <w:r>
        <w:rPr>
          <w:rFonts w:hint="eastAsia" w:ascii="Times New Roman" w:hAnsi="Times New Roman" w:eastAsia="仿宋_GB2312" w:cs="黑体"/>
          <w:color w:val="000000"/>
          <w:kern w:val="0"/>
          <w:sz w:val="32"/>
          <w:szCs w:val="32"/>
          <w:lang w:val="en-US" w:eastAsia="zh-CN" w:bidi="ar-SA"/>
        </w:rPr>
        <w:t>万元，完成年初预算的100%。</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bookmarkStart w:id="63" w:name="LKX_BM"/>
      <w:r>
        <w:rPr>
          <w:rFonts w:hint="eastAsia" w:ascii="Times New Roman" w:hAnsi="Times New Roman" w:eastAsia="仿宋_GB2312" w:cs="黑体"/>
          <w:color w:val="000000"/>
          <w:kern w:val="0"/>
          <w:sz w:val="32"/>
          <w:szCs w:val="32"/>
          <w:lang w:val="en-US" w:eastAsia="zh-CN" w:bidi="ar-SA"/>
        </w:rPr>
        <w:t>2、社会保障和就业支出。</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年初预算为116.77万元，支出决算为116.77万元，完成年初预算的100%。</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3、卫生健康支出。</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年初预算为33.96万元，支出决算为33.96万元，完成年初预算的100%。</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4、农林水支出。</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年初预算为398.1万元，支出决算为398.1万元，完成年初预算的100%。</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16、灾害防治及应急管理支出</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年初预算为1万元，支出决算为1万元，完成年初预算的100%。</w:t>
      </w:r>
    </w:p>
    <w:bookmarkEnd w:id="63"/>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机关运行经费</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1167.15</w:t>
      </w:r>
      <w:r>
        <w:rPr>
          <w:rFonts w:hint="eastAsia" w:ascii="Times New Roman" w:hAnsi="Times New Roman" w:eastAsia="仿宋_GB2312"/>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904.66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77.5</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262.49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22.5</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“三公”经费财政拨款支出预算为9万元，支出决算为8.5万元，</w:t>
      </w:r>
      <w:bookmarkStart w:id="64" w:name="START_THERR_CZBK_BGT_AMT"/>
      <w:bookmarkEnd w:id="64"/>
      <w:bookmarkStart w:id="65" w:name="DIS_MARK_THERR_CZBK_BGT_AMT"/>
      <w:r>
        <w:rPr>
          <w:rFonts w:hint="eastAsia" w:ascii="Times New Roman" w:hAnsi="Times New Roman" w:eastAsia="仿宋_GB2312" w:cs="黑体"/>
          <w:color w:val="000000"/>
          <w:kern w:val="0"/>
          <w:sz w:val="32"/>
          <w:szCs w:val="32"/>
          <w:lang w:val="en-US" w:eastAsia="zh-CN" w:bidi="ar-SA"/>
        </w:rPr>
        <w:t>完成预算的94.44%，</w:t>
      </w:r>
      <w:bookmarkEnd w:id="65"/>
      <w:bookmarkStart w:id="66" w:name="END_THERR_CZBK_BGT_AMT"/>
      <w:bookmarkEnd w:id="66"/>
      <w:r>
        <w:rPr>
          <w:rFonts w:hint="eastAsia" w:ascii="Times New Roman" w:hAnsi="Times New Roman" w:eastAsia="仿宋_GB2312" w:cs="黑体"/>
          <w:color w:val="000000"/>
          <w:kern w:val="0"/>
          <w:sz w:val="32"/>
          <w:szCs w:val="32"/>
          <w:lang w:val="en-US" w:eastAsia="zh-CN" w:bidi="ar-SA"/>
        </w:rPr>
        <w:t>其中：</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67" w:name="THERR_CZBK_YGCGJFY_BGT_AMT"/>
      <w:r>
        <w:rPr>
          <w:rFonts w:hint="eastAsia" w:ascii="Times New Roman" w:hAnsi="Times New Roman" w:eastAsia="仿宋_GB2312" w:cs="黑体"/>
          <w:color w:val="000000"/>
          <w:kern w:val="0"/>
          <w:sz w:val="32"/>
          <w:szCs w:val="32"/>
          <w:lang w:val="en-US" w:eastAsia="zh-CN" w:bidi="ar-SA"/>
        </w:rPr>
        <w:t>0.00</w:t>
      </w:r>
      <w:bookmarkEnd w:id="67"/>
      <w:r>
        <w:rPr>
          <w:rFonts w:hint="eastAsia" w:ascii="Times New Roman" w:hAnsi="Times New Roman" w:eastAsia="仿宋_GB2312" w:cs="黑体"/>
          <w:color w:val="000000"/>
          <w:kern w:val="0"/>
          <w:sz w:val="32"/>
          <w:szCs w:val="32"/>
          <w:lang w:val="en-US" w:eastAsia="zh-CN" w:bidi="ar-SA"/>
        </w:rPr>
        <w:t>万元，支出决算为</w:t>
      </w:r>
      <w:bookmarkStart w:id="68" w:name="THERR_CZBK_YGCGJFY_FINAL_ACCOUNTS_AMT"/>
      <w:r>
        <w:rPr>
          <w:rFonts w:hint="eastAsia" w:ascii="Times New Roman" w:hAnsi="Times New Roman" w:eastAsia="仿宋_GB2312" w:cs="黑体"/>
          <w:color w:val="000000"/>
          <w:kern w:val="0"/>
          <w:sz w:val="32"/>
          <w:szCs w:val="32"/>
          <w:lang w:val="en-US" w:eastAsia="zh-CN" w:bidi="ar-SA"/>
        </w:rPr>
        <w:t>0.00</w:t>
      </w:r>
      <w:bookmarkEnd w:id="68"/>
      <w:r>
        <w:rPr>
          <w:rFonts w:hint="eastAsia" w:ascii="Times New Roman" w:hAnsi="Times New Roman" w:eastAsia="仿宋_GB2312" w:cs="黑体"/>
          <w:color w:val="000000"/>
          <w:kern w:val="0"/>
          <w:sz w:val="32"/>
          <w:szCs w:val="32"/>
          <w:lang w:val="en-US" w:eastAsia="zh-CN" w:bidi="ar-SA"/>
        </w:rPr>
        <w:t>万元，</w:t>
      </w:r>
      <w:bookmarkStart w:id="69" w:name="END_THERR_CZBK_YGCGJFY_BGT_AMT"/>
      <w:bookmarkEnd w:id="69"/>
      <w:bookmarkStart w:id="70" w:name="DIS_MARK_THERR_CZBK_YGCGJFY_BGT_AMT"/>
      <w:bookmarkEnd w:id="70"/>
      <w:bookmarkStart w:id="71" w:name="START_THERR_CZBK_YGCGJFY_FINAL_BGT_DB1"/>
      <w:bookmarkEnd w:id="71"/>
      <w:bookmarkStart w:id="72" w:name="DIS_MARK_THERR_CZBK_YGCGJFY_FINAL_BGT_DB"/>
      <w:bookmarkEnd w:id="72"/>
      <w:bookmarkStart w:id="73" w:name="START_THERR_CZBK_YGCGJFY_BGT_AMT"/>
      <w:bookmarkEnd w:id="73"/>
      <w:bookmarkStart w:id="74" w:name="END_THERR_CZBK_YGCGJFY_FINAL_BGT_DB"/>
      <w:bookmarkEnd w:id="74"/>
      <w:bookmarkStart w:id="75" w:name="START_THERR_CZBK_YGCGJFY_FINAL_BGT_DB"/>
      <w:bookmarkEnd w:id="75"/>
      <w:r>
        <w:rPr>
          <w:rFonts w:hint="eastAsia" w:ascii="Times New Roman" w:hAnsi="Times New Roman" w:eastAsia="仿宋_GB2312" w:cs="黑体"/>
          <w:color w:val="000000"/>
          <w:kern w:val="0"/>
          <w:sz w:val="32"/>
          <w:szCs w:val="32"/>
          <w:lang w:val="en-US" w:eastAsia="zh-CN" w:bidi="ar-SA"/>
        </w:rPr>
        <w:t>与本年预算数相同，</w:t>
      </w:r>
      <w:bookmarkStart w:id="76" w:name="END_THERR_CZBK_YGCGJFY_FINAL_BGT_DB1"/>
      <w:bookmarkEnd w:id="76"/>
      <w:bookmarkStart w:id="77" w:name="START_IS_ZERO_01_2"/>
      <w:bookmarkEnd w:id="77"/>
      <w:bookmarkStart w:id="78" w:name="IS_ZERO_01"/>
      <w:bookmarkEnd w:id="78"/>
      <w:bookmarkStart w:id="79" w:name="START_IS_ZERO_01_1"/>
      <w:bookmarkEnd w:id="79"/>
      <w:bookmarkStart w:id="80" w:name="DIS_MARK_IS_ZERO_01_1"/>
      <w:bookmarkEnd w:id="80"/>
      <w:bookmarkStart w:id="81" w:name="END_IS_ZERO_01_1"/>
      <w:bookmarkEnd w:id="81"/>
      <w:bookmarkStart w:id="82"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82"/>
      <w:bookmarkStart w:id="83" w:name="END_IS_ZERO_01_2"/>
      <w:bookmarkEnd w:id="83"/>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w:t>
      </w:r>
      <w:bookmarkStart w:id="84" w:name="END_IS_ZERO_02_1"/>
      <w:bookmarkEnd w:id="84"/>
      <w:bookmarkStart w:id="85" w:name="START_IS_ZERO_02_2"/>
      <w:bookmarkEnd w:id="85"/>
      <w:bookmarkStart w:id="86" w:name="DIS_MARK_IS_ZERO_02_2"/>
      <w:bookmarkEnd w:id="86"/>
      <w:bookmarkStart w:id="87" w:name="END_IS_ZERO_02_2"/>
      <w:bookmarkEnd w:id="87"/>
      <w:r>
        <w:rPr>
          <w:rFonts w:hint="eastAsia" w:ascii="Times New Roman" w:hAnsi="Times New Roman" w:eastAsia="仿宋_GB2312" w:cs="黑体"/>
          <w:color w:val="000000"/>
          <w:kern w:val="0"/>
          <w:sz w:val="32"/>
          <w:szCs w:val="32"/>
          <w:lang w:val="en-US" w:eastAsia="zh-CN" w:bidi="ar-SA"/>
        </w:rPr>
        <w:t>为4.5万元，支出决算为4万元，</w:t>
      </w:r>
      <w:bookmarkStart w:id="88" w:name="START_THERR_CZBK_GWYCGZJYXW_BGT_AMT"/>
      <w:bookmarkEnd w:id="88"/>
      <w:bookmarkStart w:id="89" w:name="DIS_MARK_THERR_CZBK_GWYCGZJYXW_BGT_AMT"/>
      <w:r>
        <w:rPr>
          <w:rFonts w:hint="eastAsia" w:ascii="Times New Roman" w:hAnsi="Times New Roman" w:eastAsia="仿宋_GB2312" w:cs="黑体"/>
          <w:color w:val="000000"/>
          <w:kern w:val="0"/>
          <w:sz w:val="32"/>
          <w:szCs w:val="32"/>
          <w:lang w:val="en-US" w:eastAsia="zh-CN" w:bidi="ar-SA"/>
        </w:rPr>
        <w:t>完成预算的88.89%，</w:t>
      </w:r>
      <w:bookmarkEnd w:id="89"/>
      <w:bookmarkStart w:id="90" w:name="END_IS_ZERO_THERR_03_2"/>
      <w:bookmarkEnd w:id="90"/>
      <w:bookmarkStart w:id="91" w:name="END_THERR_CZBK_GWYCGZJYXW_FINAL_BGT_D"/>
      <w:bookmarkEnd w:id="91"/>
      <w:bookmarkStart w:id="92" w:name="END_THERR_CZBK_GWYCGZJYXW_BGT_AMT"/>
      <w:bookmarkEnd w:id="92"/>
      <w:bookmarkStart w:id="93" w:name="START_IS_ZERO_THERR_03_2"/>
      <w:bookmarkEnd w:id="93"/>
      <w:bookmarkStart w:id="94" w:name="DIS_MARK_THERR_CZBK_GWYCGZJYXW_FINAL_BGT"/>
      <w:bookmarkEnd w:id="94"/>
      <w:bookmarkStart w:id="95" w:name="END_THERR_CZBK_GWYCGZJYXW_FINAL_BGT_DB"/>
      <w:bookmarkEnd w:id="95"/>
      <w:bookmarkStart w:id="96" w:name="END_IS_ZERO_THERR_03_1"/>
      <w:bookmarkEnd w:id="96"/>
      <w:bookmarkStart w:id="97" w:name="IS_ZERO_03"/>
      <w:bookmarkEnd w:id="97"/>
      <w:bookmarkStart w:id="98" w:name="START_THERR_CZBK_GWYCGZJYXW_FINAL_BGT_DB"/>
      <w:bookmarkEnd w:id="98"/>
      <w:bookmarkStart w:id="99" w:name="START_THERR_CZBK_GWYCGZJYXW_FINAL_BGT_D"/>
      <w:bookmarkEnd w:id="99"/>
      <w:bookmarkStart w:id="100" w:name="START_IS_ZERO_03_1"/>
      <w:bookmarkEnd w:id="100"/>
      <w:bookmarkStart w:id="101" w:name="DIS_MARK_IS_ZERO_THERR_03_2"/>
      <w:bookmarkEnd w:id="101"/>
      <w:bookmarkStart w:id="102" w:name="THERR_CZBK_GWYCG_FINAL_ACCOUNTS_AMT_DB"/>
      <w:bookmarkStart w:id="103" w:name="DIS_MARK_IS_ZERO_03_1"/>
      <w:r>
        <w:rPr>
          <w:rFonts w:hint="eastAsia" w:ascii="Times New Roman" w:hAnsi="Times New Roman" w:eastAsia="仿宋_GB2312" w:cs="黑体"/>
          <w:color w:val="000000"/>
          <w:kern w:val="0"/>
          <w:sz w:val="32"/>
          <w:szCs w:val="32"/>
          <w:lang w:val="en-US" w:eastAsia="zh-CN" w:bidi="ar-SA"/>
        </w:rPr>
        <w:t>与上年基本</w:t>
      </w:r>
      <w:bookmarkEnd w:id="102"/>
      <w:bookmarkEnd w:id="103"/>
      <w:bookmarkStart w:id="104" w:name="END_IS_ZERO_03_2"/>
      <w:bookmarkEnd w:id="104"/>
      <w:bookmarkStart w:id="105" w:name="END_IS_ZERO_03_1"/>
      <w:bookmarkEnd w:id="105"/>
      <w:bookmarkStart w:id="106" w:name="START_IS_ZERO_03_2"/>
      <w:bookmarkEnd w:id="106"/>
      <w:bookmarkStart w:id="107" w:name="DIS_MARK_IS_ZERO_03_2"/>
      <w:bookmarkEnd w:id="107"/>
      <w:r>
        <w:rPr>
          <w:rFonts w:hint="eastAsia" w:ascii="Times New Roman" w:hAnsi="Times New Roman" w:eastAsia="仿宋_GB2312" w:cs="黑体"/>
          <w:color w:val="000000"/>
          <w:kern w:val="0"/>
          <w:sz w:val="32"/>
          <w:szCs w:val="32"/>
          <w:lang w:val="en-US" w:eastAsia="zh-CN" w:bidi="ar-SA"/>
        </w:rPr>
        <w:t>持平</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公务用车购置费及运行维护费支出预算为4.5万元，支出决算为4.5万元，</w:t>
      </w:r>
      <w:bookmarkStart w:id="108" w:name="START_THERR_CZBK_GWJDF_BGT_AMT"/>
      <w:bookmarkEnd w:id="108"/>
      <w:bookmarkStart w:id="109" w:name="DIS_MARK_THERR_CZBK_GWJDF_BGT_AMT"/>
      <w:r>
        <w:rPr>
          <w:rFonts w:hint="eastAsia" w:ascii="Times New Roman" w:hAnsi="Times New Roman" w:eastAsia="仿宋_GB2312" w:cs="黑体"/>
          <w:color w:val="000000"/>
          <w:kern w:val="0"/>
          <w:sz w:val="32"/>
          <w:szCs w:val="32"/>
          <w:lang w:val="en-US" w:eastAsia="zh-CN" w:bidi="ar-SA"/>
        </w:rPr>
        <w:t>完成预算的100%，</w:t>
      </w:r>
      <w:bookmarkEnd w:id="109"/>
      <w:bookmarkStart w:id="110" w:name="IS_ZERO_THERR_02"/>
      <w:bookmarkEnd w:id="110"/>
      <w:bookmarkStart w:id="111" w:name="END_THERR_CZBK_GWJDF_BGT_AMT"/>
      <w:bookmarkEnd w:id="111"/>
      <w:bookmarkStart w:id="112" w:name="END_THERR_CZBK_GWJDF_FINAL_BGT_DB"/>
      <w:bookmarkEnd w:id="112"/>
      <w:bookmarkStart w:id="113" w:name="START_THERR_CZBK_GWJDF_FINAL_BGT_DB1"/>
      <w:bookmarkEnd w:id="113"/>
      <w:bookmarkStart w:id="114" w:name="DIS_MARK_THERR_CZBK_GWJDF_FINAL_BGT_DB"/>
      <w:bookmarkEnd w:id="114"/>
      <w:bookmarkStart w:id="115" w:name="START_THERR_CZBK_GWJDF_FINAL_BGT_DB"/>
      <w:bookmarkEnd w:id="115"/>
      <w:bookmarkStart w:id="116" w:name="START_IS_ZERO_THERR_02_1"/>
      <w:bookmarkEnd w:id="116"/>
      <w:bookmarkStart w:id="117" w:name="DIS_MARK_IS_ZERO_02_1"/>
      <w:r>
        <w:rPr>
          <w:rFonts w:hint="eastAsia" w:ascii="Times New Roman" w:hAnsi="Times New Roman" w:eastAsia="仿宋_GB2312" w:cs="黑体"/>
          <w:color w:val="000000"/>
          <w:kern w:val="0"/>
          <w:sz w:val="32"/>
          <w:szCs w:val="32"/>
          <w:lang w:val="en-US" w:eastAsia="zh-CN" w:bidi="ar-SA"/>
        </w:rPr>
        <w:t>与上年基本持平。</w:t>
      </w:r>
      <w:bookmarkEnd w:id="117"/>
      <w:r>
        <w:rPr>
          <w:rFonts w:hint="eastAsia" w:ascii="Times New Roman" w:hAnsi="Times New Roman" w:eastAsia="仿宋_GB2312" w:cs="黑体"/>
          <w:color w:val="000000"/>
          <w:kern w:val="0"/>
          <w:sz w:val="32"/>
          <w:szCs w:val="32"/>
          <w:lang w:val="en-US" w:eastAsia="zh-CN" w:bidi="ar-SA"/>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2023年度“三公”经费财政拨款支出决算中，公务接待费支出决算4万元，占47.06%，因公出国（境）费支出决算</w:t>
      </w:r>
      <w:bookmarkStart w:id="118" w:name="THERR_30212_AMT"/>
      <w:r>
        <w:rPr>
          <w:rFonts w:hint="eastAsia" w:ascii="Times New Roman" w:hAnsi="Times New Roman" w:eastAsia="仿宋_GB2312" w:cs="黑体"/>
          <w:color w:val="000000"/>
          <w:kern w:val="0"/>
          <w:sz w:val="32"/>
          <w:szCs w:val="32"/>
          <w:lang w:val="en-US" w:eastAsia="zh-CN" w:bidi="ar-SA"/>
        </w:rPr>
        <w:t>0.00</w:t>
      </w:r>
      <w:bookmarkEnd w:id="118"/>
      <w:r>
        <w:rPr>
          <w:rFonts w:hint="eastAsia" w:ascii="Times New Roman" w:hAnsi="Times New Roman" w:eastAsia="仿宋_GB2312" w:cs="黑体"/>
          <w:color w:val="000000"/>
          <w:kern w:val="0"/>
          <w:sz w:val="32"/>
          <w:szCs w:val="32"/>
          <w:lang w:val="en-US" w:eastAsia="zh-CN" w:bidi="ar-SA"/>
        </w:rPr>
        <w:t>万元，占</w:t>
      </w:r>
      <w:bookmarkStart w:id="119" w:name="THERR_30212_AMT_BL"/>
      <w:r>
        <w:rPr>
          <w:rFonts w:hint="eastAsia" w:ascii="Times New Roman" w:hAnsi="Times New Roman" w:eastAsia="仿宋_GB2312" w:cs="黑体"/>
          <w:color w:val="000000"/>
          <w:kern w:val="0"/>
          <w:sz w:val="32"/>
          <w:szCs w:val="32"/>
          <w:lang w:val="en-US" w:eastAsia="zh-CN" w:bidi="ar-SA"/>
        </w:rPr>
        <w:t>0.00</w:t>
      </w:r>
      <w:bookmarkEnd w:id="119"/>
      <w:r>
        <w:rPr>
          <w:rFonts w:hint="eastAsia" w:ascii="Times New Roman" w:hAnsi="Times New Roman" w:eastAsia="仿宋_GB2312" w:cs="黑体"/>
          <w:color w:val="000000"/>
          <w:kern w:val="0"/>
          <w:sz w:val="32"/>
          <w:szCs w:val="32"/>
          <w:lang w:val="en-US" w:eastAsia="zh-CN" w:bidi="ar-SA"/>
        </w:rPr>
        <w:t>%，公务用车购置费及运行维护费支出决算4.5万元，占52.94%。具体情况如下：</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20" w:name="THERR_YGCGJFY_AMT"/>
      <w:r>
        <w:rPr>
          <w:rFonts w:hint="eastAsia" w:ascii="Times New Roman" w:hAnsi="Times New Roman" w:eastAsia="仿宋_GB2312" w:cs="黑体"/>
          <w:color w:val="000000"/>
          <w:kern w:val="0"/>
          <w:sz w:val="32"/>
          <w:szCs w:val="32"/>
          <w:lang w:val="en-US" w:eastAsia="zh-CN" w:bidi="ar-SA"/>
        </w:rPr>
        <w:t>0.00</w:t>
      </w:r>
      <w:bookmarkEnd w:id="120"/>
      <w:r>
        <w:rPr>
          <w:rFonts w:hint="eastAsia" w:ascii="Times New Roman" w:hAnsi="Times New Roman" w:eastAsia="仿宋_GB2312" w:cs="黑体"/>
          <w:color w:val="000000"/>
          <w:kern w:val="0"/>
          <w:sz w:val="32"/>
          <w:szCs w:val="32"/>
          <w:lang w:val="en-US" w:eastAsia="zh-CN" w:bidi="ar-SA"/>
        </w:rPr>
        <w:t>万元</w:t>
      </w:r>
      <w:bookmarkStart w:id="121" w:name="THERR_YGCGJFY_ZYYY"/>
      <w:bookmarkEnd w:id="121"/>
      <w:bookmarkStart w:id="122" w:name="START_THERR_YGCGJFY_AMT"/>
      <w:bookmarkEnd w:id="122"/>
      <w:bookmarkStart w:id="123" w:name="END_THERR_YGCGJFY_AMT"/>
      <w:bookmarkEnd w:id="123"/>
      <w:bookmarkStart w:id="124" w:name="DIS_MARK_THERR_YGCGJFY_AMT"/>
      <w:bookmarkEnd w:id="124"/>
      <w:r>
        <w:rPr>
          <w:rFonts w:hint="eastAsia" w:ascii="Times New Roman" w:hAnsi="Times New Roman" w:eastAsia="仿宋_GB2312" w:cs="黑体"/>
          <w:color w:val="000000"/>
          <w:kern w:val="0"/>
          <w:sz w:val="32"/>
          <w:szCs w:val="32"/>
          <w:lang w:val="en-US" w:eastAsia="zh-CN" w:bidi="ar-SA"/>
        </w:rPr>
        <w:t>。</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2、公务接待费支出决算为4万元</w:t>
      </w:r>
      <w:bookmarkStart w:id="125" w:name="START_THERR_GWJDF_AMT"/>
      <w:bookmarkEnd w:id="125"/>
      <w:bookmarkStart w:id="126" w:name="DIS_MARK_THERR_GWJDF_AMT"/>
      <w:r>
        <w:rPr>
          <w:rFonts w:hint="eastAsia" w:ascii="Times New Roman" w:hAnsi="Times New Roman" w:eastAsia="仿宋_GB2312" w:cs="黑体"/>
          <w:color w:val="000000"/>
          <w:kern w:val="0"/>
          <w:sz w:val="32"/>
          <w:szCs w:val="32"/>
          <w:lang w:val="en-US" w:eastAsia="zh-CN" w:bidi="ar-SA"/>
        </w:rPr>
        <w:t>，全年共接待来访团组406个，来宾1561人次，主要是</w:t>
      </w:r>
      <w:bookmarkStart w:id="127" w:name="THERR_GWJDF_AMT_ZYYY"/>
      <w:r>
        <w:rPr>
          <w:rFonts w:hint="eastAsia" w:ascii="Times New Roman" w:hAnsi="Times New Roman" w:eastAsia="仿宋_GB2312" w:cs="黑体"/>
          <w:color w:val="000000"/>
          <w:kern w:val="0"/>
          <w:sz w:val="32"/>
          <w:szCs w:val="32"/>
          <w:lang w:val="en-US" w:eastAsia="zh-CN" w:bidi="ar-SA"/>
        </w:rPr>
        <w:t>接待来宾，领导</w:t>
      </w:r>
      <w:bookmarkEnd w:id="126"/>
      <w:bookmarkEnd w:id="127"/>
      <w:bookmarkStart w:id="128" w:name="END_THERR_GWJDF_AMT"/>
      <w:bookmarkEnd w:id="128"/>
      <w:r>
        <w:rPr>
          <w:rFonts w:hint="eastAsia" w:ascii="Times New Roman" w:hAnsi="Times New Roman" w:eastAsia="仿宋_GB2312" w:cs="黑体"/>
          <w:color w:val="000000"/>
          <w:kern w:val="0"/>
          <w:sz w:val="32"/>
          <w:szCs w:val="32"/>
          <w:lang w:val="en-US" w:eastAsia="zh-CN" w:bidi="ar-SA"/>
        </w:rPr>
        <w:t>。</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3、公务用车购置费及运行维护费支出决算为4.5万元</w:t>
      </w:r>
      <w:bookmarkStart w:id="129" w:name="START_THERR_GWYCGZJYXWHF_AMT"/>
      <w:bookmarkEnd w:id="129"/>
      <w:bookmarkStart w:id="130"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31" w:name="THERR_30913_31013_AMT"/>
      <w:r>
        <w:rPr>
          <w:rFonts w:hint="eastAsia" w:ascii="Times New Roman" w:hAnsi="Times New Roman" w:eastAsia="仿宋_GB2312" w:cs="黑体"/>
          <w:color w:val="000000"/>
          <w:kern w:val="0"/>
          <w:sz w:val="32"/>
          <w:szCs w:val="32"/>
          <w:lang w:val="en-US" w:eastAsia="zh-CN" w:bidi="ar-SA"/>
        </w:rPr>
        <w:t>0.00</w:t>
      </w:r>
      <w:bookmarkEnd w:id="131"/>
      <w:r>
        <w:rPr>
          <w:rFonts w:hint="eastAsia" w:ascii="Times New Roman" w:hAnsi="Times New Roman" w:eastAsia="仿宋_GB2312" w:cs="黑体"/>
          <w:color w:val="000000"/>
          <w:kern w:val="0"/>
          <w:sz w:val="32"/>
          <w:szCs w:val="32"/>
          <w:lang w:val="en-US" w:eastAsia="zh-CN" w:bidi="ar-SA"/>
        </w:rPr>
        <w:t>万元，</w:t>
      </w:r>
      <w:bookmarkStart w:id="132" w:name="AGENCY_NAME_TITLE2"/>
      <w:r>
        <w:rPr>
          <w:rFonts w:hint="eastAsia" w:ascii="Times New Roman" w:hAnsi="Times New Roman" w:eastAsia="仿宋_GB2312" w:cs="黑体"/>
          <w:color w:val="000000"/>
          <w:kern w:val="0"/>
          <w:sz w:val="32"/>
          <w:szCs w:val="32"/>
          <w:lang w:val="en-US" w:eastAsia="zh-CN" w:bidi="ar-SA"/>
        </w:rPr>
        <w:t>道县</w:t>
      </w:r>
      <w:bookmarkEnd w:id="132"/>
      <w:r>
        <w:rPr>
          <w:rFonts w:hint="eastAsia" w:ascii="Times New Roman" w:hAnsi="Times New Roman" w:eastAsia="仿宋_GB2312" w:cs="黑体"/>
          <w:color w:val="000000"/>
          <w:kern w:val="0"/>
          <w:sz w:val="32"/>
          <w:szCs w:val="32"/>
          <w:lang w:val="en-US" w:eastAsia="zh-CN" w:bidi="ar-SA"/>
        </w:rPr>
        <w:t>万家庄街道办事处更新公务用车</w:t>
      </w:r>
      <w:bookmarkStart w:id="133" w:name="THERR_GWYCGZJYXWHF_BFZHS"/>
      <w:r>
        <w:rPr>
          <w:rFonts w:hint="eastAsia" w:ascii="Times New Roman" w:hAnsi="Times New Roman" w:eastAsia="仿宋_GB2312" w:cs="黑体"/>
          <w:color w:val="000000"/>
          <w:kern w:val="0"/>
          <w:sz w:val="32"/>
          <w:szCs w:val="32"/>
          <w:lang w:val="en-US" w:eastAsia="zh-CN" w:bidi="ar-SA"/>
        </w:rPr>
        <w:t>0</w:t>
      </w:r>
      <w:bookmarkEnd w:id="133"/>
      <w:r>
        <w:rPr>
          <w:rFonts w:hint="eastAsia" w:ascii="Times New Roman" w:hAnsi="Times New Roman" w:eastAsia="仿宋_GB2312" w:cs="黑体"/>
          <w:color w:val="000000"/>
          <w:kern w:val="0"/>
          <w:sz w:val="32"/>
          <w:szCs w:val="32"/>
          <w:lang w:val="en-US" w:eastAsia="zh-CN" w:bidi="ar-SA"/>
        </w:rPr>
        <w:t>辆。公务用车运行维护费4.5万元，主要是</w:t>
      </w:r>
      <w:bookmarkStart w:id="134" w:name="THERR_GWYCGZJYXWHF_ZYYY"/>
      <w:r>
        <w:rPr>
          <w:rFonts w:hint="eastAsia" w:ascii="Times New Roman" w:hAnsi="Times New Roman" w:eastAsia="仿宋_GB2312" w:cs="黑体"/>
          <w:color w:val="000000"/>
          <w:kern w:val="0"/>
          <w:sz w:val="32"/>
          <w:szCs w:val="32"/>
          <w:lang w:val="en-US" w:eastAsia="zh-CN" w:bidi="ar-SA"/>
        </w:rPr>
        <w:t>运营维护及日常加油等开支。本单位车辆</w:t>
      </w:r>
      <w:bookmarkEnd w:id="134"/>
      <w:r>
        <w:rPr>
          <w:rFonts w:hint="eastAsia" w:ascii="Times New Roman" w:hAnsi="Times New Roman" w:eastAsia="仿宋_GB2312" w:cs="黑体"/>
          <w:color w:val="000000"/>
          <w:kern w:val="0"/>
          <w:sz w:val="32"/>
          <w:szCs w:val="32"/>
          <w:lang w:val="en-US" w:eastAsia="zh-CN" w:bidi="ar-SA"/>
        </w:rPr>
        <w:t>，截止2023年12月31日，我单位开支财政拨款的公务用车保有量为</w:t>
      </w:r>
      <w:bookmarkStart w:id="135" w:name="THERR_GWYCGZJYXWHF_SJCLS"/>
      <w:r>
        <w:rPr>
          <w:rFonts w:hint="eastAsia" w:ascii="Times New Roman" w:hAnsi="Times New Roman" w:eastAsia="仿宋_GB2312" w:cs="黑体"/>
          <w:color w:val="000000"/>
          <w:kern w:val="0"/>
          <w:sz w:val="32"/>
          <w:szCs w:val="32"/>
          <w:lang w:val="en-US" w:eastAsia="zh-CN" w:bidi="ar-SA"/>
        </w:rPr>
        <w:t>1</w:t>
      </w:r>
      <w:bookmarkEnd w:id="135"/>
      <w:r>
        <w:rPr>
          <w:rFonts w:hint="eastAsia" w:ascii="Times New Roman" w:hAnsi="Times New Roman" w:eastAsia="仿宋_GB2312" w:cs="黑体"/>
          <w:color w:val="000000"/>
          <w:kern w:val="0"/>
          <w:sz w:val="32"/>
          <w:szCs w:val="32"/>
          <w:lang w:val="en-US" w:eastAsia="zh-CN" w:bidi="ar-SA"/>
        </w:rPr>
        <w:t>辆</w:t>
      </w:r>
      <w:bookmarkEnd w:id="130"/>
      <w:bookmarkStart w:id="136" w:name="END_THERR_GWYCGZJYXWHF_AMT"/>
      <w:bookmarkEnd w:id="136"/>
      <w:r>
        <w:rPr>
          <w:rFonts w:hint="eastAsia" w:ascii="Times New Roman" w:hAnsi="Times New Roman" w:eastAsia="仿宋_GB2312" w:cs="黑体"/>
          <w:color w:val="000000"/>
          <w:kern w:val="0"/>
          <w:sz w:val="32"/>
          <w:szCs w:val="32"/>
          <w:lang w:val="en-US" w:eastAsia="zh-CN" w:bidi="ar-SA"/>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7"/>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2023年度政府性基金预算财政拨款收入0.00万元；年初结转和结余</w:t>
      </w:r>
      <w:bookmarkStart w:id="137" w:name="INCOME_ZFXJJ_JZJY_AMT"/>
      <w:r>
        <w:rPr>
          <w:rFonts w:hint="eastAsia" w:ascii="Times New Roman" w:hAnsi="Times New Roman" w:eastAsia="仿宋_GB2312" w:cs="黑体"/>
          <w:color w:val="000000"/>
          <w:kern w:val="0"/>
          <w:sz w:val="32"/>
          <w:szCs w:val="32"/>
          <w:lang w:val="en-US" w:eastAsia="zh-CN" w:bidi="ar-SA"/>
        </w:rPr>
        <w:t>0.00</w:t>
      </w:r>
      <w:bookmarkEnd w:id="137"/>
      <w:r>
        <w:rPr>
          <w:rFonts w:hint="eastAsia" w:ascii="Times New Roman" w:hAnsi="Times New Roman" w:eastAsia="仿宋_GB2312" w:cs="黑体"/>
          <w:color w:val="000000"/>
          <w:kern w:val="0"/>
          <w:sz w:val="32"/>
          <w:szCs w:val="32"/>
          <w:lang w:val="en-US" w:eastAsia="zh-CN" w:bidi="ar-SA"/>
        </w:rPr>
        <w:t>万元；支出0.00万元，其中:基本支出</w:t>
      </w:r>
      <w:bookmarkStart w:id="138" w:name="PAY_ZFXJJZC_JBZC_AMT"/>
      <w:r>
        <w:rPr>
          <w:rFonts w:hint="eastAsia" w:ascii="Times New Roman" w:hAnsi="Times New Roman" w:eastAsia="仿宋_GB2312" w:cs="黑体"/>
          <w:color w:val="000000"/>
          <w:kern w:val="0"/>
          <w:sz w:val="32"/>
          <w:szCs w:val="32"/>
          <w:lang w:val="en-US" w:eastAsia="zh-CN" w:bidi="ar-SA"/>
        </w:rPr>
        <w:t>0.00</w:t>
      </w:r>
      <w:bookmarkEnd w:id="138"/>
      <w:r>
        <w:rPr>
          <w:rFonts w:hint="eastAsia" w:ascii="Times New Roman" w:hAnsi="Times New Roman" w:eastAsia="仿宋_GB2312" w:cs="黑体"/>
          <w:color w:val="000000"/>
          <w:kern w:val="0"/>
          <w:sz w:val="32"/>
          <w:szCs w:val="32"/>
          <w:lang w:val="en-US" w:eastAsia="zh-CN" w:bidi="ar-SA"/>
        </w:rPr>
        <w:t>万元，项目支出0.00万元；年末结转和结余</w:t>
      </w:r>
      <w:bookmarkStart w:id="139" w:name="PAY_ZFXJJZC_JZJY_AMT"/>
      <w:r>
        <w:rPr>
          <w:rFonts w:hint="eastAsia" w:ascii="Times New Roman" w:hAnsi="Times New Roman" w:eastAsia="仿宋_GB2312" w:cs="黑体"/>
          <w:color w:val="000000"/>
          <w:kern w:val="0"/>
          <w:sz w:val="32"/>
          <w:szCs w:val="32"/>
          <w:lang w:val="en-US" w:eastAsia="zh-CN" w:bidi="ar-SA"/>
        </w:rPr>
        <w:t>0.00</w:t>
      </w:r>
      <w:bookmarkEnd w:id="139"/>
      <w:r>
        <w:rPr>
          <w:rFonts w:hint="eastAsia" w:ascii="Times New Roman" w:hAnsi="Times New Roman" w:eastAsia="仿宋_GB2312" w:cs="黑体"/>
          <w:color w:val="000000"/>
          <w:kern w:val="0"/>
          <w:sz w:val="32"/>
          <w:szCs w:val="32"/>
          <w:lang w:val="en-US" w:eastAsia="zh-CN" w:bidi="ar-SA"/>
        </w:rPr>
        <w:t>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618.34</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618.34</w:t>
      </w:r>
      <w:r>
        <w:rPr>
          <w:rFonts w:hint="eastAsia" w:ascii="Times New Roman" w:hAnsi="Times New Roman" w:eastAsia="仿宋_GB2312"/>
          <w:sz w:val="32"/>
          <w:szCs w:val="32"/>
        </w:rPr>
        <w:t>万元，</w:t>
      </w:r>
      <w:bookmarkStart w:id="140" w:name="JGYXJF_BD_REMAK"/>
      <w:r>
        <w:rPr>
          <w:rFonts w:hint="eastAsia" w:ascii="Times New Roman" w:hAnsi="Times New Roman" w:eastAsia="仿宋_GB2312"/>
          <w:sz w:val="32"/>
          <w:szCs w:val="32"/>
        </w:rPr>
        <w:t>与年初预算持平，完成年初预算的100%</w:t>
      </w:r>
      <w:bookmarkEnd w:id="140"/>
      <w:r>
        <w:rPr>
          <w:rFonts w:hint="eastAsia" w:ascii="Times New Roman" w:hAnsi="Times New Roman" w:eastAsia="仿宋_GB2312"/>
          <w:sz w:val="32"/>
          <w:szCs w:val="32"/>
        </w:rPr>
        <w:t>。</w:t>
      </w:r>
      <w:bookmarkStart w:id="141" w:name="END_JGYXJF_FUNDS_AMT"/>
      <w:bookmarkEnd w:id="141"/>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w:t>
      </w:r>
      <w:bookmarkStart w:id="142" w:name="START_MEET_FUNDS_AMT"/>
      <w:bookmarkEnd w:id="142"/>
      <w:bookmarkStart w:id="143" w:name="DIS_MARK_MEET_FUNDS_AMT"/>
      <w:r>
        <w:rPr>
          <w:rFonts w:hint="eastAsia" w:ascii="Times New Roman" w:hAnsi="Times New Roman" w:eastAsia="仿宋_GB2312"/>
          <w:sz w:val="32"/>
          <w:szCs w:val="32"/>
        </w:rPr>
        <w:t>，用于</w:t>
      </w:r>
      <w:bookmarkStart w:id="144" w:name="MEET_FUNDS_COUNT"/>
      <w:r>
        <w:rPr>
          <w:rFonts w:hint="eastAsia" w:ascii="Times New Roman" w:hAnsi="Times New Roman" w:eastAsia="仿宋_GB2312"/>
          <w:sz w:val="32"/>
          <w:szCs w:val="32"/>
        </w:rPr>
        <w:t>开展工作</w:t>
      </w:r>
      <w:bookmarkEnd w:id="144"/>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人，内容为</w:t>
      </w:r>
      <w:bookmarkStart w:id="145" w:name="MEET_FUNDS_HYNR"/>
      <w:r>
        <w:rPr>
          <w:rFonts w:hint="eastAsia" w:ascii="Times New Roman" w:hAnsi="Times New Roman" w:eastAsia="仿宋_GB2312"/>
          <w:sz w:val="32"/>
          <w:szCs w:val="32"/>
        </w:rPr>
        <w:t>本单位工作会议</w:t>
      </w:r>
      <w:bookmarkEnd w:id="143"/>
      <w:bookmarkEnd w:id="145"/>
      <w:bookmarkStart w:id="146" w:name="END_MEET_FUNDS_AMT"/>
      <w:bookmarkEnd w:id="146"/>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w:t>
      </w:r>
      <w:bookmarkStart w:id="147" w:name="START_TRAIN_FUNDS_AMT"/>
      <w:bookmarkEnd w:id="147"/>
      <w:bookmarkStart w:id="148" w:name="DIS_MARK_TRAIN_FUNDS_AMT"/>
      <w:r>
        <w:rPr>
          <w:rFonts w:hint="eastAsia" w:ascii="Times New Roman" w:hAnsi="Times New Roman" w:eastAsia="仿宋_GB2312"/>
          <w:sz w:val="32"/>
          <w:szCs w:val="32"/>
        </w:rPr>
        <w:t>，用于</w:t>
      </w:r>
      <w:bookmarkStart w:id="149" w:name="TRAIN_FUNDS_COUNT"/>
      <w:r>
        <w:rPr>
          <w:rFonts w:hint="eastAsia" w:ascii="Times New Roman" w:hAnsi="Times New Roman" w:eastAsia="仿宋_GB2312"/>
          <w:sz w:val="32"/>
          <w:szCs w:val="32"/>
        </w:rPr>
        <w:t>干部</w:t>
      </w:r>
      <w:bookmarkEnd w:id="149"/>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421</w:t>
      </w:r>
      <w:r>
        <w:rPr>
          <w:rFonts w:hint="eastAsia" w:ascii="Times New Roman" w:hAnsi="Times New Roman" w:eastAsia="仿宋_GB2312"/>
          <w:sz w:val="32"/>
          <w:szCs w:val="32"/>
        </w:rPr>
        <w:t>人，内容为</w:t>
      </w:r>
      <w:bookmarkStart w:id="150" w:name="TRAIN_FUNDS_PXNR"/>
      <w:r>
        <w:rPr>
          <w:rFonts w:hint="eastAsia" w:ascii="Times New Roman" w:hAnsi="Times New Roman" w:eastAsia="仿宋_GB2312"/>
          <w:sz w:val="32"/>
          <w:szCs w:val="32"/>
        </w:rPr>
        <w:t>县党校培训</w:t>
      </w:r>
      <w:bookmarkEnd w:id="148"/>
      <w:bookmarkEnd w:id="150"/>
      <w:bookmarkStart w:id="151" w:name="YES_NO"/>
      <w:bookmarkEnd w:id="151"/>
      <w:bookmarkStart w:id="152" w:name="END_TRAIN_FUNDS_AMT"/>
      <w:bookmarkEnd w:id="152"/>
      <w:bookmarkStart w:id="153" w:name="END_YES"/>
      <w:bookmarkEnd w:id="153"/>
      <w:bookmarkStart w:id="154" w:name="DIS_MARK_YES"/>
      <w:bookmarkEnd w:id="154"/>
      <w:bookmarkStart w:id="155" w:name="START_NO"/>
      <w:bookmarkEnd w:id="155"/>
      <w:bookmarkStart w:id="156" w:name="START_YES"/>
      <w:bookmarkEnd w:id="156"/>
      <w:bookmarkStart w:id="157" w:name="DIS_MARK_NO"/>
      <w:r>
        <w:rPr>
          <w:rFonts w:hint="eastAsia" w:ascii="Times New Roman" w:hAnsi="Times New Roman" w:eastAsia="仿宋_GB2312"/>
          <w:sz w:val="32"/>
          <w:szCs w:val="32"/>
          <w:lang w:val="en-US" w:eastAsia="zh-CN"/>
        </w:rPr>
        <w:t>和入党积极分子，预备党员培训</w:t>
      </w:r>
      <w:r>
        <w:rPr>
          <w:rFonts w:hint="eastAsia" w:ascii="Times New Roman" w:hAnsi="Times New Roman" w:eastAsia="仿宋_GB2312"/>
          <w:sz w:val="32"/>
          <w:szCs w:val="32"/>
        </w:rPr>
        <w:t>。</w:t>
      </w:r>
      <w:bookmarkEnd w:id="157"/>
      <w:bookmarkStart w:id="158" w:name="END_NO"/>
      <w:bookmarkEnd w:id="158"/>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0.0</w:t>
      </w:r>
      <w:r>
        <w:rPr>
          <w:rFonts w:hint="eastAsia" w:ascii="Times New Roman" w:hAnsi="Times New Roman" w:eastAsia="仿宋_GB2312"/>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截至2023年12月31日，本部门共有公务用车</w:t>
      </w:r>
      <w:bookmarkStart w:id="159" w:name="GYZC_TOTAL_GWYC"/>
      <w:r>
        <w:rPr>
          <w:rFonts w:hint="eastAsia" w:ascii="Times New Roman" w:hAnsi="Times New Roman" w:eastAsia="仿宋_GB2312" w:cs="黑体"/>
          <w:color w:val="000000"/>
          <w:kern w:val="0"/>
          <w:sz w:val="32"/>
          <w:szCs w:val="32"/>
          <w:lang w:val="en-US" w:eastAsia="zh-CN" w:bidi="ar-SA"/>
        </w:rPr>
        <w:t>1</w:t>
      </w:r>
      <w:bookmarkEnd w:id="159"/>
      <w:r>
        <w:rPr>
          <w:rFonts w:hint="eastAsia" w:ascii="Times New Roman" w:hAnsi="Times New Roman" w:eastAsia="仿宋_GB2312" w:cs="黑体"/>
          <w:color w:val="000000"/>
          <w:kern w:val="0"/>
          <w:sz w:val="32"/>
          <w:szCs w:val="32"/>
          <w:lang w:val="en-US" w:eastAsia="zh-CN" w:bidi="ar-SA"/>
        </w:rPr>
        <w:t>辆，其中，主要领导干部用车0辆、机要通信用车</w:t>
      </w:r>
      <w:bookmarkStart w:id="160" w:name="GYZC_TOTAL_JYTXYC"/>
      <w:r>
        <w:rPr>
          <w:rFonts w:hint="eastAsia" w:ascii="Times New Roman" w:hAnsi="Times New Roman" w:eastAsia="仿宋_GB2312" w:cs="黑体"/>
          <w:color w:val="000000"/>
          <w:kern w:val="0"/>
          <w:sz w:val="32"/>
          <w:szCs w:val="32"/>
          <w:lang w:val="en-US" w:eastAsia="zh-CN" w:bidi="ar-SA"/>
        </w:rPr>
        <w:t>0</w:t>
      </w:r>
      <w:bookmarkEnd w:id="160"/>
      <w:r>
        <w:rPr>
          <w:rFonts w:hint="eastAsia" w:ascii="Times New Roman" w:hAnsi="Times New Roman" w:eastAsia="仿宋_GB2312" w:cs="黑体"/>
          <w:color w:val="000000"/>
          <w:kern w:val="0"/>
          <w:sz w:val="32"/>
          <w:szCs w:val="32"/>
          <w:lang w:val="en-US" w:eastAsia="zh-CN" w:bidi="ar-SA"/>
        </w:rPr>
        <w:t>辆、应急保障用车1辆、执法执勤用车</w:t>
      </w:r>
      <w:bookmarkStart w:id="161" w:name="GYZC_TOTAL_ZFZQYC"/>
      <w:r>
        <w:rPr>
          <w:rFonts w:hint="eastAsia" w:ascii="Times New Roman" w:hAnsi="Times New Roman" w:eastAsia="仿宋_GB2312" w:cs="黑体"/>
          <w:color w:val="000000"/>
          <w:kern w:val="0"/>
          <w:sz w:val="32"/>
          <w:szCs w:val="32"/>
          <w:lang w:val="en-US" w:eastAsia="zh-CN" w:bidi="ar-SA"/>
        </w:rPr>
        <w:t>0</w:t>
      </w:r>
      <w:bookmarkEnd w:id="161"/>
      <w:r>
        <w:rPr>
          <w:rFonts w:hint="eastAsia" w:ascii="Times New Roman" w:hAnsi="Times New Roman" w:eastAsia="仿宋_GB2312" w:cs="黑体"/>
          <w:color w:val="000000"/>
          <w:kern w:val="0"/>
          <w:sz w:val="32"/>
          <w:szCs w:val="32"/>
          <w:lang w:val="en-US" w:eastAsia="zh-CN" w:bidi="ar-SA"/>
        </w:rPr>
        <w:t>辆、特种专业技术用车</w:t>
      </w:r>
      <w:bookmarkStart w:id="162" w:name="GYZC_TOTAL_TZZYJSYC"/>
      <w:r>
        <w:rPr>
          <w:rFonts w:hint="eastAsia" w:ascii="Times New Roman" w:hAnsi="Times New Roman" w:eastAsia="仿宋_GB2312" w:cs="黑体"/>
          <w:color w:val="000000"/>
          <w:kern w:val="0"/>
          <w:sz w:val="32"/>
          <w:szCs w:val="32"/>
          <w:lang w:val="en-US" w:eastAsia="zh-CN" w:bidi="ar-SA"/>
        </w:rPr>
        <w:t>0</w:t>
      </w:r>
      <w:bookmarkEnd w:id="162"/>
      <w:r>
        <w:rPr>
          <w:rFonts w:hint="eastAsia" w:ascii="Times New Roman" w:hAnsi="Times New Roman" w:eastAsia="仿宋_GB2312" w:cs="黑体"/>
          <w:color w:val="000000"/>
          <w:kern w:val="0"/>
          <w:sz w:val="32"/>
          <w:szCs w:val="32"/>
          <w:lang w:val="en-US" w:eastAsia="zh-CN" w:bidi="ar-SA"/>
        </w:rPr>
        <w:t>辆、其他按照规定配备的公务用车</w:t>
      </w:r>
      <w:bookmarkStart w:id="163" w:name="GYZC_TOTAL_QTYC"/>
      <w:r>
        <w:rPr>
          <w:rFonts w:hint="eastAsia" w:ascii="Times New Roman" w:hAnsi="Times New Roman" w:eastAsia="仿宋_GB2312" w:cs="黑体"/>
          <w:color w:val="000000"/>
          <w:kern w:val="0"/>
          <w:sz w:val="32"/>
          <w:szCs w:val="32"/>
          <w:lang w:val="en-US" w:eastAsia="zh-CN" w:bidi="ar-SA"/>
        </w:rPr>
        <w:t>0</w:t>
      </w:r>
      <w:bookmarkEnd w:id="163"/>
      <w:r>
        <w:rPr>
          <w:rFonts w:hint="eastAsia" w:ascii="Times New Roman" w:hAnsi="Times New Roman" w:eastAsia="仿宋_GB2312" w:cs="黑体"/>
          <w:color w:val="000000"/>
          <w:kern w:val="0"/>
          <w:sz w:val="32"/>
          <w:szCs w:val="32"/>
          <w:lang w:val="en-US" w:eastAsia="zh-CN" w:bidi="ar-SA"/>
        </w:rPr>
        <w:t>辆</w:t>
      </w:r>
      <w:bookmarkStart w:id="164" w:name="START_GYZC_TOTAL_QTYC"/>
      <w:bookmarkEnd w:id="164"/>
      <w:bookmarkStart w:id="165" w:name="GYZC_TOTAL_QTCL_YT"/>
      <w:bookmarkEnd w:id="165"/>
      <w:bookmarkStart w:id="166" w:name="DIS_MARK_GYZC_TOTAL_QTYC"/>
      <w:bookmarkEnd w:id="166"/>
      <w:bookmarkStart w:id="167" w:name="END_GYZC_TOTAL_QTYC"/>
      <w:bookmarkEnd w:id="167"/>
      <w:r>
        <w:rPr>
          <w:rFonts w:hint="eastAsia" w:ascii="Times New Roman" w:hAnsi="Times New Roman" w:eastAsia="仿宋_GB2312" w:cs="黑体"/>
          <w:color w:val="000000"/>
          <w:kern w:val="0"/>
          <w:sz w:val="32"/>
          <w:szCs w:val="32"/>
          <w:lang w:val="en-US" w:eastAsia="zh-CN" w:bidi="ar-SA"/>
        </w:rPr>
        <w:t>；单位价值50万元以上通用设备</w:t>
      </w:r>
      <w:bookmarkStart w:id="168" w:name="GYZC_TOTAL_DJ_50"/>
      <w:r>
        <w:rPr>
          <w:rFonts w:hint="eastAsia" w:ascii="Times New Roman" w:hAnsi="Times New Roman" w:eastAsia="仿宋_GB2312" w:cs="黑体"/>
          <w:color w:val="000000"/>
          <w:kern w:val="0"/>
          <w:sz w:val="32"/>
          <w:szCs w:val="32"/>
          <w:lang w:val="en-US" w:eastAsia="zh-CN" w:bidi="ar-SA"/>
        </w:rPr>
        <w:t>0</w:t>
      </w:r>
      <w:bookmarkEnd w:id="168"/>
      <w:r>
        <w:rPr>
          <w:rFonts w:hint="eastAsia" w:ascii="Times New Roman" w:hAnsi="Times New Roman" w:eastAsia="仿宋_GB2312" w:cs="黑体"/>
          <w:color w:val="000000"/>
          <w:kern w:val="0"/>
          <w:sz w:val="32"/>
          <w:szCs w:val="32"/>
          <w:lang w:val="en-US" w:eastAsia="zh-CN" w:bidi="ar-SA"/>
        </w:rPr>
        <w:t>台（套），单位价值100万元以上专用设备</w:t>
      </w:r>
      <w:bookmarkStart w:id="169" w:name="GYZC_TOTAL_DJ_100"/>
      <w:r>
        <w:rPr>
          <w:rFonts w:hint="eastAsia" w:ascii="Times New Roman" w:hAnsi="Times New Roman" w:eastAsia="仿宋_GB2312" w:cs="黑体"/>
          <w:color w:val="000000"/>
          <w:kern w:val="0"/>
          <w:sz w:val="32"/>
          <w:szCs w:val="32"/>
          <w:lang w:val="en-US" w:eastAsia="zh-CN" w:bidi="ar-SA"/>
        </w:rPr>
        <w:t>0</w:t>
      </w:r>
      <w:bookmarkEnd w:id="169"/>
      <w:r>
        <w:rPr>
          <w:rFonts w:hint="eastAsia" w:ascii="Times New Roman" w:hAnsi="Times New Roman" w:eastAsia="仿宋_GB2312" w:cs="黑体"/>
          <w:color w:val="000000"/>
          <w:kern w:val="0"/>
          <w:sz w:val="32"/>
          <w:szCs w:val="32"/>
          <w:lang w:val="en-US" w:eastAsia="zh-CN" w:bidi="ar-SA"/>
        </w:rPr>
        <w:t>台（套）。</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万家庄街道政府事处公务接待管理办法》、《万家庄街道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w:t>
      </w:r>
      <w:r>
        <w:rPr>
          <w:rFonts w:hint="eastAsia" w:ascii="楷体" w:hAnsi="楷体" w:eastAsia="楷体" w:cs="楷体"/>
          <w:b/>
          <w:bCs/>
          <w:sz w:val="32"/>
          <w:szCs w:val="32"/>
          <w:lang w:eastAsia="zh-CN"/>
        </w:rPr>
        <w:t>改进方法</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按照财务报销制度，年度事项未及时在年末结转前作备案处理，</w:t>
      </w:r>
      <w:r>
        <w:rPr>
          <w:rFonts w:hint="eastAsia" w:ascii="仿宋_GB2312" w:hAnsi="仿宋_GB2312" w:eastAsia="仿宋_GB2312" w:cs="仿宋_GB2312"/>
          <w:sz w:val="32"/>
          <w:szCs w:val="32"/>
        </w:rPr>
        <w:t>少数</w:t>
      </w:r>
      <w:r>
        <w:rPr>
          <w:rFonts w:hint="eastAsia" w:ascii="仿宋_GB2312" w:hAnsi="仿宋_GB2312" w:eastAsia="仿宋_GB2312" w:cs="仿宋_GB2312"/>
          <w:sz w:val="32"/>
          <w:szCs w:val="32"/>
          <w:lang w:val="en-US" w:eastAsia="zh-CN"/>
        </w:rPr>
        <w:t>宣传版面制作</w:t>
      </w:r>
      <w:r>
        <w:rPr>
          <w:rFonts w:hint="eastAsia" w:ascii="仿宋_GB2312" w:hAnsi="仿宋_GB2312" w:eastAsia="仿宋_GB2312" w:cs="仿宋_GB2312"/>
          <w:sz w:val="32"/>
          <w:szCs w:val="32"/>
        </w:rPr>
        <w:t>缺少</w:t>
      </w:r>
      <w:r>
        <w:rPr>
          <w:rFonts w:hint="eastAsia" w:ascii="仿宋_GB2312" w:hAnsi="仿宋_GB2312" w:eastAsia="仿宋_GB2312" w:cs="仿宋_GB2312"/>
          <w:sz w:val="32"/>
          <w:szCs w:val="32"/>
          <w:lang w:val="en-US" w:eastAsia="zh-CN"/>
        </w:rPr>
        <w:t>影像</w:t>
      </w:r>
      <w:r>
        <w:rPr>
          <w:rFonts w:hint="eastAsia" w:ascii="仿宋_GB2312" w:hAnsi="仿宋_GB2312" w:eastAsia="仿宋_GB2312" w:cs="仿宋_GB2312"/>
          <w:sz w:val="32"/>
          <w:szCs w:val="32"/>
        </w:rPr>
        <w:t>清单及附件。</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2、会计人员较缺乏，会计整体档案保管还是存在部分混乱的问题，机制建立存在部分不足。</w:t>
      </w:r>
    </w:p>
    <w:p>
      <w:pPr>
        <w:pStyle w:val="2"/>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3、数据及会计系统更新速度太快，缺少高质高量的培训，新系统需要大量时间进行熟悉上手。</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（三）加强会计机构队伍建设</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（四）对大额无说明支出补充附件及说明，完善手续，各项专项资金纳入专项资金专户核算，工程项目按规定进行招投标。</w:t>
      </w:r>
    </w:p>
    <w:p>
      <w:pPr>
        <w:numPr>
          <w:ilvl w:val="0"/>
          <w:numId w:val="0"/>
        </w:numPr>
        <w:ind w:leftChars="0" w:firstLine="640" w:firstLineChars="200"/>
        <w:rPr>
          <w:rFonts w:hint="eastAsia" w:ascii="宋体" w:hAnsi="宋体"/>
          <w:sz w:val="32"/>
          <w:szCs w:val="32"/>
        </w:rPr>
      </w:pPr>
    </w:p>
    <w:p>
      <w:pPr>
        <w:pStyle w:val="17"/>
        <w:jc w:val="both"/>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both"/>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pPr>
        <w:pStyle w:val="17"/>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pPr>
        <w:pStyle w:val="17"/>
        <w:jc w:val="both"/>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rPr>
          <w:sz w:val="72"/>
          <w:szCs w:val="72"/>
        </w:rPr>
      </w:pPr>
      <w:r>
        <w:rPr>
          <w:sz w:val="72"/>
          <w:szCs w:val="72"/>
        </w:rPr>
        <w:br w:type="page"/>
      </w: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pPr>
        <w:pStyle w:val="17"/>
        <w:keepNext w:val="0"/>
        <w:keepLines w:val="0"/>
        <w:pageBreakBefore w:val="0"/>
        <w:widowControl w:val="0"/>
        <w:kinsoku/>
        <w:wordWrap/>
        <w:overflowPunct/>
        <w:topLinePunct w:val="0"/>
        <w:bidi w:val="0"/>
        <w:snapToGrid/>
        <w:spacing w:line="600" w:lineRule="exact"/>
        <w:ind w:firstLine="720" w:firstLineChars="300"/>
        <w:jc w:val="left"/>
        <w:textAlignment w:val="auto"/>
        <w:rPr>
          <w:rStyle w:val="14"/>
          <w:rFonts w:hint="eastAsia"/>
          <w:lang w:val="en-US" w:eastAsia="zh-CN"/>
        </w:rPr>
      </w:pPr>
      <w:r>
        <w:rPr>
          <w:rStyle w:val="14"/>
          <w:rFonts w:hint="eastAsia"/>
          <w:lang w:val="en-US" w:eastAsia="zh-CN"/>
        </w:rPr>
        <w:fldChar w:fldCharType="begin"/>
      </w:r>
      <w:r>
        <w:rPr>
          <w:rStyle w:val="14"/>
          <w:rFonts w:hint="eastAsia"/>
          <w:lang w:val="en-US" w:eastAsia="zh-CN"/>
        </w:rPr>
        <w:instrText xml:space="preserve"> HYPERLINK "2023年道县寿雁镇人民政府部门绩效评价报告 (2).docx" </w:instrText>
      </w:r>
      <w:r>
        <w:rPr>
          <w:rStyle w:val="14"/>
          <w:rFonts w:hint="eastAsia"/>
          <w:lang w:val="en-US" w:eastAsia="zh-CN"/>
        </w:rPr>
        <w:fldChar w:fldCharType="separate"/>
      </w:r>
      <w:r>
        <w:rPr>
          <w:rStyle w:val="13"/>
          <w:rFonts w:hint="eastAsia"/>
          <w:lang w:val="en-US" w:eastAsia="zh-CN"/>
        </w:rPr>
        <w:t>2023年道县万家庄街道办事处</w:t>
      </w:r>
      <w:bookmarkStart w:id="170" w:name="_GoBack"/>
      <w:bookmarkEnd w:id="170"/>
      <w:r>
        <w:rPr>
          <w:rStyle w:val="13"/>
          <w:rFonts w:hint="eastAsia"/>
          <w:lang w:val="en-US" w:eastAsia="zh-CN"/>
        </w:rPr>
        <w:t>部门绩效评价报告.docx</w:t>
      </w:r>
      <w:r>
        <w:rPr>
          <w:rStyle w:val="14"/>
          <w:rFonts w:hint="eastAsia"/>
          <w:lang w:val="en-US" w:eastAsia="zh-CN"/>
        </w:rPr>
        <w:fldChar w:fldCharType="end"/>
      </w:r>
    </w:p>
    <w:p>
      <w:pPr>
        <w:ind w:firstLine="640" w:firstLineChars="200"/>
        <w:rPr>
          <w:rFonts w:hint="eastAsia" w:ascii="宋体" w:hAnsi="宋体"/>
          <w:sz w:val="32"/>
          <w:szCs w:val="32"/>
        </w:rPr>
      </w:pPr>
    </w:p>
    <w:p/>
    <w:p>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7"/>
        <w:jc w:val="center"/>
        <w:rPr>
          <w:sz w:val="72"/>
          <w:szCs w:val="72"/>
        </w:rPr>
      </w:pPr>
    </w:p>
    <w:p>
      <w:pPr>
        <w:pStyle w:val="17"/>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2IxOGRjMmZjNjJmYjE3OTI0MGViNjQ4ZTAxM2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E613F"/>
    <w:rsid w:val="11282C3F"/>
    <w:rsid w:val="18500D6C"/>
    <w:rsid w:val="1D97DEFF"/>
    <w:rsid w:val="1DFF72E5"/>
    <w:rsid w:val="1EFC6F07"/>
    <w:rsid w:val="20F96A05"/>
    <w:rsid w:val="230A1F70"/>
    <w:rsid w:val="28A517CF"/>
    <w:rsid w:val="2FDF85B8"/>
    <w:rsid w:val="2FFFEE04"/>
    <w:rsid w:val="34DF85B0"/>
    <w:rsid w:val="3A0D740F"/>
    <w:rsid w:val="3B8F36BC"/>
    <w:rsid w:val="446A6C06"/>
    <w:rsid w:val="454A2068"/>
    <w:rsid w:val="491FF225"/>
    <w:rsid w:val="4FFD214C"/>
    <w:rsid w:val="524D19FA"/>
    <w:rsid w:val="55AE1887"/>
    <w:rsid w:val="5777D4F5"/>
    <w:rsid w:val="59DD8326"/>
    <w:rsid w:val="5DEF592A"/>
    <w:rsid w:val="5FC6BB1E"/>
    <w:rsid w:val="5FF0000E"/>
    <w:rsid w:val="5FF720F1"/>
    <w:rsid w:val="619517C1"/>
    <w:rsid w:val="67FF5C0B"/>
    <w:rsid w:val="6EFC0924"/>
    <w:rsid w:val="6FB74722"/>
    <w:rsid w:val="6FEA072C"/>
    <w:rsid w:val="6FEF8B7E"/>
    <w:rsid w:val="71A6591B"/>
    <w:rsid w:val="732A0F7C"/>
    <w:rsid w:val="737D59BA"/>
    <w:rsid w:val="77C37683"/>
    <w:rsid w:val="79FF515B"/>
    <w:rsid w:val="7C5078B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ody Text"/>
    <w:basedOn w:val="1"/>
    <w:autoRedefine/>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autoRedefine/>
    <w:unhideWhenUsed/>
    <w:qFormat/>
    <w:uiPriority w:val="0"/>
    <w:pPr>
      <w:spacing w:before="100" w:beforeAutospacing="1" w:after="100" w:afterAutospacing="1"/>
      <w:jc w:val="left"/>
    </w:pPr>
    <w:rPr>
      <w:rFonts w:ascii="Calibri" w:hAnsi="Calibri"/>
      <w:kern w:val="0"/>
      <w:sz w:val="24"/>
      <w:szCs w:val="24"/>
    </w:rPr>
  </w:style>
  <w:style w:type="character" w:styleId="13">
    <w:name w:val="FollowedHyperlink"/>
    <w:basedOn w:val="12"/>
    <w:semiHidden/>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页眉 Char"/>
    <w:basedOn w:val="12"/>
    <w:link w:val="8"/>
    <w:autoRedefine/>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autoRedefine/>
    <w:qFormat/>
    <w:uiPriority w:val="34"/>
    <w:pPr>
      <w:ind w:firstLine="420" w:firstLineChars="200"/>
    </w:pPr>
  </w:style>
  <w:style w:type="character" w:customStyle="1" w:styleId="19">
    <w:name w:val="批注框文本 Char"/>
    <w:basedOn w:val="12"/>
    <w:link w:val="6"/>
    <w:autoRedefine/>
    <w:semiHidden/>
    <w:qFormat/>
    <w:uiPriority w:val="99"/>
    <w:rPr>
      <w:sz w:val="18"/>
      <w:szCs w:val="18"/>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font21"/>
    <w:basedOn w:val="12"/>
    <w:autoRedefine/>
    <w:qFormat/>
    <w:uiPriority w:val="0"/>
    <w:rPr>
      <w:rFonts w:hint="eastAsia" w:ascii="宋体" w:hAnsi="宋体" w:eastAsia="宋体" w:cs="宋体"/>
      <w:color w:val="000000"/>
      <w:sz w:val="24"/>
      <w:szCs w:val="24"/>
      <w:u w:val="none"/>
    </w:rPr>
  </w:style>
  <w:style w:type="character" w:customStyle="1" w:styleId="22">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11181</Words>
  <Characters>14397</Characters>
  <Lines>63</Lines>
  <Paragraphs>18</Paragraphs>
  <TotalTime>0</TotalTime>
  <ScaleCrop>false</ScaleCrop>
  <LinksUpToDate>false</LinksUpToDate>
  <CharactersWithSpaces>15155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cp:lastModifiedBy>
  <cp:lastPrinted>2024-08-08T10:20:00Z</cp:lastPrinted>
  <dcterms:modified xsi:type="dcterms:W3CDTF">2024-08-29T09:39:44Z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E256704D4CD841B9B4D754C737914A9D_13</vt:lpwstr>
  </property>
</Properties>
</file>