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3605">
      <w:pPr>
        <w:jc w:val="center"/>
        <w:rPr>
          <w:rFonts w:hint="eastAsia" w:ascii="黑体" w:hAnsi="黑体" w:eastAsia="黑体" w:cs="黑体"/>
          <w:sz w:val="36"/>
          <w:szCs w:val="36"/>
          <w:lang w:val="en-US" w:eastAsia="zh-CN"/>
        </w:rPr>
      </w:pPr>
      <w:r>
        <w:rPr>
          <w:rFonts w:hint="eastAsia" w:ascii="黑体" w:hAnsi="黑体" w:eastAsia="黑体" w:cs="黑体"/>
          <w:sz w:val="36"/>
          <w:szCs w:val="36"/>
        </w:rPr>
        <w:t>道县就业</w:t>
      </w:r>
      <w:r>
        <w:rPr>
          <w:rFonts w:hint="eastAsia" w:ascii="黑体" w:hAnsi="黑体" w:eastAsia="黑体" w:cs="黑体"/>
          <w:sz w:val="36"/>
          <w:szCs w:val="36"/>
          <w:lang w:eastAsia="zh-CN"/>
        </w:rPr>
        <w:t>培训</w:t>
      </w:r>
      <w:r>
        <w:rPr>
          <w:rFonts w:hint="eastAsia" w:ascii="黑体" w:hAnsi="黑体" w:eastAsia="黑体" w:cs="黑体"/>
          <w:sz w:val="36"/>
          <w:szCs w:val="36"/>
        </w:rPr>
        <w:t>中心</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3年度部门整体支出绩效自评报告</w:t>
      </w:r>
    </w:p>
    <w:p w14:paraId="3FCBFC9C">
      <w:pPr>
        <w:widowControl/>
        <w:spacing w:line="600" w:lineRule="exact"/>
        <w:jc w:val="left"/>
        <w:rPr>
          <w:rFonts w:eastAsia="仿宋_GB2312"/>
          <w:b/>
          <w:bCs/>
          <w:kern w:val="0"/>
          <w:sz w:val="32"/>
          <w:szCs w:val="32"/>
        </w:rPr>
      </w:pPr>
    </w:p>
    <w:p w14:paraId="656B66F7">
      <w:pPr>
        <w:widowControl/>
        <w:spacing w:line="700" w:lineRule="exact"/>
        <w:ind w:firstLine="630" w:firstLineChars="196"/>
        <w:jc w:val="left"/>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rPr>
        <w:t>一、基本</w:t>
      </w:r>
      <w:r>
        <w:rPr>
          <w:rFonts w:hint="eastAsia" w:ascii="黑体" w:hAnsi="黑体" w:eastAsia="黑体" w:cs="黑体"/>
          <w:b/>
          <w:bCs/>
          <w:kern w:val="0"/>
          <w:sz w:val="32"/>
          <w:szCs w:val="32"/>
          <w:lang w:eastAsia="zh-CN"/>
        </w:rPr>
        <w:t>情况</w:t>
      </w:r>
    </w:p>
    <w:p w14:paraId="1939C22B">
      <w:pPr>
        <w:widowControl/>
        <w:spacing w:line="700" w:lineRule="exact"/>
        <w:ind w:firstLine="627" w:firstLineChars="196"/>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部门基本情况</w:t>
      </w:r>
    </w:p>
    <w:p w14:paraId="1981396D">
      <w:pPr>
        <w:widowControl/>
        <w:spacing w:line="7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1、组织实施面向城乡有就业要求和培训愿望的劳动者，开展职业技能培训、岗前培训、劳动预备制培训、农村劳动力转移就业培训和创业培训等各类培训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负责各类培训信息的收集、审核和发布工作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根据市场需求确定培训专业和层次，按照国家职业分类标准开展培训教学，办理相关证书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组织开展多层次、多形式就业前培训，为劳动者就业创造条件，为开发利用城乡劳动力资源服务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按照“先培训后就业，先持证后上岗”的原则对初次就业者，实行凭“职业培训证书”和“职业资格证书”办理招聘录用手续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根据劳动力市场需求，负责为需要参加就业培训的劳动者提供登记报名、</w:t>
      </w:r>
      <w:r>
        <w:rPr>
          <w:rFonts w:hint="eastAsia" w:ascii="仿宋_GB2312" w:hAnsi="仿宋_GB2312" w:eastAsia="仿宋_GB2312" w:cs="仿宋_GB2312"/>
          <w:sz w:val="32"/>
          <w:szCs w:val="32"/>
          <w:lang w:eastAsia="zh-CN"/>
        </w:rPr>
        <w:t>推</w:t>
      </w:r>
      <w:r>
        <w:rPr>
          <w:rFonts w:hint="eastAsia" w:ascii="仿宋_GB2312" w:hAnsi="仿宋_GB2312" w:eastAsia="仿宋_GB2312" w:cs="仿宋_GB2312"/>
          <w:sz w:val="32"/>
          <w:szCs w:val="32"/>
        </w:rPr>
        <w:t>荐培训单位等服务工作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法律法规规定的其他工作。</w:t>
      </w:r>
    </w:p>
    <w:p w14:paraId="13078DD6">
      <w:pPr>
        <w:spacing w:line="7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机构设置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本部门属于</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事业单位。核定编制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人,其中财政全额拨款人员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14:paraId="76A0B713">
      <w:pPr>
        <w:pStyle w:val="4"/>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（二）部门年度整体支出绩效目标</w:t>
      </w:r>
    </w:p>
    <w:p w14:paraId="4F7B5549">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1、总目标：保障工资支出和中心业务正常运转、圆满完成当年各项任务、指标。</w:t>
      </w:r>
    </w:p>
    <w:p w14:paraId="47B00B69">
      <w:pPr>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2、整体目标：</w:t>
      </w:r>
    </w:p>
    <w:p w14:paraId="5C696718">
      <w:pPr>
        <w:spacing w:line="700" w:lineRule="exact"/>
        <w:ind w:firstLine="640" w:firstLineChars="200"/>
        <w:rPr>
          <w:rFonts w:hint="eastAsia" w:ascii="黑体" w:hAnsi="黑体" w:eastAsia="黑体" w:cs="黑体"/>
          <w:b/>
          <w:bCs/>
          <w:kern w:val="0"/>
          <w:sz w:val="32"/>
          <w:szCs w:val="32"/>
          <w:lang w:eastAsia="zh-CN"/>
        </w:rPr>
      </w:pPr>
      <w:r>
        <w:rPr>
          <w:rFonts w:hint="eastAsia" w:ascii="仿宋_GB2312" w:hAnsi="仿宋_GB2312" w:eastAsia="仿宋_GB2312" w:cs="仿宋_GB2312"/>
          <w:bCs/>
          <w:sz w:val="32"/>
          <w:szCs w:val="32"/>
          <w:lang w:val="en-US" w:eastAsia="zh-CN"/>
        </w:rPr>
        <w:t>积极开展职业技能培训、岗前培训、农村劳动力转移就业培训和创业培训工作。</w:t>
      </w:r>
    </w:p>
    <w:p w14:paraId="4B21F279">
      <w:pPr>
        <w:widowControl/>
        <w:spacing w:line="700" w:lineRule="exact"/>
        <w:ind w:firstLine="630" w:firstLineChars="196"/>
        <w:jc w:val="left"/>
        <w:rPr>
          <w:rFonts w:hint="eastAsia" w:ascii="仿宋_GB2312" w:hAnsi="仿宋_GB2312" w:eastAsia="仿宋_GB2312" w:cs="仿宋_GB2312"/>
          <w:b/>
          <w:bCs/>
          <w:kern w:val="0"/>
          <w:sz w:val="32"/>
          <w:szCs w:val="32"/>
        </w:rPr>
      </w:pPr>
      <w:r>
        <w:rPr>
          <w:rFonts w:hint="eastAsia" w:ascii="黑体" w:hAnsi="黑体" w:eastAsia="黑体" w:cs="黑体"/>
          <w:b/>
          <w:bCs/>
          <w:kern w:val="0"/>
          <w:sz w:val="32"/>
          <w:szCs w:val="32"/>
          <w:lang w:eastAsia="zh-CN"/>
        </w:rPr>
        <w:t>二、一般公共预算支出情况</w:t>
      </w:r>
    </w:p>
    <w:p w14:paraId="1ED5397F">
      <w:pPr>
        <w:widowControl/>
        <w:ind w:right="10" w:rightChars="5"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基本支出情况</w:t>
      </w:r>
    </w:p>
    <w:p w14:paraId="559A934A">
      <w:pPr>
        <w:widowControl/>
        <w:spacing w:line="7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年本部门基本支出预算数</w:t>
      </w:r>
      <w:r>
        <w:rPr>
          <w:rFonts w:hint="eastAsia" w:ascii="仿宋_GB2312" w:hAnsi="仿宋_GB2312" w:eastAsia="仿宋_GB2312" w:cs="仿宋_GB2312"/>
          <w:sz w:val="32"/>
          <w:szCs w:val="32"/>
          <w:lang w:val="en-US" w:eastAsia="zh-CN"/>
        </w:rPr>
        <w:t>22.21</w:t>
      </w:r>
      <w:r>
        <w:rPr>
          <w:rFonts w:hint="eastAsia" w:ascii="仿宋_GB2312" w:hAnsi="仿宋_GB2312" w:eastAsia="仿宋_GB2312" w:cs="仿宋_GB2312"/>
          <w:sz w:val="32"/>
          <w:szCs w:val="32"/>
        </w:rPr>
        <w:t>万元，是指为保障部门正常运转、完成日常工作任务而发生的各项支出，包括用于基本工资、津贴补贴等人员经费以及办公费、印刷费、水电费、办公设备购置等公用经费。</w:t>
      </w:r>
    </w:p>
    <w:p w14:paraId="1CFE586F">
      <w:pPr>
        <w:spacing w:line="7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工资福利支出</w:t>
      </w:r>
      <w:r>
        <w:rPr>
          <w:rFonts w:hint="eastAsia" w:ascii="仿宋_GB2312" w:hAnsi="仿宋_GB2312" w:eastAsia="仿宋_GB2312" w:cs="仿宋_GB2312"/>
          <w:sz w:val="32"/>
          <w:szCs w:val="32"/>
        </w:rPr>
        <w:t>。工资福利支出共计</w:t>
      </w:r>
      <w:r>
        <w:rPr>
          <w:rFonts w:hint="eastAsia" w:ascii="仿宋_GB2312" w:hAnsi="仿宋_GB2312" w:eastAsia="仿宋_GB2312" w:cs="仿宋_GB2312"/>
          <w:sz w:val="32"/>
          <w:szCs w:val="32"/>
          <w:lang w:val="en-US" w:eastAsia="zh-CN"/>
        </w:rPr>
        <w:t>20.77</w:t>
      </w:r>
      <w:r>
        <w:rPr>
          <w:rFonts w:hint="eastAsia" w:ascii="仿宋_GB2312" w:hAnsi="仿宋_GB2312" w:eastAsia="仿宋_GB2312" w:cs="仿宋_GB2312"/>
          <w:sz w:val="32"/>
          <w:szCs w:val="32"/>
        </w:rPr>
        <w:t>万元，其中：基本工资</w:t>
      </w:r>
      <w:r>
        <w:rPr>
          <w:rFonts w:hint="eastAsia" w:ascii="仿宋_GB2312" w:hAnsi="仿宋_GB2312" w:eastAsia="仿宋_GB2312" w:cs="仿宋_GB2312"/>
          <w:sz w:val="32"/>
          <w:szCs w:val="32"/>
          <w:lang w:val="en-US" w:eastAsia="zh-CN"/>
        </w:rPr>
        <w:t>8.97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，津贴补贴</w:t>
      </w:r>
      <w:r>
        <w:rPr>
          <w:rFonts w:hint="eastAsia" w:ascii="仿宋_GB2312" w:hAnsi="仿宋_GB2312" w:eastAsia="仿宋_GB2312" w:cs="仿宋_GB2312"/>
          <w:sz w:val="32"/>
          <w:szCs w:val="32"/>
          <w:lang w:val="en-US" w:eastAsia="zh-CN"/>
        </w:rPr>
        <w:t>2.91，其他社会保障缴费0.06，住房公积金0.9</w:t>
      </w:r>
      <w:r>
        <w:rPr>
          <w:rFonts w:hint="eastAsia" w:ascii="仿宋_GB2312" w:hAnsi="仿宋_GB2312" w:eastAsia="仿宋_GB2312" w:cs="仿宋_GB2312"/>
          <w:sz w:val="32"/>
          <w:szCs w:val="32"/>
          <w:lang w:eastAsia="zh-CN"/>
        </w:rPr>
        <w:t>。</w:t>
      </w:r>
    </w:p>
    <w:p w14:paraId="0A04293A">
      <w:pPr>
        <w:spacing w:line="700" w:lineRule="exact"/>
        <w:ind w:firstLine="640" w:firstLineChars="200"/>
        <w:rPr>
          <w:rFonts w:hint="default" w:eastAsia="仿宋_GB2312"/>
          <w:lang w:val="en-US"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一般商品和服务支出</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一般商品和服务支出</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就业培训中心</w:t>
      </w:r>
      <w:r>
        <w:rPr>
          <w:rFonts w:hint="eastAsia" w:ascii="仿宋_GB2312" w:hAnsi="仿宋_GB2312" w:eastAsia="仿宋_GB2312" w:cs="仿宋_GB2312"/>
          <w:sz w:val="32"/>
          <w:szCs w:val="32"/>
        </w:rPr>
        <w:t>办公费、印刷费、</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rPr>
        <w:t>水电费、办公设备购置</w:t>
      </w:r>
      <w:r>
        <w:rPr>
          <w:rFonts w:hint="eastAsia" w:ascii="仿宋_GB2312" w:hAnsi="仿宋_GB2312" w:eastAsia="仿宋_GB2312" w:cs="仿宋_GB2312"/>
          <w:sz w:val="32"/>
          <w:szCs w:val="32"/>
          <w:lang w:eastAsia="zh-CN"/>
        </w:rPr>
        <w:t>、其他交通费</w:t>
      </w:r>
      <w:r>
        <w:rPr>
          <w:rFonts w:hint="eastAsia" w:ascii="仿宋_GB2312" w:hAnsi="仿宋_GB2312" w:eastAsia="仿宋_GB2312" w:cs="仿宋_GB2312"/>
          <w:sz w:val="32"/>
          <w:szCs w:val="32"/>
        </w:rPr>
        <w:t>等日常工作开支</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工会经费1万元，公务接待费0.3万元，福利费0.012万元，其他交通费用0.13万元</w:t>
      </w:r>
      <w:r>
        <w:rPr>
          <w:rFonts w:hint="eastAsia" w:ascii="仿宋_GB2312" w:hAnsi="仿宋_GB2312" w:eastAsia="仿宋_GB2312" w:cs="仿宋_GB2312"/>
          <w:sz w:val="32"/>
          <w:szCs w:val="32"/>
        </w:rPr>
        <w:t>。</w:t>
      </w:r>
    </w:p>
    <w:p w14:paraId="7CFE5B1E">
      <w:pPr>
        <w:widowControl/>
        <w:numPr>
          <w:ilvl w:val="0"/>
          <w:numId w:val="1"/>
        </w:numPr>
        <w:ind w:right="10" w:rightChars="5"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情况</w:t>
      </w:r>
    </w:p>
    <w:p w14:paraId="222680A3">
      <w:pPr>
        <w:widowControl/>
        <w:numPr>
          <w:ilvl w:val="0"/>
          <w:numId w:val="0"/>
        </w:numPr>
        <w:ind w:right="10" w:rightChars="5"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本部门无项目支出</w:t>
      </w:r>
    </w:p>
    <w:p w14:paraId="6DEDD64A">
      <w:pPr>
        <w:widowControl/>
        <w:numPr>
          <w:ilvl w:val="0"/>
          <w:numId w:val="2"/>
        </w:numPr>
        <w:spacing w:line="700" w:lineRule="exact"/>
        <w:ind w:firstLine="630" w:firstLineChars="196"/>
        <w:jc w:val="left"/>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政府性基金预算支出情况</w:t>
      </w:r>
    </w:p>
    <w:p w14:paraId="7286977A">
      <w:pPr>
        <w:pStyle w:val="7"/>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本部门无政府性基金预算支出</w:t>
      </w:r>
    </w:p>
    <w:p w14:paraId="0CE5761F">
      <w:pPr>
        <w:widowControl/>
        <w:spacing w:line="700" w:lineRule="exact"/>
        <w:ind w:firstLine="660"/>
        <w:jc w:val="left"/>
        <w:rPr>
          <w:rFonts w:hint="eastAsia" w:ascii="黑体" w:hAnsi="黑体" w:eastAsia="黑体" w:cs="黑体"/>
          <w:b/>
          <w:sz w:val="32"/>
          <w:szCs w:val="32"/>
        </w:rPr>
      </w:pPr>
      <w:r>
        <w:rPr>
          <w:rFonts w:hint="eastAsia" w:ascii="黑体" w:hAnsi="黑体" w:eastAsia="黑体" w:cs="黑体"/>
          <w:b/>
          <w:sz w:val="32"/>
          <w:szCs w:val="32"/>
          <w:lang w:eastAsia="zh-CN"/>
        </w:rPr>
        <w:t>四、国有资本经营预算支出情况</w:t>
      </w:r>
    </w:p>
    <w:p w14:paraId="4DC2ED5A">
      <w:pPr>
        <w:numPr>
          <w:ilvl w:val="0"/>
          <w:numId w:val="0"/>
        </w:numPr>
        <w:spacing w:line="7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bCs/>
          <w:sz w:val="32"/>
          <w:szCs w:val="32"/>
        </w:rPr>
        <w:t>年止，我单位国有资产总额0万元，其中固定资产为0万元，流动资产0万元，净资产为0万元。本单位国有资产统一由局机关管理。</w:t>
      </w:r>
    </w:p>
    <w:p w14:paraId="0E8FFC13">
      <w:pPr>
        <w:widowControl/>
        <w:numPr>
          <w:ilvl w:val="0"/>
          <w:numId w:val="0"/>
        </w:numPr>
        <w:spacing w:line="700" w:lineRule="exact"/>
        <w:ind w:leftChars="196" w:firstLine="321" w:firstLineChars="10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五、社会保险基金预算支出情况</w:t>
      </w:r>
    </w:p>
    <w:p w14:paraId="7AA7A81F">
      <w:pPr>
        <w:widowControl/>
        <w:spacing w:line="700" w:lineRule="exact"/>
        <w:ind w:firstLine="6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本部门无社会保险基金预算支出</w:t>
      </w:r>
    </w:p>
    <w:p w14:paraId="7F91A075">
      <w:pPr>
        <w:widowControl/>
        <w:numPr>
          <w:ilvl w:val="0"/>
          <w:numId w:val="3"/>
        </w:numPr>
        <w:spacing w:line="700" w:lineRule="exact"/>
        <w:ind w:firstLine="66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部门整体支出绩效情况</w:t>
      </w:r>
    </w:p>
    <w:p w14:paraId="60002A75">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2023年，我部门 积极履职，强化管理，较好地完成了年度工作目标。根据部门整体支出绩效评</w:t>
      </w:r>
      <w:r>
        <w:rPr>
          <w:rFonts w:hint="eastAsia" w:ascii="Times New Roman" w:hAnsi="Times New Roman" w:eastAsia="仿宋_GB2312"/>
          <w:sz w:val="32"/>
          <w:szCs w:val="32"/>
          <w:lang w:val="en-US" w:eastAsia="zh-CN"/>
        </w:rPr>
        <w:t>价指标体系，我单位2023年度评价得分为100分。部门整体支出绩效情况如下：</w:t>
      </w:r>
    </w:p>
    <w:p w14:paraId="2BE22479">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（一）年度预算执行10分</w:t>
      </w:r>
    </w:p>
    <w:p w14:paraId="48969616">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auto"/>
          <w:kern w:val="0"/>
          <w:sz w:val="32"/>
          <w:szCs w:val="32"/>
          <w:lang w:val="en-US" w:eastAsia="zh-CN" w:bidi="ar-SA"/>
        </w:rPr>
        <w:t>年度预算执行得10分。2023年，我单位全年预算数22.21万元，全年执行数22.21万元，执行率100%，得10分</w:t>
      </w:r>
      <w:r>
        <w:rPr>
          <w:rFonts w:hint="eastAsia" w:ascii="Times New Roman" w:hAnsi="Times New Roman" w:eastAsia="仿宋_GB2312"/>
          <w:sz w:val="32"/>
          <w:szCs w:val="32"/>
          <w:lang w:val="en-US" w:eastAsia="zh-CN"/>
        </w:rPr>
        <w:t>。</w:t>
      </w:r>
    </w:p>
    <w:p w14:paraId="694EF6A6">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（二）产出指标40分</w:t>
      </w:r>
    </w:p>
    <w:p w14:paraId="4B975F9A">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1、数量指标20分</w:t>
      </w:r>
    </w:p>
    <w:p w14:paraId="4D2DB6C4">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职业技能培训226人次，创业培训122人次，事业单位新聘人员在岗培训和岗前培训共计647人，得10分；培训班次12期，得10分。</w:t>
      </w:r>
    </w:p>
    <w:p w14:paraId="60328042">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2、质量指标10分</w:t>
      </w:r>
    </w:p>
    <w:p w14:paraId="7C329D95">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职业技能培训和事业单位新聘人员在岗培训和岗前培训合格率90%以上，得10分。</w:t>
      </w:r>
    </w:p>
    <w:p w14:paraId="432F5BB0">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3、时效指标10分</w:t>
      </w:r>
    </w:p>
    <w:p w14:paraId="41767C85">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职业技能培训和事业单位新聘人员在岗培训和岗前培训计划按期完成得10分。</w:t>
      </w:r>
    </w:p>
    <w:p w14:paraId="13EAECE6">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（二）效益指标10分</w:t>
      </w:r>
    </w:p>
    <w:p w14:paraId="41C28823">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社会效益指标10分</w:t>
      </w:r>
    </w:p>
    <w:p w14:paraId="45013F17">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培训从业人员技能及创业本领，推动职业技能培训发展，职业技能培训发展成熟，有助于稳定就业，效益显著，得10分。</w:t>
      </w:r>
    </w:p>
    <w:p w14:paraId="26549F2D">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（三）社会公众或服务对象满意度得20分。</w:t>
      </w:r>
    </w:p>
    <w:p w14:paraId="7B52A751">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（四）成本指标20分</w:t>
      </w:r>
    </w:p>
    <w:p w14:paraId="56B584E8">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培训相关支出匀按培训标准执行，得5分。</w:t>
      </w:r>
    </w:p>
    <w:p w14:paraId="7E4067C0">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（五）绩效完成具体情况</w:t>
      </w:r>
    </w:p>
    <w:p w14:paraId="446E4673">
      <w:pPr>
        <w:numPr>
          <w:ilvl w:val="0"/>
          <w:numId w:val="0"/>
        </w:numPr>
        <w:spacing w:line="7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根据年度重点和日常工作安排，各项工作取得了新的成绩和突破；具体工作完成情况如下：</w:t>
      </w:r>
    </w:p>
    <w:p w14:paraId="30ED2E11">
      <w:pPr>
        <w:widowControl/>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1、完成了创业培训共5期，累计培训学员122人。其中SYB创业培训班3期共59人，乡村领雁创业培训班1期共32人，网络创业（电商版）培训班1期共31人；</w:t>
      </w:r>
    </w:p>
    <w:p w14:paraId="611F1458">
      <w:pPr>
        <w:widowControl/>
        <w:numPr>
          <w:ilvl w:val="0"/>
          <w:numId w:val="4"/>
        </w:numPr>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完成职业技能培训5期，累计培训学员226人.其中广电和通信设备手工装接工中级班1期50人，初级班1期50人，缝纫工中级班1期37人，初级班45人，电子商务师初级班1期44人，受到群众的大力欢迎和支持。</w:t>
      </w:r>
    </w:p>
    <w:p w14:paraId="006F3B41">
      <w:pPr>
        <w:widowControl/>
        <w:numPr>
          <w:ilvl w:val="0"/>
          <w:numId w:val="4"/>
        </w:num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完成2期事业单位新聘人员在岗培训和岗前培训共计647人。其中2021年</w:t>
      </w:r>
      <w:r>
        <w:rPr>
          <w:rFonts w:hint="eastAsia" w:ascii="仿宋_GB2312" w:hAnsi="仿宋_GB2312" w:eastAsia="仿宋_GB2312" w:cs="仿宋_GB2312"/>
          <w:sz w:val="32"/>
          <w:szCs w:val="32"/>
        </w:rPr>
        <w:t>事业单位新聘人员在岗培训人数</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事业单位新聘人员岗</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培训人数</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14:paraId="5F079CC8">
      <w:pPr>
        <w:pStyle w:val="4"/>
        <w:rPr>
          <w:rFonts w:hint="eastAsia"/>
        </w:rPr>
      </w:pPr>
    </w:p>
    <w:p w14:paraId="401CAFFC">
      <w:pPr>
        <w:pStyle w:val="4"/>
        <w:keepNext w:val="0"/>
        <w:keepLines w:val="0"/>
        <w:pageBreakBefore w:val="0"/>
        <w:widowControl w:val="0"/>
        <w:numPr>
          <w:ilvl w:val="0"/>
          <w:numId w:val="5"/>
        </w:numPr>
        <w:kinsoku/>
        <w:wordWrap/>
        <w:overflowPunct/>
        <w:topLinePunct w:val="0"/>
        <w:autoSpaceDE/>
        <w:autoSpaceDN/>
        <w:bidi w:val="0"/>
        <w:adjustRightInd/>
        <w:snapToGrid w:val="0"/>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存在的问题及原因分析</w:t>
      </w:r>
    </w:p>
    <w:p w14:paraId="506A1A54">
      <w:pPr>
        <w:keepNext w:val="0"/>
        <w:keepLines w:val="0"/>
        <w:widowControl/>
        <w:suppressLineNumbers w:val="0"/>
        <w:spacing w:before="0" w:beforeAutospacing="1" w:after="0" w:afterAutospacing="1"/>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培训方面。一是部分农村劳动力对职业技能培训的重要性认识不足，因思想观念比较陈旧，缺乏长远性和开拓性，认识不到提高技能对于个人就业、提高经济收入的重要性，参加职业技能培训的主动性不强。二是部分企业缺乏对职工技能培训的主体责任意识，重视专业技术人才的培养，忽视一线职工的技能培训，对员工技能培训的投入严重不足，职工技能素质的提高跟不上技术进步步伐。</w:t>
      </w:r>
    </w:p>
    <w:p w14:paraId="0804701B">
      <w:pPr>
        <w:pStyle w:val="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lang w:val="en-US" w:eastAsia="zh-CN"/>
        </w:rPr>
      </w:pPr>
      <w:r>
        <w:rPr>
          <w:rFonts w:hint="eastAsia" w:ascii="Times New Roman" w:hAnsi="Times New Roman" w:eastAsia="仿宋_GB2312"/>
          <w:sz w:val="32"/>
          <w:szCs w:val="32"/>
          <w:lang w:val="en-US" w:eastAsia="zh-CN"/>
        </w:rPr>
        <w:t>绩效评价方面：一是绩效评价结果运用还不够。预算编制不科学, 预算与绩效管理“两张皮”现象依然存在。绩效评价以事后评价为主，问题的发现、评价结果的提出与实际应用，时间跨度较大，使结果应用效力受限。二是绩效评价应用有待继续加强。绩效评价通常在项目完成后进行，绩效评价结果很难改变预算使用效果。效果，影响客观评价。</w:t>
      </w:r>
    </w:p>
    <w:p w14:paraId="3A85A32E">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八、下一步改进措施</w:t>
      </w:r>
    </w:p>
    <w:p w14:paraId="64C1A9FB">
      <w:pPr>
        <w:keepNext w:val="0"/>
        <w:keepLines w:val="0"/>
        <w:widowControl/>
        <w:suppressLineNumbers w:val="0"/>
        <w:spacing w:before="0" w:beforeAutospacing="1" w:after="0" w:afterAutospacing="1"/>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一是加大引导性培训力度。在引导性培训中，以转变农村劳动力择业观念为目的。积极结合本地传统和农村劳动力的思想实际，以入村培训为主，集中培训为辅的方式，有针对性地选择培训内容，充分利用好</w:t>
      </w:r>
      <w:bookmarkStart w:id="0" w:name="_GoBack"/>
      <w:bookmarkEnd w:id="0"/>
      <w:r>
        <w:rPr>
          <w:rFonts w:hint="eastAsia" w:ascii="仿宋_GB2312" w:hAnsi="仿宋_GB2312" w:eastAsia="仿宋_GB2312" w:cs="仿宋_GB2312"/>
          <w:sz w:val="32"/>
          <w:szCs w:val="32"/>
          <w:lang w:val="en-US" w:eastAsia="zh-CN"/>
        </w:rPr>
        <w:t>农闲季节，开展基本权益保护、法律知识、城市生活常识、寻找就业岗位等方面知识的培训。目的在于提高农村劳动力遵守法律法规和依法维护自身权益的意识，树立新的就业观念。</w:t>
      </w:r>
    </w:p>
    <w:p w14:paraId="22EEA1F0">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bCs/>
          <w:sz w:val="32"/>
          <w:szCs w:val="32"/>
          <w:lang w:eastAsia="zh-CN"/>
        </w:rPr>
        <w:t>九、绩效</w:t>
      </w:r>
      <w:r>
        <w:rPr>
          <w:rFonts w:hint="eastAsia" w:ascii="黑体" w:hAnsi="黑体" w:eastAsia="黑体" w:cs="黑体"/>
          <w:sz w:val="32"/>
          <w:szCs w:val="32"/>
          <w:lang w:val="en-US" w:eastAsia="zh-CN"/>
        </w:rPr>
        <w:t>自评结果拟应用和公开情况</w:t>
      </w:r>
    </w:p>
    <w:p w14:paraId="735130CB">
      <w:pPr>
        <w:keepNext w:val="0"/>
        <w:keepLines w:val="0"/>
        <w:pageBreakBefore w:val="0"/>
        <w:widowControl w:val="0"/>
        <w:kinsoku/>
        <w:overflowPunct/>
        <w:topLinePunct w:val="0"/>
        <w:bidi w:val="0"/>
        <w:adjustRightInd w:val="0"/>
        <w:snapToGrid w:val="0"/>
        <w:spacing w:line="560" w:lineRule="atLeast"/>
        <w:ind w:firstLine="640" w:firstLineChars="200"/>
        <w:rPr>
          <w:rFonts w:hint="eastAsia" w:eastAsia="仿宋_GB2312"/>
          <w:sz w:val="32"/>
          <w:szCs w:val="32"/>
          <w:lang w:eastAsia="zh-CN"/>
        </w:rPr>
      </w:pPr>
      <w:r>
        <w:rPr>
          <w:rFonts w:hint="eastAsia" w:ascii="仿宋_GB2312" w:hAnsi="仿宋_GB2312" w:eastAsia="仿宋_GB2312" w:cs="仿宋_GB2312"/>
          <w:kern w:val="2"/>
          <w:sz w:val="32"/>
          <w:szCs w:val="32"/>
          <w:lang w:val="en-US" w:eastAsia="zh-CN" w:bidi="ar-SA"/>
        </w:rPr>
        <w:t>我中心根据专项绩效评定指标对各项目进行量化评价，我单位较好完成了2023年年度总体目标，</w:t>
      </w:r>
      <w:r>
        <w:rPr>
          <w:rFonts w:hint="eastAsia" w:eastAsia="仿宋_GB2312"/>
          <w:sz w:val="32"/>
          <w:szCs w:val="32"/>
          <w:lang w:eastAsia="zh-CN"/>
        </w:rPr>
        <w:t>本绩效评价报告拟交由县财政部门统一公开。</w:t>
      </w:r>
    </w:p>
    <w:p w14:paraId="373489D1">
      <w:pPr>
        <w:pStyle w:val="2"/>
        <w:rPr>
          <w:rFonts w:hint="eastAsia"/>
          <w:lang w:val="en-US" w:eastAsia="zh-CN"/>
        </w:rPr>
      </w:pPr>
    </w:p>
    <w:p w14:paraId="56D26C1B">
      <w:pPr>
        <w:pStyle w:val="4"/>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其他需要说明的情况</w:t>
      </w:r>
    </w:p>
    <w:p w14:paraId="71A7B94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6F6CEBBB">
      <w:pPr>
        <w:ind w:firstLine="2570" w:firstLineChars="800"/>
        <w:rPr>
          <w:rFonts w:eastAsia="仿宋_GB2312"/>
          <w:b/>
          <w:bCs/>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C3E26"/>
    <w:multiLevelType w:val="singleLevel"/>
    <w:tmpl w:val="E24C3E26"/>
    <w:lvl w:ilvl="0" w:tentative="0">
      <w:start w:val="6"/>
      <w:numFmt w:val="chineseCounting"/>
      <w:suff w:val="nothing"/>
      <w:lvlText w:val="%1、"/>
      <w:lvlJc w:val="left"/>
      <w:rPr>
        <w:rFonts w:hint="eastAsia"/>
      </w:rPr>
    </w:lvl>
  </w:abstractNum>
  <w:abstractNum w:abstractNumId="1">
    <w:nsid w:val="0ED2ECE2"/>
    <w:multiLevelType w:val="singleLevel"/>
    <w:tmpl w:val="0ED2ECE2"/>
    <w:lvl w:ilvl="0" w:tentative="0">
      <w:start w:val="2"/>
      <w:numFmt w:val="decimal"/>
      <w:suff w:val="nothing"/>
      <w:lvlText w:val="%1、"/>
      <w:lvlJc w:val="left"/>
    </w:lvl>
  </w:abstractNum>
  <w:abstractNum w:abstractNumId="2">
    <w:nsid w:val="5A3C61C9"/>
    <w:multiLevelType w:val="singleLevel"/>
    <w:tmpl w:val="5A3C61C9"/>
    <w:lvl w:ilvl="0" w:tentative="0">
      <w:start w:val="7"/>
      <w:numFmt w:val="chineseCounting"/>
      <w:suff w:val="nothing"/>
      <w:lvlText w:val="%1、"/>
      <w:lvlJc w:val="left"/>
      <w:rPr>
        <w:rFonts w:hint="eastAsia"/>
      </w:rPr>
    </w:lvl>
  </w:abstractNum>
  <w:abstractNum w:abstractNumId="3">
    <w:nsid w:val="5E3584BD"/>
    <w:multiLevelType w:val="singleLevel"/>
    <w:tmpl w:val="5E3584BD"/>
    <w:lvl w:ilvl="0" w:tentative="0">
      <w:start w:val="3"/>
      <w:numFmt w:val="chineseCounting"/>
      <w:suff w:val="nothing"/>
      <w:lvlText w:val="%1、"/>
      <w:lvlJc w:val="left"/>
      <w:rPr>
        <w:rFonts w:hint="eastAsia"/>
      </w:rPr>
    </w:lvl>
  </w:abstractNum>
  <w:abstractNum w:abstractNumId="4">
    <w:nsid w:val="7EF11378"/>
    <w:multiLevelType w:val="singleLevel"/>
    <w:tmpl w:val="7EF11378"/>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NmN2MyOGQ3ZTkxY2EwNjNiZjQzNDg4ZDE4Nzk3ODYifQ=="/>
  </w:docVars>
  <w:rsids>
    <w:rsidRoot w:val="00370BF5"/>
    <w:rsid w:val="00370BF5"/>
    <w:rsid w:val="0086712E"/>
    <w:rsid w:val="0ADC1F66"/>
    <w:rsid w:val="16BB72CE"/>
    <w:rsid w:val="1F333955"/>
    <w:rsid w:val="2D117479"/>
    <w:rsid w:val="2FE13A40"/>
    <w:rsid w:val="36F676AD"/>
    <w:rsid w:val="382819FC"/>
    <w:rsid w:val="3C675A02"/>
    <w:rsid w:val="46530377"/>
    <w:rsid w:val="48782B01"/>
    <w:rsid w:val="4BA17456"/>
    <w:rsid w:val="5405079D"/>
    <w:rsid w:val="61D52193"/>
    <w:rsid w:val="69307634"/>
    <w:rsid w:val="6CC51694"/>
    <w:rsid w:val="70F60EB9"/>
    <w:rsid w:val="73694D62"/>
    <w:rsid w:val="749C4A57"/>
    <w:rsid w:val="77CA6211"/>
    <w:rsid w:val="784C0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eastAsia="宋体"/>
    </w:rPr>
  </w:style>
  <w:style w:type="paragraph" w:styleId="3">
    <w:name w:val="index 5"/>
    <w:basedOn w:val="1"/>
    <w:next w:val="1"/>
    <w:autoRedefine/>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 w:type="paragraph" w:customStyle="1" w:styleId="7">
    <w:name w:val="样式 文字 + 首行缩进:  2 字符3"/>
    <w:basedOn w:val="1"/>
    <w:autoRedefine/>
    <w:qFormat/>
    <w:uiPriority w:val="99"/>
    <w:pPr>
      <w:spacing w:line="360" w:lineRule="auto"/>
      <w:jc w:val="left"/>
    </w:pPr>
    <w:rPr>
      <w:sz w:val="28"/>
      <w:szCs w:val="28"/>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1614</Words>
  <Characters>1688</Characters>
  <Lines>2</Lines>
  <Paragraphs>4</Paragraphs>
  <TotalTime>2</TotalTime>
  <ScaleCrop>false</ScaleCrop>
  <LinksUpToDate>false</LinksUpToDate>
  <CharactersWithSpaces>1692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2021-06-01T12:06:00Z</dcterms:created>
  <dc:creator>Lenovo</dc:creator>
  <cp:lastModifiedBy>七七哥+笑笑妹</cp:lastModifiedBy>
  <dcterms:modified xsi:type="dcterms:W3CDTF">2024-08-28T01:28:16Z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723BE2791747492DBA0419756F746E8D</vt:lpwstr>
  </property>
</Properties>
</file>