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道县劳动保障监察大队部门（单位）部门决算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道县劳动保障监察大队</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道县劳动保障监察大队</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FUNCRESP"/>
      <w:r>
        <w:rPr>
          <w:rFonts w:hint="eastAsia" w:ascii="仿宋_GB2312" w:hAnsi="仿宋_GB2312" w:eastAsia="仿宋_GB2312" w:cs="仿宋_GB2312"/>
          <w:color w:val="000000"/>
          <w:sz w:val="32"/>
          <w:szCs w:val="32"/>
          <w:shd w:val="clear" w:color="auto" w:fill="FFFFFF"/>
        </w:rPr>
        <w:t>劳动保障监察大队依照《劳动法》、《劳动合同法》、《社会保险法》、《劳动保障监察条例》等法律法规对各用人单位执行法律法规情况进行监督监察。</w:t>
      </w:r>
      <w:bookmarkEnd w:id="0"/>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color w:val="000000"/>
          <w:sz w:val="32"/>
          <w:szCs w:val="32"/>
          <w:shd w:val="clear" w:color="auto" w:fill="FFFFFF"/>
          <w:lang w:eastAsia="zh-CN"/>
        </w:rPr>
        <w:t>道县劳动保障监察大队</w:t>
      </w:r>
      <w:r>
        <w:rPr>
          <w:rFonts w:hint="eastAsia" w:ascii="Times New Roman" w:hAnsi="Times New Roman" w:eastAsia="仿宋_GB2312" w:cs="仿宋_GB2312"/>
          <w:bCs/>
          <w:kern w:val="0"/>
          <w:sz w:val="32"/>
          <w:szCs w:val="32"/>
        </w:rPr>
        <w:t>单位内设机构包括：</w:t>
      </w:r>
      <w:bookmarkStart w:id="1" w:name="ORG_SET"/>
      <w:r>
        <w:rPr>
          <w:rFonts w:hint="eastAsia" w:ascii="仿宋_GB2312" w:hAnsi="仿宋_GB2312" w:eastAsia="仿宋_GB2312" w:cs="仿宋_GB2312"/>
          <w:color w:val="000000"/>
          <w:sz w:val="32"/>
          <w:szCs w:val="32"/>
          <w:shd w:val="clear" w:color="auto" w:fill="FFFFFF"/>
          <w:lang w:eastAsia="zh-CN"/>
        </w:rPr>
        <w:t>道县劳动保障监察大队</w:t>
      </w:r>
      <w:r>
        <w:rPr>
          <w:rFonts w:hint="eastAsia" w:ascii="仿宋_GB2312" w:hAnsi="仿宋_GB2312" w:eastAsia="仿宋_GB2312" w:cs="仿宋_GB2312"/>
          <w:color w:val="000000"/>
          <w:sz w:val="32"/>
          <w:szCs w:val="32"/>
          <w:shd w:val="clear" w:color="auto" w:fill="FFFFFF"/>
        </w:rPr>
        <w:t>是参公事业单位，编制12人，在职人员5人，为一级预算单位。</w:t>
      </w:r>
      <w:bookmarkEnd w:id="1"/>
    </w:p>
    <w:p>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color w:val="000000"/>
          <w:sz w:val="32"/>
          <w:szCs w:val="32"/>
          <w:shd w:val="clear" w:color="auto" w:fill="FFFFFF"/>
        </w:rPr>
        <w:t>道县劳动保障监察大队</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color w:val="000000"/>
          <w:sz w:val="32"/>
          <w:szCs w:val="32"/>
          <w:shd w:val="clear" w:color="auto" w:fill="FFFFFF"/>
        </w:rPr>
        <w:t>道县劳动保障监察大队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没有其他二级预算单位，因此，纳入</w:t>
      </w:r>
      <w:r>
        <w:rPr>
          <w:rFonts w:hint="eastAsia" w:ascii="仿宋_GB2312" w:hAnsi="仿宋_GB2312" w:eastAsia="仿宋_GB2312" w:cs="仿宋_GB2312"/>
          <w:color w:val="000000"/>
          <w:sz w:val="32"/>
          <w:szCs w:val="32"/>
          <w:shd w:val="clear" w:color="auto" w:fill="FFFFFF"/>
          <w:lang w:val="en-US" w:eastAsia="zh-CN"/>
        </w:rPr>
        <w:t>2023</w:t>
      </w:r>
      <w:r>
        <w:rPr>
          <w:rFonts w:hint="eastAsia" w:ascii="仿宋_GB2312" w:hAnsi="仿宋_GB2312" w:eastAsia="仿宋_GB2312" w:cs="仿宋_GB2312"/>
          <w:color w:val="000000"/>
          <w:sz w:val="32"/>
          <w:szCs w:val="32"/>
          <w:shd w:val="clear" w:color="auto" w:fill="FFFFFF"/>
        </w:rPr>
        <w:t>年部门决算编制范围的只有道县劳动保障监察大队本级。</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autofit"/>
        <w:tblCellMar>
          <w:top w:w="0" w:type="dxa"/>
          <w:left w:w="0" w:type="dxa"/>
          <w:bottom w:w="0" w:type="dxa"/>
          <w:right w:w="0" w:type="dxa"/>
        </w:tblCellMar>
      </w:tblPr>
      <w:tblGrid>
        <w:gridCol w:w="455"/>
        <w:gridCol w:w="455"/>
        <w:gridCol w:w="3340"/>
        <w:gridCol w:w="1598"/>
        <w:gridCol w:w="1598"/>
        <w:gridCol w:w="1428"/>
        <w:gridCol w:w="1428"/>
        <w:gridCol w:w="1428"/>
        <w:gridCol w:w="1428"/>
        <w:gridCol w:w="2270"/>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05"/>
              <w:gridCol w:w="588"/>
              <w:gridCol w:w="1248"/>
              <w:gridCol w:w="4418"/>
              <w:gridCol w:w="1856"/>
              <w:gridCol w:w="467"/>
              <w:gridCol w:w="467"/>
              <w:gridCol w:w="2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7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234"/>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91.3753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91.3753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7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86"/>
                <w:tab w:val="right" w:pos="2103"/>
              </w:tabs>
              <w:jc w:val="left"/>
              <w:rPr>
                <w:rFonts w:ascii="宋体" w:hAnsi="宋体" w:eastAsia="宋体" w:cs="宋体"/>
                <w:sz w:val="24"/>
                <w:szCs w:val="24"/>
              </w:rPr>
            </w:pPr>
            <w:r>
              <w:rPr>
                <w:rFonts w:hint="eastAsia"/>
                <w:lang w:eastAsia="zh-CN"/>
              </w:rPr>
              <w:tab/>
            </w:r>
            <w:r>
              <w:rPr>
                <w:rFonts w:hint="eastAsia" w:ascii="宋体" w:hAnsi="宋体" w:eastAsia="宋体" w:cs="宋体"/>
                <w:i w:val="0"/>
                <w:iCs w:val="0"/>
                <w:color w:val="000000"/>
                <w:kern w:val="0"/>
                <w:sz w:val="22"/>
                <w:szCs w:val="22"/>
                <w:u w:val="none"/>
                <w:lang w:val="en-US" w:eastAsia="zh-CN" w:bidi="ar"/>
              </w:rPr>
              <w:t>91.3753</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91.3753</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w:t>
            </w:r>
          </w:p>
          <w:tbl>
            <w:tblPr>
              <w:tblStyle w:val="8"/>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pPr>
              <w:rPr>
                <w:rFonts w:ascii="宋体" w:hAnsi="宋体" w:eastAsia="宋体" w:cs="宋体"/>
                <w:sz w:val="24"/>
                <w:szCs w:val="24"/>
              </w:rPr>
            </w:pP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91.3753</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91.3753</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bl>
            <w:tblPr>
              <w:tblStyle w:val="8"/>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pPr>
              <w:widowControl/>
              <w:jc w:val="left"/>
              <w:rPr>
                <w:rFonts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36"/>
        <w:gridCol w:w="431"/>
        <w:gridCol w:w="1297"/>
        <w:gridCol w:w="488"/>
        <w:gridCol w:w="2868"/>
        <w:gridCol w:w="622"/>
        <w:gridCol w:w="431"/>
        <w:gridCol w:w="1550"/>
        <w:gridCol w:w="1374"/>
        <w:gridCol w:w="1374"/>
        <w:gridCol w:w="1550"/>
      </w:tblGrid>
      <w:tr>
        <w:tblPrEx>
          <w:tblCellMar>
            <w:top w:w="0" w:type="dxa"/>
            <w:left w:w="108" w:type="dxa"/>
            <w:bottom w:w="0" w:type="dxa"/>
            <w:right w:w="108" w:type="dxa"/>
          </w:tblCellMar>
        </w:tblPrEx>
        <w:trPr>
          <w:trHeight w:val="285" w:hRule="atLeast"/>
        </w:trPr>
        <w:tc>
          <w:tcPr>
            <w:tcW w:w="353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2" w:name="RANGE!A1:I22"/>
            <w:bookmarkEnd w:id="2"/>
            <w:bookmarkStart w:id="3" w:name="RANGE!A1:F16"/>
          </w:p>
        </w:tc>
        <w:tc>
          <w:tcPr>
            <w:tcW w:w="43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78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4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5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7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7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5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57"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97" w:type="dxa"/>
            <w:tcBorders>
              <w:top w:val="nil"/>
              <w:left w:val="nil"/>
              <w:bottom w:val="single" w:color="auto" w:sz="4" w:space="0"/>
              <w:right w:val="single" w:color="auto" w:sz="4" w:space="0"/>
            </w:tcBorders>
            <w:shd w:val="clear" w:color="auto" w:fill="auto"/>
            <w:noWrap/>
            <w:vAlign w:val="center"/>
          </w:tcPr>
          <w:p>
            <w:pPr>
              <w:widowControl/>
              <w:tabs>
                <w:tab w:val="center" w:pos="540"/>
                <w:tab w:val="right" w:pos="1421"/>
              </w:tabs>
              <w:jc w:val="left"/>
              <w:rPr>
                <w:rFonts w:ascii="宋体" w:hAnsi="宋体" w:eastAsia="宋体" w:cs="宋体"/>
                <w:kern w:val="0"/>
                <w:sz w:val="22"/>
              </w:rPr>
            </w:pP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 xml:space="preserve">        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3356" w:type="dxa"/>
            <w:gridSpan w:val="2"/>
            <w:tcBorders>
              <w:top w:val="nil"/>
              <w:left w:val="nil"/>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000000"/>
                <w:kern w:val="0"/>
                <w:sz w:val="22"/>
                <w:szCs w:val="22"/>
                <w:u w:val="none"/>
                <w:lang w:val="en-US" w:eastAsia="zh-CN" w:bidi="ar"/>
              </w:rPr>
              <w:t>91.3753</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000000"/>
                <w:kern w:val="0"/>
                <w:sz w:val="22"/>
                <w:szCs w:val="22"/>
                <w:u w:val="none"/>
                <w:lang w:val="en-US" w:eastAsia="zh-CN" w:bidi="ar"/>
              </w:rPr>
              <w:t>91.3753</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0</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c>
          <w:tcPr>
            <w:tcW w:w="10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w:t>
            </w:r>
          </w:p>
        </w:tc>
      </w:tr>
      <w:tr>
        <w:tblPrEx>
          <w:tblCellMar>
            <w:top w:w="0" w:type="dxa"/>
            <w:left w:w="108" w:type="dxa"/>
            <w:bottom w:w="0" w:type="dxa"/>
            <w:right w:w="108" w:type="dxa"/>
          </w:tblCellMar>
        </w:tblPrEx>
        <w:trPr>
          <w:trHeight w:val="402" w:hRule="atLeast"/>
        </w:trPr>
        <w:tc>
          <w:tcPr>
            <w:tcW w:w="35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335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91.3753</w:t>
            </w:r>
            <w:r>
              <w:rPr>
                <w:rFonts w:hint="eastAsia" w:ascii="宋体" w:hAnsi="宋体" w:eastAsia="宋体" w:cs="宋体"/>
                <w:kern w:val="0"/>
                <w:sz w:val="22"/>
              </w:rPr>
              <w:t>　</w:t>
            </w:r>
          </w:p>
        </w:tc>
        <w:tc>
          <w:tcPr>
            <w:tcW w:w="13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6"/>
        <w:gridCol w:w="3525"/>
        <w:gridCol w:w="2999"/>
        <w:gridCol w:w="3491"/>
        <w:gridCol w:w="2998"/>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tbl>
            <w:tblPr>
              <w:tblStyle w:val="8"/>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r>
          </w:tbl>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91.3753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898"/>
        <w:gridCol w:w="236"/>
        <w:gridCol w:w="84"/>
        <w:gridCol w:w="1162"/>
        <w:gridCol w:w="1813"/>
        <w:gridCol w:w="108"/>
        <w:gridCol w:w="1063"/>
        <w:gridCol w:w="1089"/>
        <w:gridCol w:w="273"/>
        <w:gridCol w:w="1766"/>
        <w:gridCol w:w="204"/>
        <w:gridCol w:w="967"/>
        <w:gridCol w:w="1090"/>
        <w:gridCol w:w="313"/>
        <w:gridCol w:w="1868"/>
        <w:gridCol w:w="1506"/>
        <w:gridCol w:w="715"/>
        <w:gridCol w:w="459"/>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8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43.3670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48.0083</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20.0628</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3.1332</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19.844</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1.1604</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0.4413</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9"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1.1997</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3.7012</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59"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1.2985</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0.76</w:t>
            </w:r>
          </w:p>
        </w:tc>
        <w:tc>
          <w:tcPr>
            <w:tcW w:w="10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1"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43.3670.00</w:t>
            </w:r>
          </w:p>
        </w:tc>
        <w:tc>
          <w:tcPr>
            <w:tcW w:w="9076"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74" w:type="dxa"/>
            <w:gridSpan w:val="2"/>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48.0083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90" w:hRule="atLeast"/>
        </w:trPr>
        <w:tc>
          <w:tcPr>
            <w:tcW w:w="15155"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345" w:hRule="atLeast"/>
        </w:trPr>
        <w:tc>
          <w:tcPr>
            <w:tcW w:w="89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4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2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42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7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7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6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2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90" w:hRule="atLeast"/>
        </w:trPr>
        <w:tc>
          <w:tcPr>
            <w:tcW w:w="89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4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2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42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7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7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6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2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45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609" w:hRule="atLeast"/>
        </w:trPr>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409"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509" w:hRule="atLeast"/>
        </w:trPr>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9" w:type="dxa"/>
          <w:trHeight w:val="725" w:hRule="atLeast"/>
        </w:trPr>
        <w:tc>
          <w:tcPr>
            <w:tcW w:w="15155"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15.7867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预算减少相应支出减少。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15.7867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预算减少相应支出减少。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15.7867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预算减少相应支出减少。</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一般公共服务（类）劳动保障监察大队（款）其他人力资源和社会保障管理事务支出（项）。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91.3753</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3670万元，占基本支出的</w:t>
      </w:r>
      <w:r>
        <w:rPr>
          <w:rFonts w:hint="eastAsia" w:ascii="Times New Roman" w:hAnsi="Times New Roman" w:eastAsia="仿宋_GB2312"/>
          <w:sz w:val="32"/>
          <w:szCs w:val="32"/>
          <w:lang w:val="en-US" w:eastAsia="zh-CN"/>
        </w:rPr>
        <w:t>47.46</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48</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0083万元，占基本支出的</w:t>
      </w:r>
      <w:r>
        <w:rPr>
          <w:rFonts w:hint="eastAsia" w:ascii="Times New Roman" w:hAnsi="Times New Roman" w:eastAsia="仿宋_GB2312"/>
          <w:sz w:val="32"/>
          <w:szCs w:val="32"/>
          <w:lang w:val="en-US" w:eastAsia="zh-CN"/>
        </w:rPr>
        <w:t>52.54</w:t>
      </w:r>
      <w:r>
        <w:rPr>
          <w:rFonts w:hint="eastAsia" w:ascii="Times New Roman" w:hAnsi="Times New Roman" w:eastAsia="仿宋_GB2312"/>
          <w:sz w:val="32"/>
          <w:szCs w:val="32"/>
        </w:rPr>
        <w:t>%，主要包括办公费、印刷费、咨询费、手续费。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b/>
          <w:bCs w:val="0"/>
          <w:sz w:val="32"/>
          <w:szCs w:val="32"/>
          <w:lang w:eastAsia="zh-CN"/>
        </w:rPr>
        <w:t>八、</w:t>
      </w:r>
      <w:r>
        <w:rPr>
          <w:rFonts w:hint="eastAsia" w:ascii="黑体" w:hAnsi="黑体" w:eastAsia="黑体" w:cs="黑体"/>
          <w:b w:val="0"/>
          <w:bCs/>
          <w:sz w:val="32"/>
          <w:szCs w:val="32"/>
        </w:rPr>
        <w:t>政府性基金预算收入支出决算情况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本单位无政府性基金收支。</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12"/>
        <w:jc w:val="both"/>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spacing w:line="570" w:lineRule="atLeast"/>
        <w:rPr>
          <w:rFonts w:hint="eastAsia" w:ascii="仿宋_GB2312" w:hAnsi="仿宋_GB2312" w:eastAsia="仿宋_GB2312" w:cs="仿宋_GB2312"/>
          <w:color w:val="000000"/>
          <w:sz w:val="32"/>
          <w:szCs w:val="32"/>
          <w:shd w:val="clear" w:color="auto" w:fill="FFFFFF"/>
        </w:rPr>
      </w:pPr>
      <w:r>
        <w:rPr>
          <w:rFonts w:hint="eastAsia" w:ascii="方正小标宋_GBK" w:hAnsi="方正小标宋_GBK" w:eastAsia="方正小标宋_GBK" w:cs="方正小标宋_GBK"/>
          <w:color w:val="000000"/>
          <w:kern w:val="0"/>
          <w:sz w:val="70"/>
          <w:szCs w:val="70"/>
        </w:rPr>
        <w:br w:type="page"/>
      </w:r>
      <w:r>
        <w:rPr>
          <w:rFonts w:hint="eastAsia" w:ascii="仿宋_GB2312" w:hAnsi="仿宋_GB2312" w:eastAsia="仿宋_GB2312" w:cs="仿宋_GB2312"/>
          <w:color w:val="000000"/>
          <w:sz w:val="32"/>
          <w:szCs w:val="32"/>
          <w:shd w:val="clear" w:color="auto" w:fill="FFFFFF"/>
        </w:rPr>
        <w:tab/>
      </w:r>
      <w:r>
        <w:rPr>
          <w:rFonts w:hint="eastAsia" w:cs="黑体" w:asciiTheme="minorEastAsia" w:hAnsiTheme="minorEastAsia"/>
          <w:color w:val="000000"/>
          <w:kern w:val="0"/>
          <w:sz w:val="32"/>
          <w:szCs w:val="32"/>
        </w:rPr>
        <w:t>一、</w:t>
      </w:r>
      <w:r>
        <w:rPr>
          <w:rFonts w:hint="eastAsia" w:ascii="仿宋_GB2312" w:hAnsi="仿宋_GB2312" w:eastAsia="仿宋_GB2312" w:cs="仿宋_GB2312"/>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spacing w:line="570" w:lineRule="atLeast"/>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ab/>
      </w:r>
      <w:r>
        <w:rPr>
          <w:rFonts w:hint="eastAsia" w:cs="黑体" w:asciiTheme="minorEastAsia" w:hAnsiTheme="minorEastAsia"/>
          <w:color w:val="000000"/>
          <w:kern w:val="0"/>
          <w:sz w:val="32"/>
          <w:szCs w:val="32"/>
        </w:rPr>
        <w:t>二、</w:t>
      </w:r>
      <w:r>
        <w:rPr>
          <w:rFonts w:hint="eastAsia" w:ascii="仿宋_GB2312" w:hAnsi="仿宋_GB2312" w:eastAsia="仿宋_GB2312" w:cs="仿宋_GB2312"/>
          <w:color w:val="000000"/>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jc w:val="left"/>
        <w:rPr>
          <w:rFonts w:cs="黑体" w:asciiTheme="minorEastAsia" w:hAnsiTheme="minorEastAsia"/>
          <w:color w:val="000000"/>
          <w:kern w:val="0"/>
          <w:sz w:val="32"/>
          <w:szCs w:val="32"/>
        </w:rPr>
      </w:pPr>
    </w:p>
    <w:p>
      <w:pPr>
        <w:pStyle w:val="12"/>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劳动保障监察大队依照《劳动法》、《劳动合同法》、《社会保险法》、《劳动保障监察条例》等法律法规对各用人单位执行法律法规情况进行监督监察。</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color w:val="000000"/>
          <w:sz w:val="32"/>
          <w:szCs w:val="32"/>
          <w:shd w:val="clear" w:color="auto" w:fill="FFFFFF"/>
        </w:rPr>
        <w:t>劳动保障监察大队</w:t>
      </w:r>
      <w:r>
        <w:rPr>
          <w:rFonts w:hint="eastAsia" w:ascii="Times New Roman" w:hAnsi="Times New Roman" w:eastAsia="仿宋_GB2312" w:cs="仿宋_GB2312"/>
          <w:bCs/>
          <w:kern w:val="0"/>
          <w:sz w:val="32"/>
          <w:szCs w:val="32"/>
        </w:rPr>
        <w:t>单位内设机构包括：</w:t>
      </w:r>
      <w:r>
        <w:rPr>
          <w:rFonts w:hint="eastAsia" w:ascii="仿宋_GB2312" w:hAnsi="仿宋_GB2312" w:eastAsia="仿宋_GB2312" w:cs="仿宋_GB2312"/>
          <w:color w:val="000000"/>
          <w:sz w:val="32"/>
          <w:szCs w:val="32"/>
          <w:shd w:val="clear" w:color="auto" w:fill="FFFFFF"/>
        </w:rPr>
        <w:t>劳动保障监察大队是参公事业单位，编制12人，在职人员5人，为一级预算单位。</w:t>
      </w:r>
    </w:p>
    <w:p>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color w:val="000000"/>
          <w:sz w:val="32"/>
          <w:szCs w:val="32"/>
          <w:shd w:val="clear" w:color="auto" w:fill="FFFFFF"/>
        </w:rPr>
        <w:t>动保障监察大队</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color w:val="000000"/>
          <w:sz w:val="32"/>
          <w:szCs w:val="32"/>
          <w:shd w:val="clear" w:color="auto" w:fill="FFFFFF"/>
        </w:rPr>
        <w:t>动保障监察大队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没有其他二级预算单位，因此，纳入</w:t>
      </w:r>
      <w:r>
        <w:rPr>
          <w:rFonts w:hint="eastAsia" w:ascii="仿宋_GB2312" w:hAnsi="仿宋_GB2312" w:eastAsia="仿宋_GB2312" w:cs="仿宋_GB2312"/>
          <w:color w:val="000000"/>
          <w:sz w:val="32"/>
          <w:szCs w:val="32"/>
          <w:shd w:val="clear" w:color="auto" w:fill="FFFFFF"/>
          <w:lang w:val="en-US" w:eastAsia="zh-CN"/>
        </w:rPr>
        <w:t>2023</w:t>
      </w:r>
      <w:r>
        <w:rPr>
          <w:rFonts w:hint="eastAsia" w:ascii="仿宋_GB2312" w:hAnsi="仿宋_GB2312" w:eastAsia="仿宋_GB2312" w:cs="仿宋_GB2312"/>
          <w:color w:val="000000"/>
          <w:sz w:val="32"/>
          <w:szCs w:val="32"/>
          <w:shd w:val="clear" w:color="auto" w:fill="FFFFFF"/>
        </w:rPr>
        <w:t>年部门决算编制范围的只有道县劳动保障监察大队本级。</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（二）部门整体支出规模、使用方向和主要内容</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2023年部门整体共支出91.3753万元。其中，基础支出91.3753万元。</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二、部门整体支出管理及使用情况</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2023年部门整体收入91.3753万元。其中一般公共预算拨款收入91.3753万元。具体安排情况如下：</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 基本支出情况：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2023年部门整体共支出91.3753万元。其中，基础支出91.3753万元。人员经费43.3670万元，占基本支出的47.46%,主要包括基本工资、津贴补贴、奖金。</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公用经费48.0083万元，占基本支出的52.54%，主要包括办公费、印刷费、咨询费、手续费。</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 项目支出情况：</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sz w:val="32"/>
          <w:szCs w:val="32"/>
          <w:lang w:eastAsia="zh-CN"/>
        </w:rPr>
        <w:t>本单位</w:t>
      </w:r>
      <w:r>
        <w:rPr>
          <w:rFonts w:hint="eastAsia" w:ascii="仿宋_GB2312" w:hAnsi="仿宋_GB2312" w:eastAsia="仿宋_GB2312" w:cs="仿宋_GB2312"/>
          <w:color w:val="000000"/>
          <w:sz w:val="32"/>
          <w:szCs w:val="32"/>
          <w:shd w:val="clear" w:color="auto" w:fill="FFFFFF"/>
          <w:lang w:val="en-US" w:eastAsia="zh-CN"/>
        </w:rPr>
        <w:t>项目支出0万元。</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（3）三公经费使用情况：</w:t>
      </w:r>
      <w:bookmarkStart w:id="5" w:name="_GoBack"/>
      <w:bookmarkEnd w:id="5"/>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sz w:val="32"/>
          <w:szCs w:val="32"/>
          <w:lang w:eastAsia="zh-CN"/>
        </w:rPr>
        <w:t>本单位</w:t>
      </w:r>
      <w:r>
        <w:rPr>
          <w:rFonts w:hint="eastAsia" w:ascii="仿宋_GB2312" w:hAnsi="仿宋_GB2312" w:eastAsia="仿宋_GB2312" w:cs="仿宋_GB2312"/>
          <w:color w:val="000000"/>
          <w:sz w:val="32"/>
          <w:szCs w:val="32"/>
          <w:shd w:val="clear" w:color="auto" w:fill="FFFFFF"/>
          <w:lang w:val="en-US" w:eastAsia="zh-CN"/>
        </w:rPr>
        <w:t>三公经费支出0万元。</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三、政府性基金预算支出情况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本单位无政府性基金收支。</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四、国有资本经营预算支出情况</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sz w:val="32"/>
          <w:szCs w:val="32"/>
          <w:lang w:eastAsia="zh-CN"/>
        </w:rPr>
        <w:t>本单位</w:t>
      </w:r>
      <w:r>
        <w:rPr>
          <w:rFonts w:hint="eastAsia" w:ascii="仿宋_GB2312" w:hAnsi="仿宋_GB2312" w:eastAsia="仿宋_GB2312" w:cs="仿宋_GB2312"/>
          <w:color w:val="000000"/>
          <w:sz w:val="32"/>
          <w:szCs w:val="32"/>
          <w:shd w:val="clear" w:color="auto" w:fill="FFFFFF"/>
          <w:lang w:val="en-US" w:eastAsia="zh-CN"/>
        </w:rPr>
        <w:t>无国有资本经营</w:t>
      </w:r>
      <w:r>
        <w:rPr>
          <w:rFonts w:hint="eastAsia" w:ascii="Times New Roman" w:hAnsi="Times New Roman" w:eastAsia="仿宋_GB2312"/>
          <w:sz w:val="32"/>
          <w:szCs w:val="32"/>
          <w:lang w:eastAsia="zh-CN"/>
        </w:rPr>
        <w:t>收支。</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五、社会保险基金预算支出情况</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sz w:val="32"/>
          <w:szCs w:val="32"/>
          <w:lang w:eastAsia="zh-CN"/>
        </w:rPr>
        <w:t>本单位</w:t>
      </w:r>
      <w:r>
        <w:rPr>
          <w:rFonts w:hint="eastAsia" w:ascii="仿宋_GB2312" w:hAnsi="仿宋_GB2312" w:eastAsia="仿宋_GB2312" w:cs="仿宋_GB2312"/>
          <w:color w:val="000000"/>
          <w:sz w:val="32"/>
          <w:szCs w:val="32"/>
          <w:shd w:val="clear" w:color="auto" w:fill="FFFFFF"/>
          <w:lang w:val="en-US" w:eastAsia="zh-CN"/>
        </w:rPr>
        <w:t>无社会保险基金</w:t>
      </w:r>
      <w:r>
        <w:rPr>
          <w:rFonts w:hint="eastAsia" w:ascii="Times New Roman" w:hAnsi="Times New Roman" w:eastAsia="仿宋_GB2312"/>
          <w:sz w:val="32"/>
          <w:szCs w:val="32"/>
          <w:lang w:eastAsia="zh-CN"/>
        </w:rPr>
        <w:t>收支。</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道县劳动保障监察大队的主要工作和特色可以总结如下：</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 欠薪案件处理：</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快速响应并处理涉及欠薪的案件，确保劳动者能够及时获得应得的报酬。</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2.执法检查：</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对企业进行定期或不定期的执法检查，确保用人单位遵守劳动法律法规。</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处理各类违反劳动保障法律、法规或规章的行为。</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3.接受投诉与举报：</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认真接待群众的来信来访，并及时受理对违法行为的举报和投诉。</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 普法教育：</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开展劳动保障法律、法规和政策的宣传教育活动，提高用人单位和社会公众的法律意识。</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 调解纠纷：</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协助解决劳动者与用人单位之间的劳动争议，促进双方达成和解。</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特色：</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 以人民为中心的服务理念：</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遵循“以人民为中心，为群众办实事”的原则，致力于解决群众的实际困难。</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2.高效处理机制：</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在处理欠薪案件等方面表现出了较高的效率，如在节假日前快速解决欠薪问题，让劳动者安心过节。</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 积极的社会反馈：</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劳动者通过送锦旗等方式表达了对监察大队工作的认可和感激之情。</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 持续监督与改进：</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即使存在个别案例中的不足（如对于某些投诉未能给予及时回应），也会继续优化服务流程和服务质量。</w:t>
      </w:r>
    </w:p>
    <w:p>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iMGRkNTYyNjBhN2M5ZjQ1NTYzYjgyNDFiOTYifQ=="/>
    <w:docVar w:name="KSO_WPS_MARK_KEY" w:val="ef8cdf92-073e-42ec-b770-9e8ee9f9ce63"/>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221478"/>
    <w:rsid w:val="1D97DEFF"/>
    <w:rsid w:val="1DFF72E5"/>
    <w:rsid w:val="1E1A0873"/>
    <w:rsid w:val="1EFC6F07"/>
    <w:rsid w:val="267E6FD6"/>
    <w:rsid w:val="27912C60"/>
    <w:rsid w:val="2FDF85B8"/>
    <w:rsid w:val="2FFFEE04"/>
    <w:rsid w:val="303C11DC"/>
    <w:rsid w:val="33C21C58"/>
    <w:rsid w:val="34DF85B0"/>
    <w:rsid w:val="375D30A2"/>
    <w:rsid w:val="3B8F36BC"/>
    <w:rsid w:val="491FF225"/>
    <w:rsid w:val="4FFD214C"/>
    <w:rsid w:val="54144B5D"/>
    <w:rsid w:val="5777D4F5"/>
    <w:rsid w:val="59DD8326"/>
    <w:rsid w:val="5DEF592A"/>
    <w:rsid w:val="5F58537A"/>
    <w:rsid w:val="5FC6BB1E"/>
    <w:rsid w:val="5FF720F1"/>
    <w:rsid w:val="67FF5C0B"/>
    <w:rsid w:val="6D1E5121"/>
    <w:rsid w:val="6E572BB4"/>
    <w:rsid w:val="6EFC0924"/>
    <w:rsid w:val="6FB74722"/>
    <w:rsid w:val="6FEF8B7E"/>
    <w:rsid w:val="71A6591B"/>
    <w:rsid w:val="737D59BA"/>
    <w:rsid w:val="77C37683"/>
    <w:rsid w:val="79FF515B"/>
    <w:rsid w:val="7BE46FA3"/>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5727</Words>
  <Characters>6662</Characters>
  <Lines>63</Lines>
  <Paragraphs>18</Paragraphs>
  <TotalTime>0</TotalTime>
  <ScaleCrop>false</ScaleCrop>
  <LinksUpToDate>false</LinksUpToDate>
  <CharactersWithSpaces>7775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素念。</cp:lastModifiedBy>
  <cp:lastPrinted>2024-08-08T10:20:00Z</cp:lastPrinted>
  <dcterms:modified xsi:type="dcterms:W3CDTF">2024-08-30T00:36:00Z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E2D8F8579B3B43BA97C38ED52470A753_13</vt:lpwstr>
  </property>
</Properties>
</file>