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道县科学技术协会</w:t>
      </w:r>
      <w:r>
        <w:rPr>
          <w:rFonts w:hint="eastAsia" w:ascii="方正小标宋_GBK" w:hAnsi="方正小标宋_GBK" w:eastAsia="方正小标宋_GBK" w:cs="方正小标宋_GBK"/>
          <w:sz w:val="84"/>
          <w:szCs w:val="84"/>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道县科学技术协会</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道县科学技术协会</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 xml:space="preserve">、开展学术交流，活跃学术思想，促进学科发展，推动自主创新。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2、依照《中华人民共和国科学技术普及法》，弘扬科学精神，普及科学知识，传播科学思想和科学方法。捍卫科学尊严，推广先进技术，开展青少年科学技术教育活动，提高全民科学素质。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3、反映科学技术工作者的建议、意见和诉求，维护科学技术工作者的合法权益。促进学术道德建设和学风建设。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4、组织科学技术工作者参与国家科学技术政策、法规制定和国家事务的政治协商、科学决策、民主监督工作。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5、表彰奖励优秀科学技术工作者，举荐人才。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6、开展科学论证、咨询服务，提出政策建议，促进科学技术成果的转化；接受委托承担项目评估、成果鉴定，参与技术标准制定等。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7、开展民间国际科学技术交流活动，促进国际科学技术合作，发展同国内外的科学技术团体和科学技术工作者的友好交往。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8、开展继续教育和培训工作。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9、兴办符合中国科学技术协会宗旨的社会公益性事业。</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道县科学技术协会</w:t>
      </w:r>
      <w:r>
        <w:rPr>
          <w:rFonts w:hint="eastAsia" w:ascii="Times New Roman" w:hAnsi="Times New Roman" w:eastAsia="仿宋_GB2312" w:cs="仿宋_GB2312"/>
          <w:bCs/>
          <w:kern w:val="0"/>
          <w:sz w:val="32"/>
          <w:szCs w:val="32"/>
        </w:rPr>
        <w:t>内设机构包括：我单位为正科级</w:t>
      </w:r>
      <w:r>
        <w:rPr>
          <w:rFonts w:hint="eastAsia" w:ascii="Times New Roman" w:hAnsi="Times New Roman" w:eastAsia="仿宋_GB2312" w:cs="仿宋_GB2312"/>
          <w:bCs/>
          <w:kern w:val="0"/>
          <w:sz w:val="32"/>
          <w:szCs w:val="32"/>
          <w:lang w:val="en-US" w:eastAsia="zh-CN"/>
        </w:rPr>
        <w:t>参照公务员管理</w:t>
      </w:r>
      <w:r>
        <w:rPr>
          <w:rFonts w:hint="eastAsia" w:ascii="Times New Roman" w:hAnsi="Times New Roman" w:eastAsia="仿宋_GB2312" w:cs="仿宋_GB2312"/>
          <w:bCs/>
          <w:kern w:val="0"/>
          <w:sz w:val="32"/>
          <w:szCs w:val="32"/>
        </w:rPr>
        <w:t>全额拨款</w:t>
      </w:r>
      <w:r>
        <w:rPr>
          <w:rFonts w:hint="eastAsia" w:ascii="Times New Roman" w:hAnsi="Times New Roman" w:eastAsia="仿宋_GB2312" w:cs="仿宋_GB2312"/>
          <w:bCs/>
          <w:kern w:val="0"/>
          <w:sz w:val="32"/>
          <w:szCs w:val="32"/>
          <w:lang w:val="en-US" w:eastAsia="zh-CN"/>
        </w:rPr>
        <w:t>事业</w:t>
      </w:r>
      <w:r>
        <w:rPr>
          <w:rFonts w:hint="eastAsia" w:ascii="Times New Roman" w:hAnsi="Times New Roman" w:eastAsia="仿宋_GB2312" w:cs="仿宋_GB2312"/>
          <w:bCs/>
          <w:kern w:val="0"/>
          <w:sz w:val="32"/>
          <w:szCs w:val="32"/>
        </w:rPr>
        <w:t>单位，内设办公室</w:t>
      </w:r>
      <w:r>
        <w:rPr>
          <w:rFonts w:hint="eastAsia" w:ascii="Times New Roman" w:hAnsi="Times New Roman" w:eastAsia="仿宋_GB2312" w:cs="仿宋_GB2312"/>
          <w:bCs/>
          <w:kern w:val="0"/>
          <w:sz w:val="32"/>
          <w:szCs w:val="32"/>
          <w:lang w:val="en-US" w:eastAsia="zh-CN"/>
        </w:rPr>
        <w:t>一个机构。</w:t>
      </w:r>
    </w:p>
    <w:p>
      <w:pPr>
        <w:widowControl/>
        <w:spacing w:line="600" w:lineRule="exact"/>
        <w:ind w:firstLine="640" w:firstLineChars="200"/>
        <w:rPr>
          <w:rFonts w:ascii="黑体" w:hAnsi="黑体" w:eastAsia="黑体"/>
          <w:sz w:val="28"/>
          <w:szCs w:val="28"/>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道县科学技术协会</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年部门决算汇总公开单位构成包括：道县科学技术协会本级。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49"/>
        <w:gridCol w:w="1120"/>
        <w:gridCol w:w="1925"/>
        <w:gridCol w:w="2090"/>
        <w:gridCol w:w="2218"/>
        <w:gridCol w:w="2019"/>
        <w:gridCol w:w="1718"/>
        <w:gridCol w:w="1365"/>
        <w:gridCol w:w="1050"/>
        <w:gridCol w:w="1874"/>
      </w:tblGrid>
      <w:tr>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49"/>
              <w:gridCol w:w="585"/>
              <w:gridCol w:w="1345"/>
              <w:gridCol w:w="4813"/>
              <w:gridCol w:w="1471"/>
              <w:gridCol w:w="429"/>
              <w:gridCol w:w="430"/>
              <w:gridCol w:w="2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0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7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9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2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2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76"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1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7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w:t>
                  </w:r>
                  <w:bookmarkStart w:id="0" w:name="OLE_LINK1"/>
                  <w:r>
                    <w:rPr>
                      <w:rFonts w:hint="eastAsia" w:ascii="宋体" w:hAnsi="宋体" w:eastAsia="宋体" w:cs="宋体"/>
                      <w:i w:val="0"/>
                      <w:color w:val="000000"/>
                      <w:kern w:val="0"/>
                      <w:sz w:val="20"/>
                      <w:szCs w:val="20"/>
                      <w:u w:val="none"/>
                      <w:lang w:val="en-US" w:eastAsia="zh-CN" w:bidi="ar"/>
                    </w:rPr>
                    <w:t>道县科学技术协会</w:t>
                  </w:r>
                  <w:bookmarkEnd w:id="0"/>
                </w:p>
              </w:tc>
              <w:tc>
                <w:tcPr>
                  <w:tcW w:w="59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2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2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76"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1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608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4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628" w:hRule="atLeast"/>
              </w:trPr>
              <w:tc>
                <w:tcPr>
                  <w:tcW w:w="41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41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4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93.72</w:t>
                  </w:r>
                </w:p>
              </w:tc>
              <w:tc>
                <w:tcPr>
                  <w:tcW w:w="4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41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4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41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1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1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1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1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九、卫生健康支出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93.72</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93.72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4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628" w:hRule="atLeast"/>
              </w:trPr>
              <w:tc>
                <w:tcPr>
                  <w:tcW w:w="4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41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93.72</w:t>
                  </w:r>
                </w:p>
              </w:tc>
              <w:tc>
                <w:tcPr>
                  <w:tcW w:w="4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93.72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1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1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94" w:hRule="atLeast"/>
        </w:trPr>
        <w:tc>
          <w:tcPr>
            <w:tcW w:w="3094"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道县科学技术协会</w:t>
            </w:r>
            <w:r>
              <w:rPr>
                <w:rFonts w:hint="eastAsia"/>
              </w:rPr>
              <w:t>　</w:t>
            </w:r>
          </w:p>
        </w:tc>
        <w:tc>
          <w:tcPr>
            <w:tcW w:w="20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1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9"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1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0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20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22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20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3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0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8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rPr>
          <w:trHeight w:val="450" w:hRule="atLeast"/>
        </w:trPr>
        <w:tc>
          <w:tcPr>
            <w:tcW w:w="116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2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20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1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1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rPr>
          <w:trHeight w:val="450" w:hRule="atLeast"/>
        </w:trPr>
        <w:tc>
          <w:tcPr>
            <w:tcW w:w="309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20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22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20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0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87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09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20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93.72　</w:t>
            </w:r>
          </w:p>
        </w:tc>
        <w:tc>
          <w:tcPr>
            <w:tcW w:w="2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93.72　</w:t>
            </w:r>
          </w:p>
        </w:tc>
        <w:tc>
          <w:tcPr>
            <w:tcW w:w="20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2050299</w:t>
            </w:r>
          </w:p>
        </w:tc>
        <w:tc>
          <w:tcPr>
            <w:tcW w:w="19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其他普通教育支出</w:t>
            </w:r>
          </w:p>
        </w:tc>
        <w:tc>
          <w:tcPr>
            <w:tcW w:w="20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19.96</w:t>
            </w:r>
          </w:p>
        </w:tc>
        <w:tc>
          <w:tcPr>
            <w:tcW w:w="2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19.96</w:t>
            </w:r>
          </w:p>
        </w:tc>
        <w:tc>
          <w:tcPr>
            <w:tcW w:w="20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2059999</w:t>
            </w:r>
          </w:p>
        </w:tc>
        <w:tc>
          <w:tcPr>
            <w:tcW w:w="19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其他教育支出</w:t>
            </w:r>
          </w:p>
        </w:tc>
        <w:tc>
          <w:tcPr>
            <w:tcW w:w="20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5.20</w:t>
            </w:r>
          </w:p>
        </w:tc>
        <w:tc>
          <w:tcPr>
            <w:tcW w:w="2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5.20</w:t>
            </w:r>
          </w:p>
        </w:tc>
        <w:tc>
          <w:tcPr>
            <w:tcW w:w="20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2060101</w:t>
            </w:r>
          </w:p>
        </w:tc>
        <w:tc>
          <w:tcPr>
            <w:tcW w:w="19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0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8.64</w:t>
            </w:r>
          </w:p>
        </w:tc>
        <w:tc>
          <w:tcPr>
            <w:tcW w:w="2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8.64</w:t>
            </w:r>
          </w:p>
        </w:tc>
        <w:tc>
          <w:tcPr>
            <w:tcW w:w="20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2060702</w:t>
            </w:r>
          </w:p>
        </w:tc>
        <w:tc>
          <w:tcPr>
            <w:tcW w:w="19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科普活动</w:t>
            </w:r>
          </w:p>
        </w:tc>
        <w:tc>
          <w:tcPr>
            <w:tcW w:w="20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26.63</w:t>
            </w:r>
          </w:p>
        </w:tc>
        <w:tc>
          <w:tcPr>
            <w:tcW w:w="2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26.63</w:t>
            </w:r>
          </w:p>
        </w:tc>
        <w:tc>
          <w:tcPr>
            <w:tcW w:w="20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2060703</w:t>
            </w:r>
          </w:p>
        </w:tc>
        <w:tc>
          <w:tcPr>
            <w:tcW w:w="19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青少年科技活动</w:t>
            </w:r>
          </w:p>
        </w:tc>
        <w:tc>
          <w:tcPr>
            <w:tcW w:w="20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2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20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2060799</w:t>
            </w:r>
          </w:p>
        </w:tc>
        <w:tc>
          <w:tcPr>
            <w:tcW w:w="19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其他科学技术普及支出</w:t>
            </w:r>
          </w:p>
        </w:tc>
        <w:tc>
          <w:tcPr>
            <w:tcW w:w="20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17.92</w:t>
            </w:r>
          </w:p>
        </w:tc>
        <w:tc>
          <w:tcPr>
            <w:tcW w:w="2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17.92</w:t>
            </w:r>
          </w:p>
        </w:tc>
        <w:tc>
          <w:tcPr>
            <w:tcW w:w="20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0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2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20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1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死亡抚恤</w:t>
            </w:r>
          </w:p>
        </w:tc>
        <w:tc>
          <w:tcPr>
            <w:tcW w:w="20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1.66</w:t>
            </w:r>
          </w:p>
        </w:tc>
        <w:tc>
          <w:tcPr>
            <w:tcW w:w="2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1.66</w:t>
            </w:r>
          </w:p>
        </w:tc>
        <w:tc>
          <w:tcPr>
            <w:tcW w:w="20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1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19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事业单位医疗</w:t>
            </w:r>
          </w:p>
        </w:tc>
        <w:tc>
          <w:tcPr>
            <w:tcW w:w="20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0.21</w:t>
            </w:r>
          </w:p>
        </w:tc>
        <w:tc>
          <w:tcPr>
            <w:tcW w:w="22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0.21</w:t>
            </w:r>
          </w:p>
        </w:tc>
        <w:tc>
          <w:tcPr>
            <w:tcW w:w="20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pPr>
        <w:pStyle w:val="2"/>
      </w:pPr>
    </w:p>
    <w:tbl>
      <w:tblPr>
        <w:tblStyle w:val="9"/>
        <w:tblW w:w="15640" w:type="dxa"/>
        <w:tblInd w:w="93" w:type="dxa"/>
        <w:tblLayout w:type="fixed"/>
        <w:tblCellMar>
          <w:top w:w="0" w:type="dxa"/>
          <w:left w:w="108" w:type="dxa"/>
          <w:bottom w:w="0" w:type="dxa"/>
          <w:right w:w="108" w:type="dxa"/>
        </w:tblCellMar>
      </w:tblPr>
      <w:tblGrid>
        <w:gridCol w:w="1236"/>
        <w:gridCol w:w="240"/>
        <w:gridCol w:w="2119"/>
        <w:gridCol w:w="89"/>
        <w:gridCol w:w="347"/>
        <w:gridCol w:w="901"/>
        <w:gridCol w:w="177"/>
        <w:gridCol w:w="496"/>
        <w:gridCol w:w="1318"/>
        <w:gridCol w:w="1597"/>
        <w:gridCol w:w="394"/>
        <w:gridCol w:w="238"/>
        <w:gridCol w:w="435"/>
        <w:gridCol w:w="1318"/>
        <w:gridCol w:w="255"/>
        <w:gridCol w:w="1394"/>
        <w:gridCol w:w="342"/>
        <w:gridCol w:w="1052"/>
        <w:gridCol w:w="1573"/>
        <w:gridCol w:w="119"/>
      </w:tblGrid>
      <w:tr>
        <w:tblPrEx>
          <w:tblCellMar>
            <w:top w:w="0" w:type="dxa"/>
            <w:left w:w="108" w:type="dxa"/>
            <w:bottom w:w="0" w:type="dxa"/>
            <w:right w:w="108" w:type="dxa"/>
          </w:tblCellMar>
        </w:tblPrEx>
        <w:trPr>
          <w:trHeight w:val="807" w:hRule="atLeast"/>
        </w:trPr>
        <w:tc>
          <w:tcPr>
            <w:tcW w:w="15640" w:type="dxa"/>
            <w:gridSpan w:val="2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67"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3684"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道县科学技术协会</w:t>
            </w:r>
            <w:r>
              <w:rPr>
                <w:rFonts w:hint="eastAsia" w:ascii="宋体" w:hAnsi="宋体" w:eastAsia="宋体" w:cs="宋体"/>
                <w:kern w:val="0"/>
                <w:sz w:val="24"/>
                <w:szCs w:val="24"/>
              </w:rPr>
              <w:t>　</w:t>
            </w:r>
          </w:p>
        </w:tc>
        <w:tc>
          <w:tcPr>
            <w:tcW w:w="124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68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4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08"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368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4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68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93.72</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36.16</w:t>
            </w:r>
          </w:p>
        </w:tc>
        <w:tc>
          <w:tcPr>
            <w:tcW w:w="199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57.56</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2050299</w:t>
            </w:r>
          </w:p>
        </w:tc>
        <w:tc>
          <w:tcPr>
            <w:tcW w:w="22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其他普通教育支出</w:t>
            </w:r>
          </w:p>
        </w:tc>
        <w:tc>
          <w:tcPr>
            <w:tcW w:w="12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19.96</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19.96 </w:t>
            </w:r>
          </w:p>
        </w:tc>
        <w:tc>
          <w:tcPr>
            <w:tcW w:w="199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2059999</w:t>
            </w:r>
          </w:p>
        </w:tc>
        <w:tc>
          <w:tcPr>
            <w:tcW w:w="22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其他教育支出</w:t>
            </w:r>
          </w:p>
        </w:tc>
        <w:tc>
          <w:tcPr>
            <w:tcW w:w="12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5.20 </w:t>
            </w:r>
          </w:p>
        </w:tc>
        <w:tc>
          <w:tcPr>
            <w:tcW w:w="199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2060101</w:t>
            </w:r>
          </w:p>
        </w:tc>
        <w:tc>
          <w:tcPr>
            <w:tcW w:w="22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2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8.64</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8.64 </w:t>
            </w:r>
          </w:p>
        </w:tc>
        <w:tc>
          <w:tcPr>
            <w:tcW w:w="199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2060702</w:t>
            </w:r>
          </w:p>
        </w:tc>
        <w:tc>
          <w:tcPr>
            <w:tcW w:w="22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科普活动</w:t>
            </w:r>
          </w:p>
        </w:tc>
        <w:tc>
          <w:tcPr>
            <w:tcW w:w="12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26.63</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26.63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2060703</w:t>
            </w:r>
          </w:p>
        </w:tc>
        <w:tc>
          <w:tcPr>
            <w:tcW w:w="22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青少年科技活动</w:t>
            </w:r>
          </w:p>
        </w:tc>
        <w:tc>
          <w:tcPr>
            <w:tcW w:w="12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13.00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2060799</w:t>
            </w:r>
          </w:p>
        </w:tc>
        <w:tc>
          <w:tcPr>
            <w:tcW w:w="22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其他科学技术普及支出</w:t>
            </w:r>
          </w:p>
        </w:tc>
        <w:tc>
          <w:tcPr>
            <w:tcW w:w="12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17.92</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17.92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2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99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2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2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1.66</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1.66</w:t>
            </w:r>
          </w:p>
        </w:tc>
        <w:tc>
          <w:tcPr>
            <w:tcW w:w="199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2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2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0.21</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0.21</w:t>
            </w:r>
          </w:p>
        </w:tc>
        <w:tc>
          <w:tcPr>
            <w:tcW w:w="199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2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1"/>
          <w:wAfter w:w="119" w:type="dxa"/>
          <w:trHeight w:val="285" w:hRule="atLeast"/>
        </w:trPr>
        <w:tc>
          <w:tcPr>
            <w:tcW w:w="3595" w:type="dxa"/>
            <w:gridSpan w:val="3"/>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1" w:name="RANGE!A1:I22"/>
            <w:bookmarkEnd w:id="1"/>
            <w:bookmarkStart w:id="2" w:name="RANGE!A1:F16"/>
          </w:p>
        </w:tc>
        <w:tc>
          <w:tcPr>
            <w:tcW w:w="436"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19" w:type="dxa"/>
          <w:trHeight w:val="360" w:hRule="atLeast"/>
        </w:trPr>
        <w:tc>
          <w:tcPr>
            <w:tcW w:w="15521"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gridAfter w:val="1"/>
          <w:wAfter w:w="119" w:type="dxa"/>
          <w:trHeight w:val="199" w:hRule="atLeast"/>
        </w:trPr>
        <w:tc>
          <w:tcPr>
            <w:tcW w:w="359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gridAfter w:val="1"/>
          <w:wAfter w:w="119" w:type="dxa"/>
          <w:trHeight w:val="300" w:hRule="atLeast"/>
        </w:trPr>
        <w:tc>
          <w:tcPr>
            <w:tcW w:w="3595"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道县科学技术协会</w:t>
            </w:r>
          </w:p>
        </w:tc>
        <w:tc>
          <w:tcPr>
            <w:tcW w:w="4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19" w:type="dxa"/>
          <w:trHeight w:val="402" w:hRule="atLeast"/>
        </w:trPr>
        <w:tc>
          <w:tcPr>
            <w:tcW w:w="510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gridAfter w:val="1"/>
          <w:wAfter w:w="119" w:type="dxa"/>
          <w:trHeight w:val="630"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93.72</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25.16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25.16</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66.20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66.20</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93.72</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2.16</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szCs w:val="22"/>
                <w:lang w:val="en-US" w:eastAsia="zh-CN" w:bidi="ar-SA"/>
              </w:rPr>
            </w:pPr>
            <w:r>
              <w:rPr>
                <w:rFonts w:hint="eastAsia" w:ascii="宋体" w:hAnsi="宋体" w:eastAsia="宋体" w:cs="宋体"/>
                <w:b/>
                <w:bCs/>
                <w:kern w:val="0"/>
                <w:sz w:val="22"/>
              </w:rPr>
              <w:t>本年支出合计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93.72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93.72</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93.72</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93.72</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93.72</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gridAfter w:val="1"/>
          <w:wAfter w:w="119" w:type="dxa"/>
          <w:trHeight w:val="585" w:hRule="atLeast"/>
        </w:trPr>
        <w:tc>
          <w:tcPr>
            <w:tcW w:w="15521"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2"/>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道县科学技术协会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776"/>
        <w:gridCol w:w="2751"/>
        <w:gridCol w:w="3492"/>
        <w:gridCol w:w="3000"/>
      </w:tblGrid>
      <w:tr>
        <w:tblPrEx>
          <w:tblCellMar>
            <w:top w:w="0" w:type="dxa"/>
            <w:left w:w="108" w:type="dxa"/>
            <w:bottom w:w="0" w:type="dxa"/>
            <w:right w:w="108" w:type="dxa"/>
          </w:tblCellMar>
        </w:tblPrEx>
        <w:trPr>
          <w:trHeight w:val="405" w:hRule="atLeast"/>
          <w:jc w:val="center"/>
        </w:trPr>
        <w:tc>
          <w:tcPr>
            <w:tcW w:w="497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4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7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7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5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77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5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97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97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93.72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36.16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57.56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2050299</w:t>
            </w:r>
          </w:p>
        </w:tc>
        <w:tc>
          <w:tcPr>
            <w:tcW w:w="37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其他普通教育支出</w:t>
            </w:r>
          </w:p>
        </w:tc>
        <w:tc>
          <w:tcPr>
            <w:tcW w:w="2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19.96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19.96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2059999</w:t>
            </w:r>
          </w:p>
        </w:tc>
        <w:tc>
          <w:tcPr>
            <w:tcW w:w="37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其他教育支出</w:t>
            </w:r>
          </w:p>
        </w:tc>
        <w:tc>
          <w:tcPr>
            <w:tcW w:w="2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2060101</w:t>
            </w:r>
          </w:p>
        </w:tc>
        <w:tc>
          <w:tcPr>
            <w:tcW w:w="37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2060702</w:t>
            </w:r>
          </w:p>
        </w:tc>
        <w:tc>
          <w:tcPr>
            <w:tcW w:w="37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科普活动</w:t>
            </w:r>
          </w:p>
        </w:tc>
        <w:tc>
          <w:tcPr>
            <w:tcW w:w="2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26.63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26.63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2060703</w:t>
            </w:r>
          </w:p>
        </w:tc>
        <w:tc>
          <w:tcPr>
            <w:tcW w:w="37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青少年科技活动</w:t>
            </w:r>
          </w:p>
        </w:tc>
        <w:tc>
          <w:tcPr>
            <w:tcW w:w="2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2060799</w:t>
            </w:r>
          </w:p>
        </w:tc>
        <w:tc>
          <w:tcPr>
            <w:tcW w:w="377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其他科学技术普及支出</w:t>
            </w:r>
          </w:p>
        </w:tc>
        <w:tc>
          <w:tcPr>
            <w:tcW w:w="275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17.92</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17.92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77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75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77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275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377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275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891"/>
        <w:gridCol w:w="105"/>
        <w:gridCol w:w="240"/>
        <w:gridCol w:w="1392"/>
        <w:gridCol w:w="1717"/>
        <w:gridCol w:w="397"/>
        <w:gridCol w:w="682"/>
        <w:gridCol w:w="921"/>
        <w:gridCol w:w="601"/>
        <w:gridCol w:w="1699"/>
        <w:gridCol w:w="404"/>
        <w:gridCol w:w="532"/>
        <w:gridCol w:w="1037"/>
        <w:gridCol w:w="536"/>
        <w:gridCol w:w="2103"/>
        <w:gridCol w:w="1216"/>
        <w:gridCol w:w="888"/>
        <w:gridCol w:w="253"/>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3" w:name="RANGE!A1:I34"/>
            <w:r>
              <w:rPr>
                <w:rFonts w:hint="eastAsia" w:ascii="华文中宋" w:hAnsi="华文中宋" w:eastAsia="华文中宋" w:cs="宋体"/>
                <w:color w:val="000000"/>
                <w:kern w:val="0"/>
                <w:szCs w:val="32"/>
              </w:rPr>
              <w:t>一般公共预算财政拨款基本支出决算明细表</w:t>
            </w:r>
            <w:bookmarkEnd w:id="3"/>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道县科学技术协会</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5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13.08</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2.16</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4.14</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1.16</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5.82</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2.82</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1.24</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1.66</w:t>
            </w: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2.24</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5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0"/>
              </w:rPr>
            </w:pPr>
          </w:p>
        </w:tc>
        <w:tc>
          <w:tcPr>
            <w:tcW w:w="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0.84</w:t>
            </w:r>
          </w:p>
        </w:tc>
        <w:tc>
          <w:tcPr>
            <w:tcW w:w="10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34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79"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25.86</w:t>
            </w:r>
          </w:p>
        </w:tc>
        <w:tc>
          <w:tcPr>
            <w:tcW w:w="9049"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8.64</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690" w:hRule="atLeast"/>
        </w:trPr>
        <w:tc>
          <w:tcPr>
            <w:tcW w:w="15361"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345" w:hRule="atLeast"/>
        </w:trPr>
        <w:tc>
          <w:tcPr>
            <w:tcW w:w="99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0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3"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4"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690" w:hRule="atLeast"/>
        </w:trPr>
        <w:tc>
          <w:tcPr>
            <w:tcW w:w="4742"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部门：道县科学技术协会</w:t>
            </w:r>
          </w:p>
        </w:tc>
        <w:tc>
          <w:tcPr>
            <w:tcW w:w="220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3"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4"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459" w:hRule="atLeast"/>
        </w:trPr>
        <w:tc>
          <w:tcPr>
            <w:tcW w:w="2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609" w:hRule="atLeast"/>
        </w:trPr>
        <w:tc>
          <w:tcPr>
            <w:tcW w:w="12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409" w:hRule="atLeast"/>
        </w:trPr>
        <w:tc>
          <w:tcPr>
            <w:tcW w:w="12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2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2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725" w:hRule="atLeast"/>
        </w:trPr>
        <w:tc>
          <w:tcPr>
            <w:tcW w:w="15361"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部门：道县科学技术协会</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部门：道县科学技术协会</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93.72</w:t>
      </w:r>
      <w:r>
        <w:rPr>
          <w:rFonts w:hint="eastAsia" w:ascii="Times New Roman" w:hAnsi="Times New Roman" w:eastAsia="仿宋_GB2312"/>
          <w:sz w:val="32"/>
          <w:szCs w:val="32"/>
        </w:rPr>
        <w:t>万元。与上年相比，</w:t>
      </w:r>
      <w:bookmarkStart w:id="4" w:name="OLE_LINK2"/>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0.27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相关费用减少。</w:t>
      </w:r>
    </w:p>
    <w:bookmarkEnd w:id="4"/>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93.72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93.72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93.72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36.16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38.58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57.56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61.42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93.72</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0.27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相关费用减少。</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93.72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0.27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相关费用减少。</w:t>
      </w:r>
    </w:p>
    <w:p>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93.72</w:t>
      </w:r>
      <w:r>
        <w:rPr>
          <w:rFonts w:hint="eastAsia" w:ascii="Times New Roman" w:hAnsi="Times New Roman" w:eastAsia="仿宋_GB2312"/>
          <w:sz w:val="32"/>
          <w:szCs w:val="32"/>
        </w:rPr>
        <w:t>万元，主要用于以下方面：</w:t>
      </w:r>
      <w:bookmarkStart w:id="5" w:name="OLE_LINK3"/>
      <w:r>
        <w:rPr>
          <w:rFonts w:hint="eastAsia" w:ascii="Times New Roman" w:hAnsi="Times New Roman" w:eastAsia="仿宋_GB2312"/>
          <w:sz w:val="32"/>
          <w:szCs w:val="32"/>
          <w:lang w:val="en-US" w:eastAsia="zh-CN"/>
        </w:rPr>
        <w:t>科学技术</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66.2</w:t>
      </w:r>
      <w:r>
        <w:rPr>
          <w:rFonts w:hint="eastAsia" w:ascii="Times New Roman" w:hAnsi="Times New Roman" w:eastAsia="仿宋_GB2312"/>
          <w:sz w:val="32"/>
          <w:szCs w:val="32"/>
        </w:rPr>
        <w:t>万元</w:t>
      </w:r>
      <w:bookmarkEnd w:id="5"/>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70.64</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25.16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26.85</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2.16万元，占2.3%；卫生健康支出0.21万元，占0.21%。</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93.72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93.72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bookmarkStart w:id="6" w:name="OLE_LINK6"/>
      <w:r>
        <w:rPr>
          <w:rFonts w:hint="eastAsia" w:ascii="Times New Roman" w:hAnsi="Times New Roman" w:eastAsia="仿宋_GB2312"/>
          <w:sz w:val="32"/>
          <w:szCs w:val="32"/>
          <w:lang w:val="en-US" w:eastAsia="zh-CN"/>
        </w:rPr>
        <w:t>教育支出</w:t>
      </w:r>
      <w:bookmarkStart w:id="7" w:name="OLE_LINK8"/>
      <w:r>
        <w:rPr>
          <w:rFonts w:hint="eastAsia" w:ascii="Times New Roman" w:hAnsi="Times New Roman" w:eastAsia="仿宋_GB2312"/>
          <w:sz w:val="32"/>
          <w:szCs w:val="32"/>
          <w:lang w:val="en-US" w:eastAsia="zh-CN"/>
        </w:rPr>
        <w:t>（类）</w:t>
      </w:r>
      <w:bookmarkEnd w:id="7"/>
      <w:r>
        <w:rPr>
          <w:rFonts w:hint="eastAsia" w:ascii="Times New Roman" w:hAnsi="Times New Roman" w:eastAsia="仿宋_GB2312"/>
          <w:sz w:val="32"/>
          <w:szCs w:val="32"/>
          <w:lang w:val="en-US" w:eastAsia="zh-CN"/>
        </w:rPr>
        <w:t>普通教育</w:t>
      </w:r>
      <w:bookmarkStart w:id="8" w:name="OLE_LINK9"/>
      <w:r>
        <w:rPr>
          <w:rFonts w:hint="eastAsia" w:ascii="Times New Roman" w:hAnsi="Times New Roman" w:eastAsia="仿宋_GB2312"/>
          <w:sz w:val="32"/>
          <w:szCs w:val="32"/>
          <w:lang w:val="en-US" w:eastAsia="zh-CN"/>
        </w:rPr>
        <w:t>（款）</w:t>
      </w:r>
      <w:bookmarkEnd w:id="8"/>
      <w:r>
        <w:rPr>
          <w:rFonts w:hint="eastAsia" w:ascii="Times New Roman" w:hAnsi="Times New Roman" w:eastAsia="仿宋_GB2312"/>
          <w:sz w:val="32"/>
          <w:szCs w:val="32"/>
          <w:lang w:val="en-US" w:eastAsia="zh-CN"/>
        </w:rPr>
        <w:t>其他普通教育支出</w:t>
      </w:r>
      <w:bookmarkEnd w:id="6"/>
      <w:bookmarkStart w:id="9" w:name="OLE_LINK10"/>
      <w:r>
        <w:rPr>
          <w:rFonts w:hint="eastAsia" w:ascii="Times New Roman" w:hAnsi="Times New Roman" w:eastAsia="仿宋_GB2312"/>
          <w:sz w:val="32"/>
          <w:szCs w:val="32"/>
          <w:lang w:val="en-US" w:eastAsia="zh-CN"/>
        </w:rPr>
        <w:t>（项）</w:t>
      </w:r>
      <w:bookmarkEnd w:id="9"/>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19.96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19.96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教育支出</w:t>
      </w:r>
      <w:bookmarkStart w:id="10" w:name="OLE_LINK7"/>
      <w:r>
        <w:rPr>
          <w:rFonts w:hint="eastAsia" w:ascii="Times New Roman" w:hAnsi="Times New Roman" w:eastAsia="仿宋_GB2312"/>
          <w:sz w:val="32"/>
          <w:szCs w:val="32"/>
          <w:lang w:val="en-US" w:eastAsia="zh-CN"/>
        </w:rPr>
        <w:t>（类）其他教育支出（款）其他教育支出</w:t>
      </w:r>
      <w:bookmarkEnd w:id="10"/>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bookmarkStart w:id="11" w:name="OLE_LINK11"/>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bookmarkEnd w:id="11"/>
    <w:p>
      <w:pPr>
        <w:pStyle w:val="14"/>
        <w:keepNext w:val="0"/>
        <w:keepLines w:val="0"/>
        <w:pageBreakBefore w:val="0"/>
        <w:widowControl w:val="0"/>
        <w:numPr>
          <w:ilvl w:val="0"/>
          <w:numId w:val="2"/>
        </w:numPr>
        <w:kinsoku/>
        <w:wordWrap/>
        <w:overflowPunct/>
        <w:topLinePunct w:val="0"/>
        <w:bidi w:val="0"/>
        <w:snapToGrid/>
        <w:spacing w:line="600" w:lineRule="exact"/>
        <w:ind w:left="880" w:leftChars="0" w:firstLine="0" w:firstLineChars="0"/>
        <w:textAlignment w:val="auto"/>
        <w:rPr>
          <w:rFonts w:hint="eastAsia" w:ascii="Times New Roman" w:hAnsi="Times New Roman" w:eastAsia="仿宋_GB2312"/>
          <w:sz w:val="32"/>
          <w:szCs w:val="32"/>
          <w:lang w:val="en-US" w:eastAsia="zh-CN"/>
        </w:rPr>
      </w:pPr>
      <w:bookmarkStart w:id="12" w:name="OLE_LINK12"/>
      <w:r>
        <w:rPr>
          <w:rFonts w:hint="eastAsia" w:ascii="Times New Roman" w:hAnsi="Times New Roman" w:eastAsia="仿宋_GB2312"/>
          <w:sz w:val="32"/>
          <w:szCs w:val="32"/>
        </w:rPr>
        <w:t>科学技术支出 </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lang w:eastAsia="zh-CN"/>
        </w:rPr>
        <w:t>）</w:t>
      </w:r>
      <w:bookmarkEnd w:id="12"/>
      <w:r>
        <w:rPr>
          <w:rFonts w:hint="eastAsia" w:ascii="Times New Roman" w:hAnsi="Times New Roman" w:eastAsia="仿宋_GB2312"/>
          <w:sz w:val="32"/>
          <w:szCs w:val="32"/>
        </w:rPr>
        <w:t>科学技术管理事务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行政运行（项）。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bookmarkStart w:id="13" w:name="OLE_LINK13"/>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26.63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26.63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bookmarkEnd w:id="13"/>
    <w:p>
      <w:pPr>
        <w:pStyle w:val="14"/>
        <w:keepNext w:val="0"/>
        <w:keepLines w:val="0"/>
        <w:pageBreakBefore w:val="0"/>
        <w:widowControl w:val="0"/>
        <w:numPr>
          <w:ilvl w:val="0"/>
          <w:numId w:val="2"/>
        </w:numPr>
        <w:kinsoku/>
        <w:wordWrap/>
        <w:overflowPunct/>
        <w:topLinePunct w:val="0"/>
        <w:bidi w:val="0"/>
        <w:snapToGrid/>
        <w:spacing w:line="600" w:lineRule="exact"/>
        <w:ind w:left="880" w:leftChars="0" w:firstLine="0" w:firstLineChars="0"/>
        <w:textAlignment w:val="auto"/>
        <w:rPr>
          <w:rFonts w:hint="eastAsia" w:ascii="Times New Roman" w:hAnsi="Times New Roman" w:eastAsia="仿宋_GB2312"/>
          <w:sz w:val="32"/>
          <w:szCs w:val="32"/>
          <w:lang w:val="en-US" w:eastAsia="zh-CN"/>
        </w:rPr>
      </w:pPr>
      <w:bookmarkStart w:id="14" w:name="OLE_LINK14"/>
      <w:r>
        <w:rPr>
          <w:rFonts w:hint="eastAsia" w:ascii="Times New Roman" w:hAnsi="Times New Roman" w:eastAsia="仿宋_GB2312"/>
          <w:sz w:val="32"/>
          <w:szCs w:val="32"/>
        </w:rPr>
        <w:t>科学技术支出 </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科学技术普及（款）</w:t>
      </w:r>
      <w:bookmarkEnd w:id="14"/>
      <w:r>
        <w:rPr>
          <w:rFonts w:hint="eastAsia" w:ascii="Times New Roman" w:hAnsi="Times New Roman" w:eastAsia="仿宋_GB2312"/>
          <w:sz w:val="32"/>
          <w:szCs w:val="32"/>
          <w:lang w:val="en-US" w:eastAsia="zh-CN"/>
        </w:rPr>
        <w:t>青少年科技活动</w:t>
      </w:r>
      <w:bookmarkStart w:id="15" w:name="OLE_LINK15"/>
      <w:r>
        <w:rPr>
          <w:rFonts w:hint="eastAsia" w:ascii="Times New Roman" w:hAnsi="Times New Roman" w:eastAsia="仿宋_GB2312"/>
          <w:sz w:val="32"/>
          <w:szCs w:val="32"/>
          <w:lang w:val="en-US" w:eastAsia="zh-CN"/>
        </w:rPr>
        <w:t>（项）</w:t>
      </w:r>
      <w:bookmarkEnd w:id="15"/>
      <w:r>
        <w:rPr>
          <w:rFonts w:hint="eastAsia" w:ascii="Times New Roman" w:hAnsi="Times New Roman" w:eastAsia="仿宋_GB2312"/>
          <w:sz w:val="32"/>
          <w:szCs w:val="32"/>
          <w:lang w:val="en-US"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numPr>
          <w:ilvl w:val="0"/>
          <w:numId w:val="2"/>
        </w:numPr>
        <w:kinsoku/>
        <w:wordWrap/>
        <w:overflowPunct/>
        <w:topLinePunct w:val="0"/>
        <w:bidi w:val="0"/>
        <w:snapToGrid/>
        <w:spacing w:line="600" w:lineRule="exact"/>
        <w:ind w:left="880" w:leftChars="0" w:firstLine="0" w:firstLineChars="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科学技术支出 </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科学技术普及（款）其他科学技术普及支出（项）。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bookmarkStart w:id="16" w:name="OLE_LINK16"/>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17.92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bookmarkEnd w:id="16"/>
    <w:p>
      <w:pPr>
        <w:pStyle w:val="14"/>
        <w:keepNext w:val="0"/>
        <w:keepLines w:val="0"/>
        <w:pageBreakBefore w:val="0"/>
        <w:widowControl w:val="0"/>
        <w:numPr>
          <w:ilvl w:val="0"/>
          <w:numId w:val="2"/>
        </w:numPr>
        <w:kinsoku/>
        <w:wordWrap/>
        <w:overflowPunct/>
        <w:topLinePunct w:val="0"/>
        <w:bidi w:val="0"/>
        <w:snapToGrid/>
        <w:spacing w:line="600" w:lineRule="exact"/>
        <w:ind w:left="880" w:leftChars="0" w:firstLine="0" w:firstLineChars="0"/>
        <w:textAlignment w:val="auto"/>
        <w:rPr>
          <w:rFonts w:hint="default" w:ascii="Times New Roman" w:hAnsi="Times New Roman" w:eastAsia="仿宋_GB2312"/>
          <w:sz w:val="32"/>
          <w:szCs w:val="32"/>
          <w:lang w:val="en-US" w:eastAsia="zh-CN"/>
        </w:rPr>
      </w:pPr>
      <w:bookmarkStart w:id="17" w:name="OLE_LINK17"/>
      <w:r>
        <w:rPr>
          <w:rFonts w:hint="default"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lang w:val="en-US" w:eastAsia="zh-CN"/>
        </w:rPr>
        <w:t>（类）</w:t>
      </w:r>
      <w:r>
        <w:rPr>
          <w:rFonts w:hint="default"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lang w:val="en-US" w:eastAsia="zh-CN"/>
        </w:rPr>
        <w:t>（款）</w:t>
      </w:r>
      <w:r>
        <w:rPr>
          <w:rFonts w:hint="default"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lang w:val="en-US" w:eastAsia="zh-CN"/>
        </w:rPr>
        <w:t>（项）。</w:t>
      </w:r>
    </w:p>
    <w:bookmarkEnd w:id="17"/>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bookmarkStart w:id="18" w:name="OLE_LINK18"/>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bookmarkEnd w:id="18"/>
    <w:p>
      <w:pPr>
        <w:pStyle w:val="14"/>
        <w:keepNext w:val="0"/>
        <w:keepLines w:val="0"/>
        <w:pageBreakBefore w:val="0"/>
        <w:widowControl w:val="0"/>
        <w:numPr>
          <w:ilvl w:val="0"/>
          <w:numId w:val="2"/>
        </w:numPr>
        <w:kinsoku/>
        <w:wordWrap/>
        <w:overflowPunct/>
        <w:topLinePunct w:val="0"/>
        <w:bidi w:val="0"/>
        <w:snapToGrid/>
        <w:spacing w:line="600" w:lineRule="exact"/>
        <w:ind w:left="880" w:leftChars="0" w:firstLine="0" w:firstLineChars="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lang w:val="en-US" w:eastAsia="zh-CN"/>
        </w:rPr>
        <w:t>（类）抚恤（款）死亡抚恤（项）。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numPr>
          <w:ilvl w:val="0"/>
          <w:numId w:val="2"/>
        </w:numPr>
        <w:kinsoku/>
        <w:wordWrap/>
        <w:overflowPunct/>
        <w:topLinePunct w:val="0"/>
        <w:bidi w:val="0"/>
        <w:snapToGrid/>
        <w:spacing w:line="600" w:lineRule="exact"/>
        <w:ind w:left="880" w:leftChars="0" w:firstLine="0" w:firstLineChars="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卫生健康支出(类)行政事业单位医疗</w:t>
      </w:r>
      <w:r>
        <w:rPr>
          <w:rFonts w:hint="eastAsia" w:ascii="Times New Roman" w:hAnsi="Times New Roman" w:eastAsia="仿宋_GB2312"/>
          <w:sz w:val="32"/>
          <w:szCs w:val="32"/>
          <w:lang w:val="en-US" w:eastAsia="zh-CN"/>
        </w:rPr>
        <w:t>（款）事业单位医疗（项）。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0.21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36.16</w:t>
      </w:r>
      <w:r>
        <w:rPr>
          <w:rFonts w:hint="eastAsia" w:ascii="Times New Roman" w:hAnsi="Times New Roman" w:eastAsia="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27.52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76.11</w:t>
      </w:r>
      <w:r>
        <w:rPr>
          <w:rFonts w:hint="eastAsia" w:ascii="Times New Roman" w:hAnsi="Times New Roman" w:eastAsia="仿宋_GB2312"/>
          <w:sz w:val="32"/>
          <w:szCs w:val="32"/>
        </w:rPr>
        <w:t>%,主要包括</w:t>
      </w:r>
      <w:bookmarkStart w:id="19" w:name="OLE_LINK4"/>
      <w:r>
        <w:rPr>
          <w:rFonts w:hint="eastAsia" w:ascii="Times New Roman" w:hAnsi="Times New Roman" w:eastAsia="仿宋_GB2312"/>
          <w:sz w:val="32"/>
          <w:szCs w:val="32"/>
        </w:rPr>
        <w:t>基本工资</w:t>
      </w:r>
      <w:r>
        <w:rPr>
          <w:rFonts w:hint="eastAsia" w:ascii="Times New Roman" w:hAnsi="Times New Roman" w:eastAsia="仿宋_GB2312"/>
          <w:sz w:val="32"/>
          <w:szCs w:val="32"/>
          <w:lang w:val="en-US" w:eastAsia="zh-CN"/>
        </w:rPr>
        <w:t>13.08万元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4.14万元</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val="en-US" w:eastAsia="zh-CN"/>
        </w:rPr>
        <w:t>5.82万元</w:t>
      </w:r>
      <w:r>
        <w:rPr>
          <w:rFonts w:hint="eastAsia" w:ascii="Times New Roman" w:hAnsi="Times New Roman" w:eastAsia="仿宋_GB2312"/>
          <w:sz w:val="32"/>
          <w:szCs w:val="32"/>
        </w:rPr>
        <w:t>、职工基本医疗保险缴费</w:t>
      </w:r>
      <w:r>
        <w:rPr>
          <w:rFonts w:hint="eastAsia" w:ascii="Times New Roman" w:hAnsi="Times New Roman" w:eastAsia="仿宋_GB2312"/>
          <w:sz w:val="32"/>
          <w:szCs w:val="32"/>
          <w:lang w:val="en-US" w:eastAsia="zh-CN"/>
        </w:rPr>
        <w:t>2.82万元、抚恤金1.66万元。</w:t>
      </w:r>
    </w:p>
    <w:bookmarkEnd w:id="19"/>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8.64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23.89</w:t>
      </w:r>
      <w:r>
        <w:rPr>
          <w:rFonts w:hint="eastAsia" w:ascii="Times New Roman" w:hAnsi="Times New Roman" w:eastAsia="仿宋_GB2312"/>
          <w:sz w:val="32"/>
          <w:szCs w:val="32"/>
        </w:rPr>
        <w:t>%，主要包括</w:t>
      </w:r>
      <w:bookmarkStart w:id="20" w:name="OLE_LINK5"/>
      <w:r>
        <w:rPr>
          <w:rFonts w:hint="eastAsia" w:ascii="Times New Roman" w:hAnsi="Times New Roman" w:eastAsia="仿宋_GB2312"/>
          <w:sz w:val="32"/>
          <w:szCs w:val="32"/>
        </w:rPr>
        <w:t>办公费</w:t>
      </w:r>
      <w:r>
        <w:rPr>
          <w:rFonts w:hint="eastAsia" w:ascii="Times New Roman" w:hAnsi="Times New Roman" w:eastAsia="仿宋_GB2312"/>
          <w:sz w:val="32"/>
          <w:szCs w:val="32"/>
          <w:lang w:val="en-US" w:eastAsia="zh-CN"/>
        </w:rPr>
        <w:t>2.16万元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1.16万元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差旅</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0.5万元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公务接待</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1.24万元、工会经费2.24万元、其他交通费0.5万元、其他商品和服务支出0.84万元</w:t>
      </w:r>
      <w:r>
        <w:rPr>
          <w:rFonts w:hint="eastAsia" w:ascii="Times New Roman" w:hAnsi="Times New Roman" w:eastAsia="仿宋_GB2312"/>
          <w:sz w:val="32"/>
          <w:szCs w:val="32"/>
        </w:rPr>
        <w:t>。</w:t>
      </w:r>
    </w:p>
    <w:bookmarkEnd w:id="20"/>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减少（增长）的主要原因是</w:t>
      </w:r>
      <w:bookmarkStart w:id="21" w:name="OLE_LINK20"/>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lang w:val="en-US" w:eastAsia="zh-CN"/>
        </w:rPr>
        <w:t>单位厉行节约，</w:t>
      </w:r>
      <w:bookmarkEnd w:id="21"/>
      <w:r>
        <w:rPr>
          <w:rFonts w:hint="eastAsia" w:ascii="Times New Roman" w:hAnsi="Times New Roman" w:eastAsia="仿宋_GB2312"/>
          <w:sz w:val="32"/>
          <w:szCs w:val="32"/>
          <w:lang w:val="en-US" w:eastAsia="zh-CN"/>
        </w:rPr>
        <w:t>进一步压缩公务接待费支出</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47</w:t>
      </w:r>
      <w:r>
        <w:rPr>
          <w:rFonts w:hint="eastAsia" w:ascii="Times New Roman" w:hAnsi="Times New Roman" w:eastAsia="仿宋_GB2312"/>
          <w:sz w:val="32"/>
          <w:szCs w:val="32"/>
        </w:rPr>
        <w:t>%,减少的主要原因是</w:t>
      </w:r>
      <w:bookmarkStart w:id="22" w:name="OLE_LINK19"/>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lang w:val="en-US" w:eastAsia="zh-CN"/>
        </w:rPr>
        <w:t>单位厉行节约，进一步压缩公务接待费支出</w:t>
      </w:r>
      <w:r>
        <w:rPr>
          <w:rFonts w:hint="eastAsia" w:ascii="Times New Roman" w:hAnsi="Times New Roman" w:eastAsia="仿宋_GB2312"/>
          <w:sz w:val="32"/>
          <w:szCs w:val="32"/>
        </w:rPr>
        <w:t>。</w:t>
      </w:r>
      <w:bookmarkEnd w:id="22"/>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1.24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1.24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122</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公务接待活动</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w:t>
      </w:r>
      <w:r>
        <w:rPr>
          <w:rFonts w:hint="eastAsia" w:ascii="Times New Roman" w:hAnsi="Times New Roman" w:eastAsia="仿宋_GB2312"/>
          <w:sz w:val="32"/>
          <w:szCs w:val="32"/>
          <w:lang w:val="en-US" w:eastAsia="zh-CN"/>
        </w:rPr>
        <w:t>本单位无政府性基金收支。</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8.64</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1.81</w:t>
      </w:r>
      <w:r>
        <w:rPr>
          <w:rFonts w:hint="eastAsia" w:ascii="Times New Roman" w:hAnsi="Times New Roman" w:eastAsia="仿宋_GB2312"/>
          <w:sz w:val="32"/>
          <w:szCs w:val="32"/>
        </w:rPr>
        <w:t>万元，增长（降低）</w:t>
      </w:r>
      <w:r>
        <w:rPr>
          <w:rFonts w:hint="eastAsia" w:ascii="Times New Roman" w:hAnsi="Times New Roman" w:eastAsia="仿宋_GB2312"/>
          <w:sz w:val="32"/>
          <w:szCs w:val="32"/>
          <w:lang w:val="en-US" w:eastAsia="zh-CN"/>
        </w:rPr>
        <w:t>17.32</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lang w:val="en-US" w:eastAsia="zh-CN"/>
        </w:rPr>
        <w:t>单位进一步压减公用经费开支</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万元，用于召开会议，人数</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万元，用于开展培训，人数</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举办等节庆、晚会、论坛、赛事活动，开支</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无</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（不含车辆）0</w:t>
      </w:r>
      <w:r>
        <w:rPr>
          <w:rFonts w:hint="eastAsia" w:ascii="Times New Roman" w:hAnsi="Times New Roman" w:eastAsia="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kinsoku/>
        <w:wordWrap/>
        <w:overflowPunct/>
        <w:topLinePunct w:val="0"/>
        <w:autoSpaceDE/>
        <w:autoSpaceDN/>
        <w:bidi w:val="0"/>
        <w:adjustRightInd/>
        <w:snapToGrid w:val="0"/>
        <w:spacing w:line="480" w:lineRule="exact"/>
        <w:ind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1.强化科普阵地建设，争取基层科普项目</w:t>
      </w:r>
      <w:r>
        <w:rPr>
          <w:rFonts w:hint="eastAsia" w:ascii="仿宋" w:hAnsi="仿宋" w:eastAsia="仿宋" w:cs="仿宋"/>
          <w:b/>
          <w:bCs/>
          <w:color w:val="auto"/>
          <w:sz w:val="32"/>
          <w:szCs w:val="32"/>
        </w:rPr>
        <w:t>。</w:t>
      </w:r>
      <w:r>
        <w:rPr>
          <w:rFonts w:hint="eastAsia" w:ascii="仿宋" w:hAnsi="仿宋" w:eastAsia="仿宋" w:cs="仿宋"/>
          <w:color w:val="auto"/>
          <w:sz w:val="32"/>
          <w:szCs w:val="32"/>
          <w:lang w:val="en-US" w:eastAsia="zh-CN"/>
        </w:rPr>
        <w:t>一是成功创建</w:t>
      </w:r>
      <w:r>
        <w:rPr>
          <w:rFonts w:hint="eastAsia" w:ascii="仿宋" w:hAnsi="仿宋" w:eastAsia="仿宋" w:cs="仿宋"/>
          <w:color w:val="auto"/>
          <w:sz w:val="32"/>
          <w:szCs w:val="32"/>
        </w:rPr>
        <w:t>市级科普</w:t>
      </w:r>
      <w:r>
        <w:rPr>
          <w:rFonts w:hint="eastAsia" w:ascii="仿宋" w:hAnsi="仿宋" w:eastAsia="仿宋" w:cs="仿宋"/>
          <w:color w:val="auto"/>
          <w:sz w:val="32"/>
          <w:szCs w:val="32"/>
          <w:lang w:val="en-US" w:eastAsia="zh-CN"/>
        </w:rPr>
        <w:t>教育基地1</w:t>
      </w:r>
      <w:r>
        <w:rPr>
          <w:rFonts w:hint="eastAsia" w:ascii="仿宋" w:hAnsi="仿宋" w:eastAsia="仿宋" w:cs="仿宋"/>
          <w:color w:val="auto"/>
          <w:sz w:val="32"/>
          <w:szCs w:val="32"/>
        </w:rPr>
        <w:t>个(</w:t>
      </w:r>
      <w:r>
        <w:rPr>
          <w:rFonts w:hint="eastAsia" w:ascii="仿宋" w:hAnsi="仿宋" w:eastAsia="仿宋" w:cs="仿宋"/>
          <w:color w:val="auto"/>
          <w:sz w:val="32"/>
          <w:szCs w:val="32"/>
          <w:lang w:val="en-US" w:eastAsia="zh-CN"/>
        </w:rPr>
        <w:t>月岩林场国家森林公园</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。二是顺利举办</w:t>
      </w:r>
      <w:r>
        <w:rPr>
          <w:rFonts w:hint="eastAsia" w:ascii="仿宋" w:hAnsi="仿宋" w:eastAsia="仿宋" w:cs="仿宋"/>
          <w:color w:val="auto"/>
          <w:sz w:val="32"/>
          <w:szCs w:val="32"/>
          <w:lang w:eastAsia="zh-CN"/>
        </w:rPr>
        <w:t>中国流动科技馆湖南</w:t>
      </w:r>
      <w:r>
        <w:rPr>
          <w:rFonts w:hint="eastAsia" w:ascii="仿宋" w:hAnsi="仿宋" w:eastAsia="仿宋" w:cs="仿宋"/>
          <w:color w:val="auto"/>
          <w:sz w:val="32"/>
          <w:szCs w:val="32"/>
          <w:lang w:val="en-US" w:eastAsia="zh-CN"/>
        </w:rPr>
        <w:t>巡展</w:t>
      </w:r>
      <w:r>
        <w:rPr>
          <w:rFonts w:hint="eastAsia" w:ascii="仿宋" w:hAnsi="仿宋" w:eastAsia="仿宋" w:cs="仿宋"/>
          <w:color w:val="auto"/>
          <w:sz w:val="32"/>
          <w:szCs w:val="32"/>
          <w:lang w:eastAsia="zh-CN"/>
        </w:rPr>
        <w:t>永州道县站，</w:t>
      </w:r>
      <w:r>
        <w:rPr>
          <w:rFonts w:hint="eastAsia" w:ascii="仿宋" w:hAnsi="仿宋" w:eastAsia="仿宋" w:cs="仿宋"/>
          <w:b w:val="0"/>
          <w:bCs/>
          <w:color w:val="auto"/>
          <w:sz w:val="32"/>
          <w:szCs w:val="32"/>
        </w:rPr>
        <w:t>整个巡展活动</w:t>
      </w:r>
      <w:r>
        <w:rPr>
          <w:rFonts w:hint="eastAsia" w:ascii="仿宋" w:hAnsi="仿宋" w:eastAsia="仿宋" w:cs="仿宋"/>
          <w:b w:val="0"/>
          <w:bCs/>
          <w:color w:val="auto"/>
          <w:sz w:val="32"/>
          <w:szCs w:val="32"/>
          <w:lang w:eastAsia="zh-CN"/>
        </w:rPr>
        <w:t>吸引了</w:t>
      </w:r>
      <w:r>
        <w:rPr>
          <w:rFonts w:hint="eastAsia" w:ascii="仿宋" w:hAnsi="仿宋" w:eastAsia="仿宋" w:cs="仿宋"/>
          <w:b w:val="0"/>
          <w:bCs/>
          <w:color w:val="auto"/>
          <w:sz w:val="32"/>
          <w:szCs w:val="32"/>
          <w:lang w:val="en-US" w:eastAsia="zh-CN"/>
        </w:rPr>
        <w:t>52097</w:t>
      </w:r>
      <w:r>
        <w:rPr>
          <w:rFonts w:hint="eastAsia" w:ascii="仿宋" w:hAnsi="仿宋" w:eastAsia="仿宋" w:cs="仿宋"/>
          <w:b w:val="0"/>
          <w:bCs/>
          <w:color w:val="auto"/>
          <w:sz w:val="32"/>
          <w:szCs w:val="32"/>
        </w:rPr>
        <w:t>人次</w:t>
      </w:r>
      <w:r>
        <w:rPr>
          <w:rFonts w:hint="eastAsia" w:ascii="仿宋" w:hAnsi="仿宋" w:eastAsia="仿宋" w:cs="仿宋"/>
          <w:b w:val="0"/>
          <w:bCs/>
          <w:color w:val="auto"/>
          <w:sz w:val="32"/>
          <w:szCs w:val="32"/>
          <w:lang w:eastAsia="zh-CN"/>
        </w:rPr>
        <w:t>前来</w:t>
      </w:r>
      <w:r>
        <w:rPr>
          <w:rFonts w:hint="eastAsia" w:ascii="仿宋" w:hAnsi="仿宋" w:eastAsia="仿宋" w:cs="仿宋"/>
          <w:b w:val="0"/>
          <w:bCs/>
          <w:color w:val="auto"/>
          <w:sz w:val="32"/>
          <w:szCs w:val="32"/>
        </w:rPr>
        <w:t>参观，其中，青少年学生</w:t>
      </w:r>
      <w:r>
        <w:rPr>
          <w:rFonts w:hint="eastAsia" w:ascii="仿宋" w:hAnsi="仿宋" w:eastAsia="仿宋" w:cs="仿宋"/>
          <w:b w:val="0"/>
          <w:bCs/>
          <w:color w:val="auto"/>
          <w:sz w:val="32"/>
          <w:szCs w:val="32"/>
          <w:lang w:val="en-US" w:eastAsia="zh-CN"/>
        </w:rPr>
        <w:t>34114人</w:t>
      </w:r>
      <w:r>
        <w:rPr>
          <w:rFonts w:hint="eastAsia" w:ascii="仿宋" w:hAnsi="仿宋" w:eastAsia="仿宋" w:cs="仿宋"/>
          <w:b w:val="0"/>
          <w:bCs/>
          <w:color w:val="auto"/>
          <w:sz w:val="32"/>
          <w:szCs w:val="32"/>
        </w:rPr>
        <w:t>次，社会公众</w:t>
      </w:r>
      <w:r>
        <w:rPr>
          <w:rFonts w:hint="eastAsia" w:ascii="仿宋" w:hAnsi="仿宋" w:eastAsia="仿宋" w:cs="仿宋"/>
          <w:b w:val="0"/>
          <w:bCs/>
          <w:color w:val="auto"/>
          <w:sz w:val="32"/>
          <w:szCs w:val="32"/>
          <w:lang w:val="en-US" w:eastAsia="zh-CN"/>
        </w:rPr>
        <w:t>17983</w:t>
      </w:r>
      <w:r>
        <w:rPr>
          <w:rFonts w:hint="eastAsia" w:ascii="仿宋" w:hAnsi="仿宋" w:eastAsia="仿宋" w:cs="仿宋"/>
          <w:b w:val="0"/>
          <w:bCs/>
          <w:color w:val="auto"/>
          <w:sz w:val="32"/>
          <w:szCs w:val="32"/>
        </w:rPr>
        <w:t>人次</w:t>
      </w:r>
      <w:r>
        <w:rPr>
          <w:rFonts w:hint="eastAsia" w:ascii="仿宋" w:hAnsi="仿宋" w:eastAsia="仿宋" w:cs="仿宋"/>
          <w:b w:val="0"/>
          <w:bCs/>
          <w:color w:val="auto"/>
          <w:sz w:val="32"/>
          <w:szCs w:val="32"/>
          <w:lang w:eastAsia="zh-CN"/>
        </w:rPr>
        <w:t>。</w:t>
      </w:r>
      <w:r>
        <w:rPr>
          <w:rFonts w:hint="eastAsia" w:ascii="仿宋" w:hAnsi="仿宋" w:eastAsia="仿宋" w:cs="仿宋"/>
          <w:color w:val="auto"/>
          <w:sz w:val="32"/>
          <w:szCs w:val="32"/>
          <w:lang w:val="en-US" w:eastAsia="zh-CN"/>
        </w:rPr>
        <w:t>三是成功争取2个国家“基层科普行动计划”，分别是道县绍基学校</w:t>
      </w:r>
      <w:r>
        <w:rPr>
          <w:rFonts w:hint="eastAsia" w:ascii="仿宋" w:hAnsi="仿宋" w:eastAsia="仿宋" w:cs="仿宋"/>
          <w:color w:val="auto"/>
          <w:sz w:val="32"/>
          <w:szCs w:val="32"/>
        </w:rPr>
        <w:t>科普资源助推“双减”</w:t>
      </w:r>
      <w:r>
        <w:rPr>
          <w:rFonts w:hint="eastAsia" w:ascii="仿宋" w:hAnsi="仿宋" w:eastAsia="仿宋" w:cs="仿宋"/>
          <w:color w:val="auto"/>
          <w:sz w:val="32"/>
          <w:szCs w:val="32"/>
          <w:lang w:val="en-US" w:eastAsia="zh-CN"/>
        </w:rPr>
        <w:t>项目和道县一中科学传播研究与实践课题项目。全程助力绍基学校稳步建设全市唯一一所“全国中小学科学教育实验校”。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积极</w:t>
      </w:r>
      <w:r>
        <w:rPr>
          <w:rFonts w:hint="eastAsia" w:ascii="仿宋" w:hAnsi="仿宋" w:eastAsia="仿宋" w:cs="仿宋"/>
          <w:b/>
          <w:bCs/>
          <w:color w:val="auto"/>
          <w:sz w:val="32"/>
          <w:szCs w:val="32"/>
          <w:lang w:val="en-US" w:eastAsia="zh-CN"/>
        </w:rPr>
        <w:t>举办</w:t>
      </w:r>
      <w:r>
        <w:rPr>
          <w:rFonts w:hint="eastAsia" w:ascii="仿宋" w:hAnsi="仿宋" w:eastAsia="仿宋" w:cs="仿宋"/>
          <w:b/>
          <w:bCs/>
          <w:color w:val="auto"/>
          <w:sz w:val="32"/>
          <w:szCs w:val="32"/>
        </w:rPr>
        <w:t>青少年科技创新</w:t>
      </w:r>
      <w:r>
        <w:rPr>
          <w:rFonts w:hint="eastAsia" w:ascii="仿宋" w:hAnsi="仿宋" w:eastAsia="仿宋" w:cs="仿宋"/>
          <w:b/>
          <w:bCs/>
          <w:color w:val="auto"/>
          <w:sz w:val="32"/>
          <w:szCs w:val="32"/>
          <w:lang w:val="en-US" w:eastAsia="zh-CN"/>
        </w:rPr>
        <w:t>大赛。</w:t>
      </w:r>
      <w:r>
        <w:rPr>
          <w:rFonts w:hint="eastAsia" w:ascii="仿宋" w:hAnsi="仿宋" w:eastAsia="仿宋" w:cs="仿宋"/>
          <w:color w:val="auto"/>
          <w:sz w:val="32"/>
          <w:szCs w:val="32"/>
          <w:lang w:val="en-US" w:eastAsia="zh-CN"/>
        </w:rPr>
        <w:t>本次大赛共征集参赛作品400余个，共评选出166个优秀获奖作品，3个优秀组织单位。</w:t>
      </w:r>
      <w:r>
        <w:rPr>
          <w:rFonts w:hint="eastAsia" w:ascii="仿宋" w:hAnsi="仿宋" w:eastAsia="仿宋" w:cs="仿宋"/>
          <w:b w:val="0"/>
          <w:bCs/>
          <w:color w:val="auto"/>
          <w:sz w:val="32"/>
          <w:szCs w:val="32"/>
          <w:lang w:val="en-US" w:eastAsia="zh-CN"/>
        </w:rPr>
        <w:t>其中来自一中的蒋涛阳同学作品被选送参加第45届湖南省科技创新大赛并荣获二等奖。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2"/>
          <w:sz w:val="32"/>
          <w:szCs w:val="32"/>
          <w:lang w:val="en-US" w:eastAsia="zh-CN" w:bidi="ar-SA"/>
        </w:rPr>
        <w:t>3.全面组织科普活动。一是</w:t>
      </w:r>
      <w:r>
        <w:rPr>
          <w:rFonts w:hint="eastAsia" w:ascii="仿宋" w:hAnsi="仿宋" w:eastAsia="仿宋" w:cs="仿宋"/>
          <w:color w:val="auto"/>
          <w:sz w:val="32"/>
          <w:szCs w:val="32"/>
          <w:lang w:val="en-US" w:eastAsia="zh-CN"/>
        </w:rPr>
        <w:t>积极开展“百名院士进校园、万名科技工者上讲台”活动，组织85名科技工作者登上学校讲台，超过17000名学生参加。</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val="en-US" w:eastAsia="zh-CN"/>
        </w:rPr>
        <w:t>圆满承办2024年永州市“潇湘科普行”之科普校园走进道县活动，“科普大篷车”</w:t>
      </w:r>
      <w:r>
        <w:rPr>
          <w:rFonts w:hint="eastAsia" w:ascii="仿宋" w:hAnsi="仿宋" w:eastAsia="仿宋" w:cs="仿宋"/>
          <w:color w:val="auto"/>
          <w:sz w:val="32"/>
          <w:szCs w:val="32"/>
          <w:lang w:eastAsia="zh-CN"/>
        </w:rPr>
        <w:t>先后</w:t>
      </w:r>
      <w:r>
        <w:rPr>
          <w:rFonts w:hint="eastAsia" w:ascii="仿宋" w:hAnsi="仿宋" w:eastAsia="仿宋" w:cs="仿宋"/>
          <w:color w:val="auto"/>
          <w:sz w:val="32"/>
          <w:szCs w:val="32"/>
        </w:rPr>
        <w:t>走进道县绍基学校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道县第六中学等多所学校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参与学生累计超过6500名。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color w:val="auto"/>
          <w:lang w:val="en-US" w:eastAsia="zh-CN"/>
        </w:rPr>
      </w:pP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强化部门联动，</w:t>
      </w:r>
      <w:r>
        <w:rPr>
          <w:rFonts w:hint="eastAsia" w:ascii="仿宋" w:hAnsi="仿宋" w:eastAsia="仿宋" w:cs="仿宋"/>
          <w:b w:val="0"/>
          <w:bCs w:val="0"/>
          <w:color w:val="auto"/>
          <w:sz w:val="32"/>
          <w:szCs w:val="32"/>
        </w:rPr>
        <w:t>扎实开展</w:t>
      </w:r>
      <w:r>
        <w:rPr>
          <w:rFonts w:hint="eastAsia" w:ascii="仿宋" w:hAnsi="仿宋" w:eastAsia="仿宋" w:cs="仿宋"/>
          <w:b w:val="0"/>
          <w:bCs w:val="0"/>
          <w:color w:val="auto"/>
          <w:sz w:val="32"/>
          <w:szCs w:val="32"/>
          <w:lang w:val="en-US" w:eastAsia="zh-CN"/>
        </w:rPr>
        <w:t>送科技</w:t>
      </w:r>
      <w:r>
        <w:rPr>
          <w:rFonts w:hint="eastAsia" w:ascii="仿宋" w:hAnsi="仿宋" w:eastAsia="仿宋" w:cs="仿宋"/>
          <w:b w:val="0"/>
          <w:bCs w:val="0"/>
          <w:color w:val="auto"/>
          <w:sz w:val="32"/>
          <w:szCs w:val="32"/>
        </w:rPr>
        <w:t>下乡活动</w:t>
      </w:r>
      <w:r>
        <w:rPr>
          <w:rFonts w:hint="eastAsia" w:ascii="仿宋" w:hAnsi="仿宋" w:eastAsia="仿宋" w:cs="仿宋"/>
          <w:b w:val="0"/>
          <w:bCs w:val="0"/>
          <w:color w:val="auto"/>
          <w:sz w:val="32"/>
          <w:szCs w:val="32"/>
          <w:lang w:eastAsia="zh-CN"/>
        </w:rPr>
        <w:t>，</w:t>
      </w:r>
      <w:r>
        <w:rPr>
          <w:rFonts w:hint="eastAsia" w:ascii="仿宋" w:hAnsi="仿宋" w:eastAsia="仿宋" w:cs="仿宋"/>
          <w:color w:val="auto"/>
          <w:kern w:val="2"/>
          <w:sz w:val="32"/>
          <w:szCs w:val="32"/>
          <w:lang w:val="en-US" w:eastAsia="zh-CN" w:bidi="ar-SA"/>
        </w:rPr>
        <w:t>全年在各乡镇开展送科技下乡活动10余场，共发放资料1万余份，服务群众5300余人次。</w:t>
      </w:r>
      <w:r>
        <w:rPr>
          <w:rFonts w:hint="eastAsia" w:ascii="仿宋" w:hAnsi="仿宋" w:eastAsia="仿宋" w:cs="仿宋"/>
          <w:b/>
          <w:bCs/>
          <w:color w:val="auto"/>
          <w:kern w:val="2"/>
          <w:sz w:val="32"/>
          <w:szCs w:val="32"/>
          <w:lang w:val="en-US" w:eastAsia="zh-CN" w:bidi="ar-SA"/>
        </w:rPr>
        <w:t>四是</w:t>
      </w:r>
      <w:r>
        <w:rPr>
          <w:rFonts w:hint="eastAsia" w:ascii="仿宋" w:hAnsi="仿宋" w:eastAsia="仿宋" w:cs="仿宋"/>
          <w:b w:val="0"/>
          <w:bCs w:val="0"/>
          <w:color w:val="auto"/>
          <w:sz w:val="32"/>
          <w:szCs w:val="32"/>
          <w:lang w:val="en-US" w:eastAsia="zh-CN"/>
        </w:rPr>
        <w:t>突出效应，持续打造全国科普日活动品牌。</w:t>
      </w:r>
      <w:r>
        <w:rPr>
          <w:rFonts w:hint="eastAsia" w:ascii="仿宋" w:hAnsi="仿宋" w:eastAsia="仿宋" w:cs="仿宋"/>
          <w:b w:val="0"/>
          <w:bCs w:val="0"/>
          <w:color w:val="auto"/>
          <w:kern w:val="2"/>
          <w:sz w:val="32"/>
          <w:szCs w:val="32"/>
          <w:lang w:val="en-US" w:eastAsia="zh-CN" w:bidi="ar-SA"/>
        </w:rPr>
        <w:t>9月</w:t>
      </w:r>
      <w:r>
        <w:rPr>
          <w:rFonts w:hint="eastAsia" w:ascii="仿宋" w:hAnsi="仿宋" w:eastAsia="仿宋" w:cs="仿宋"/>
          <w:color w:val="auto"/>
          <w:kern w:val="2"/>
          <w:sz w:val="32"/>
          <w:szCs w:val="32"/>
          <w:lang w:val="en-US" w:eastAsia="zh-CN" w:bidi="ar-SA"/>
        </w:rPr>
        <w:t>15-25日县科协在全县集中开展以“提升全民科学素质，协力建设科技强国”为主题的全国科普日系列活动。</w:t>
      </w:r>
      <w:r>
        <w:rPr>
          <w:rFonts w:hint="eastAsia" w:ascii="仿宋" w:hAnsi="仿宋" w:eastAsia="仿宋" w:cs="仿宋"/>
          <w:b/>
          <w:bCs/>
          <w:color w:val="auto"/>
          <w:kern w:val="2"/>
          <w:sz w:val="32"/>
          <w:szCs w:val="32"/>
          <w:lang w:val="en-US" w:eastAsia="zh-CN" w:bidi="ar-SA"/>
        </w:rPr>
        <w:t>其中“点亮航天梦 立下报国志”航空科普知识宣传活动被湖南省全民科学素质纲要实施工作办公室评为2024年湖南省全国科普日优秀活动。</w:t>
      </w:r>
    </w:p>
    <w:p>
      <w:pPr>
        <w:pStyle w:val="5"/>
        <w:keepNext w:val="0"/>
        <w:keepLines w:val="0"/>
        <w:pageBreakBefore w:val="0"/>
        <w:widowControl w:val="0"/>
        <w:numPr>
          <w:ilvl w:val="0"/>
          <w:numId w:val="0"/>
        </w:numPr>
        <w:kinsoku/>
        <w:wordWrap/>
        <w:overflowPunct/>
        <w:topLinePunct w:val="0"/>
        <w:autoSpaceDE/>
        <w:autoSpaceDN/>
        <w:bidi w:val="0"/>
        <w:adjustRightInd/>
        <w:spacing w:line="480" w:lineRule="exact"/>
        <w:ind w:leftChars="0" w:firstLine="640"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（二）服务创新驱动发展，成功创建2024年省级博士创新站</w:t>
      </w:r>
    </w:p>
    <w:p>
      <w:pPr>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今年以来，县科协积极动员县内高新技术企业创建院士（专家）工作站（室）以及博士创新站等科技创新服务平台。上半年，湖南美莱珀科技发展有限公司与上海工程技术大学江振林博士团队签订建站协议及项目合作协议，成立博士创新站。县科协趁热打铁，进一步指导该站争创省级荣誉，该站于6月21日向省科协递交2024年湖南省博士创新站申报资料，于7月底顺利通过申报材料形式审查。根据湖南省科学技术厅 湖南省科学技术协会《关于认定湖南创信伟立科技股份有限公司等150 家单位为湖南省博士创新站的通知》（湘科协通〔2024〕56 号），该站于10月23日成功被认定为省级博士创新站，这是我县首次成功创建省级博士创新站，推动科技创新服务平台建设取得了新突破。</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2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1.由于项目指标下达时间较晚，少部分资金未能及时拨付使用。</w:t>
      </w:r>
    </w:p>
    <w:p>
      <w:pPr>
        <w:pStyle w:val="2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2.内控制度需进一步完善，随着资金管理改革的进一步推进，我单位内部机构进行了相应的优化，建立健全了财务管理制度、固定资产管理制度、费用报销规程等制度，但仍需进一步强化财务约束监督体制。</w:t>
      </w:r>
    </w:p>
    <w:p>
      <w:pPr>
        <w:pStyle w:val="14"/>
        <w:jc w:val="both"/>
        <w:rPr>
          <w:sz w:val="72"/>
          <w:szCs w:val="72"/>
        </w:rPr>
      </w:pPr>
    </w:p>
    <w:p>
      <w:pPr>
        <w:pStyle w:val="14"/>
        <w:jc w:val="center"/>
        <w:rPr>
          <w:sz w:val="72"/>
          <w:szCs w:val="72"/>
        </w:rPr>
      </w:pPr>
    </w:p>
    <w:p>
      <w:pPr>
        <w:pStyle w:val="14"/>
        <w:jc w:val="center"/>
        <w:rPr>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4"/>
        <w:widowControl w:val="0"/>
        <w:numPr>
          <w:ilvl w:val="0"/>
          <w:numId w:val="3"/>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bookmarkStart w:id="23" w:name="_GoBack"/>
      <w:bookmarkEnd w:id="23"/>
      <w:r>
        <w:rPr>
          <w:rFonts w:hint="eastAsia" w:ascii="宋体" w:hAnsi="宋体" w:eastAsia="宋体" w:cs="黑体"/>
          <w:color w:val="auto"/>
          <w:kern w:val="2"/>
          <w:sz w:val="28"/>
          <w:szCs w:val="32"/>
          <w:lang w:val="en-US" w:eastAsia="zh-CN" w:bidi="ar-SA"/>
        </w:rPr>
        <w:t xml:space="preserve">财政拨款收入：指财政当年拨付的资金。包括一般公共预算财政拨款和政府性基金财政拨款。 </w:t>
      </w:r>
    </w:p>
    <w:p>
      <w:pPr>
        <w:pStyle w:val="14"/>
        <w:widowControl w:val="0"/>
        <w:numPr>
          <w:ilvl w:val="0"/>
          <w:numId w:val="3"/>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上级补助收入：指事业单位从主管部门和上级单位取得的非财政补助收入。 </w:t>
      </w:r>
    </w:p>
    <w:p>
      <w:pPr>
        <w:pStyle w:val="14"/>
        <w:widowControl w:val="0"/>
        <w:numPr>
          <w:ilvl w:val="0"/>
          <w:numId w:val="3"/>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事业收入：指事业单位开展专业业务活动及辅助活动所取得的收入。 </w:t>
      </w:r>
    </w:p>
    <w:p>
      <w:pPr>
        <w:pStyle w:val="14"/>
        <w:widowControl w:val="0"/>
        <w:numPr>
          <w:ilvl w:val="0"/>
          <w:numId w:val="3"/>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经营收入：指事业单位在专业业务活动及其辅助活动之外开展非独立核算经营活动取得的收入。 </w:t>
      </w:r>
    </w:p>
    <w:p>
      <w:pPr>
        <w:pStyle w:val="14"/>
        <w:widowControl w:val="0"/>
        <w:numPr>
          <w:ilvl w:val="0"/>
          <w:numId w:val="3"/>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附属单位上缴收入：指事业单位附属独立核算单位按照有关规定上缴的收入。 </w:t>
      </w:r>
    </w:p>
    <w:p>
      <w:pPr>
        <w:pStyle w:val="14"/>
        <w:widowControl w:val="0"/>
        <w:numPr>
          <w:ilvl w:val="0"/>
          <w:numId w:val="3"/>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其他收入：指除上述“财政拨款收入”、“事业收入”、“经营收入”等以外的收入。 </w:t>
      </w:r>
    </w:p>
    <w:p>
      <w:pPr>
        <w:pStyle w:val="14"/>
        <w:widowControl w:val="0"/>
        <w:numPr>
          <w:ilvl w:val="0"/>
          <w:numId w:val="3"/>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14"/>
        <w:widowControl w:val="0"/>
        <w:numPr>
          <w:ilvl w:val="0"/>
          <w:numId w:val="3"/>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年初结转和结余：指以前年度尚未完成、结转到本年按有关规定继续使用的资金。 </w:t>
      </w:r>
    </w:p>
    <w:p>
      <w:pPr>
        <w:pStyle w:val="14"/>
        <w:widowControl w:val="0"/>
        <w:numPr>
          <w:ilvl w:val="0"/>
          <w:numId w:val="3"/>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结余分配：指事业事位按规定从非财政补助结余中分配的事业基金和职工福利基金等。 </w:t>
      </w:r>
    </w:p>
    <w:p>
      <w:pPr>
        <w:pStyle w:val="14"/>
        <w:widowControl w:val="0"/>
        <w:numPr>
          <w:ilvl w:val="0"/>
          <w:numId w:val="3"/>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年末结转和结余：指本年度或以前年度预算安排、因客观条件发生变化无法按原计划实施，需要延迟到以后年度按有关规定继续使用的资金。 </w:t>
      </w:r>
    </w:p>
    <w:p>
      <w:pPr>
        <w:pStyle w:val="14"/>
        <w:widowControl w:val="0"/>
        <w:numPr>
          <w:ilvl w:val="0"/>
          <w:numId w:val="3"/>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基本支出：指为保障机构正常运转、完成日常工作任务而发生的人员支出和公用支出。 </w:t>
      </w:r>
    </w:p>
    <w:p>
      <w:pPr>
        <w:pStyle w:val="14"/>
        <w:widowControl w:val="0"/>
        <w:numPr>
          <w:ilvl w:val="0"/>
          <w:numId w:val="3"/>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项目支出：指在基本支出之外为完成特定行政任务和事业发展目标所发生的支出。 </w:t>
      </w:r>
    </w:p>
    <w:p>
      <w:pPr>
        <w:pStyle w:val="14"/>
        <w:widowControl w:val="0"/>
        <w:numPr>
          <w:ilvl w:val="0"/>
          <w:numId w:val="3"/>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经营支出：指事业单位在专业业务活动及其辅助活动之外开展非独立核算经营活动所发生的支出。 </w:t>
      </w:r>
    </w:p>
    <w:p>
      <w:pPr>
        <w:pStyle w:val="14"/>
        <w:widowControl w:val="0"/>
        <w:numPr>
          <w:ilvl w:val="0"/>
          <w:numId w:val="3"/>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 </w:t>
      </w:r>
    </w:p>
    <w:p>
      <w:pPr>
        <w:pStyle w:val="14"/>
        <w:widowControl w:val="0"/>
        <w:numPr>
          <w:ilvl w:val="0"/>
          <w:numId w:val="3"/>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 </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rPr>
          <w:sz w:val="72"/>
          <w:szCs w:val="72"/>
        </w:rPr>
      </w:pPr>
      <w:r>
        <w:rPr>
          <w:sz w:val="72"/>
          <w:szCs w:val="72"/>
        </w:rPr>
        <w:br w:type="page"/>
      </w: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pPr>
        <w:pStyle w:val="14"/>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4"/>
        <w:jc w:val="center"/>
        <w:rPr>
          <w:sz w:val="72"/>
          <w:szCs w:val="72"/>
        </w:rPr>
      </w:pPr>
    </w:p>
    <w:p>
      <w:pPr>
        <w:pStyle w:val="14"/>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0F9522-09C5-4D01-B7B8-CC3F92350E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63F30017-7C47-4614-9CA8-0B6BC29AB55C}"/>
  </w:font>
  <w:font w:name="方正小标宋_GBK">
    <w:panose1 w:val="02000000000000000000"/>
    <w:charset w:val="86"/>
    <w:family w:val="script"/>
    <w:pitch w:val="default"/>
    <w:sig w:usb0="A00002BF" w:usb1="38CF7CFA" w:usb2="00082016" w:usb3="00000000" w:csb0="00040001" w:csb1="00000000"/>
    <w:embedRegular r:id="rId3" w:fontKey="{7EF027D6-85DE-4CE8-8CC6-8C24C48193E8}"/>
  </w:font>
  <w:font w:name="仿宋_GB2312">
    <w:panose1 w:val="02010609030101010101"/>
    <w:charset w:val="86"/>
    <w:family w:val="modern"/>
    <w:pitch w:val="default"/>
    <w:sig w:usb0="00000001" w:usb1="080E0000" w:usb2="00000000" w:usb3="00000000" w:csb0="00040000" w:csb1="00000000"/>
    <w:embedRegular r:id="rId4" w:fontKey="{24F8B70C-778E-44C4-B2BB-37048753994B}"/>
  </w:font>
  <w:font w:name="华文中宋">
    <w:altName w:val="宋体"/>
    <w:panose1 w:val="02010600040101010101"/>
    <w:charset w:val="86"/>
    <w:family w:val="auto"/>
    <w:pitch w:val="default"/>
    <w:sig w:usb0="00000000" w:usb1="00000000" w:usb2="00000000" w:usb3="00000000" w:csb0="0004009F" w:csb1="DFD70000"/>
    <w:embedRegular r:id="rId5" w:fontKey="{A61E21D5-972B-49DC-A18E-9897F9006E7E}"/>
  </w:font>
  <w:font w:name="仿宋">
    <w:panose1 w:val="02010609060101010101"/>
    <w:charset w:val="86"/>
    <w:family w:val="auto"/>
    <w:pitch w:val="default"/>
    <w:sig w:usb0="800002BF" w:usb1="38CF7CFA" w:usb2="00000016" w:usb3="00000000" w:csb0="00040001" w:csb1="00000000"/>
    <w:embedRegular r:id="rId6" w:fontKey="{DD214D54-7E9E-4C9C-B62D-79830D5F4D5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1D337"/>
    <w:multiLevelType w:val="singleLevel"/>
    <w:tmpl w:val="9A61D337"/>
    <w:lvl w:ilvl="0" w:tentative="0">
      <w:start w:val="1"/>
      <w:numFmt w:val="chineseCounting"/>
      <w:suff w:val="nothing"/>
      <w:lvlText w:val="（%1）"/>
      <w:lvlJc w:val="left"/>
      <w:pPr>
        <w:ind w:left="0" w:firstLine="420"/>
      </w:pPr>
      <w:rPr>
        <w:rFonts w:hint="eastAsia"/>
      </w:rPr>
    </w:lvl>
  </w:abstractNum>
  <w:abstractNum w:abstractNumId="1">
    <w:nsid w:val="BFE4F4E3"/>
    <w:multiLevelType w:val="singleLevel"/>
    <w:tmpl w:val="BFE4F4E3"/>
    <w:lvl w:ilvl="0" w:tentative="0">
      <w:start w:val="3"/>
      <w:numFmt w:val="decimal"/>
      <w:suff w:val="nothing"/>
      <w:lvlText w:val="%1、"/>
      <w:lvlJc w:val="left"/>
      <w:pPr>
        <w:ind w:left="880" w:leftChars="0" w:firstLine="0" w:firstLineChars="0"/>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MTQ0ZjExMWJkMjk2ZjIxMDc0ZDk4NWNiNDAzZm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CE25E2"/>
    <w:rsid w:val="043250CC"/>
    <w:rsid w:val="07821677"/>
    <w:rsid w:val="117D2D56"/>
    <w:rsid w:val="11884B51"/>
    <w:rsid w:val="173338FA"/>
    <w:rsid w:val="1800196C"/>
    <w:rsid w:val="1D97DEFF"/>
    <w:rsid w:val="1DA36C0D"/>
    <w:rsid w:val="1DFF72E5"/>
    <w:rsid w:val="1EFC6F07"/>
    <w:rsid w:val="24383C48"/>
    <w:rsid w:val="24904D13"/>
    <w:rsid w:val="2BBE7A8B"/>
    <w:rsid w:val="2C24042C"/>
    <w:rsid w:val="2E1B357F"/>
    <w:rsid w:val="2F4C5A76"/>
    <w:rsid w:val="2FDF85B8"/>
    <w:rsid w:val="2FFFEE04"/>
    <w:rsid w:val="33EF751D"/>
    <w:rsid w:val="34DF85B0"/>
    <w:rsid w:val="383862A8"/>
    <w:rsid w:val="3B8F36BC"/>
    <w:rsid w:val="418701F1"/>
    <w:rsid w:val="48126F50"/>
    <w:rsid w:val="491FF225"/>
    <w:rsid w:val="4FC4743C"/>
    <w:rsid w:val="4FFD214C"/>
    <w:rsid w:val="533F1F43"/>
    <w:rsid w:val="53884A7A"/>
    <w:rsid w:val="5777D4F5"/>
    <w:rsid w:val="59DD8326"/>
    <w:rsid w:val="59EE640B"/>
    <w:rsid w:val="5A783688"/>
    <w:rsid w:val="5AF945AE"/>
    <w:rsid w:val="5D8B2D6F"/>
    <w:rsid w:val="5DEF592A"/>
    <w:rsid w:val="5F0D5664"/>
    <w:rsid w:val="5FC6BB1E"/>
    <w:rsid w:val="5FF720F1"/>
    <w:rsid w:val="65233C0B"/>
    <w:rsid w:val="67927669"/>
    <w:rsid w:val="67FF5C0B"/>
    <w:rsid w:val="6A3B2E35"/>
    <w:rsid w:val="6A695C12"/>
    <w:rsid w:val="6EFC0924"/>
    <w:rsid w:val="6F5F657B"/>
    <w:rsid w:val="6FB74722"/>
    <w:rsid w:val="6FEF8B7E"/>
    <w:rsid w:val="706F1DE1"/>
    <w:rsid w:val="71002FA5"/>
    <w:rsid w:val="71A6591B"/>
    <w:rsid w:val="737D59BA"/>
    <w:rsid w:val="77C37683"/>
    <w:rsid w:val="77DE4F1B"/>
    <w:rsid w:val="78B74B27"/>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endnote text"/>
    <w:basedOn w:val="1"/>
    <w:qFormat/>
    <w:uiPriority w:val="0"/>
    <w:pPr>
      <w:snapToGrid w:val="0"/>
      <w:jc w:val="left"/>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Emphasis"/>
    <w:basedOn w:val="10"/>
    <w:qFormat/>
    <w:uiPriority w:val="20"/>
    <w:rPr>
      <w:i/>
    </w:r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6"/>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 w:type="paragraph" w:customStyle="1" w:styleId="20">
    <w:name w:val="样式 文字 + 首行缩进:  2 字符3"/>
    <w:basedOn w:val="1"/>
    <w:qFormat/>
    <w:uiPriority w:val="99"/>
    <w:pPr>
      <w:spacing w:line="360" w:lineRule="auto"/>
      <w:jc w:val="left"/>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7007</Words>
  <Characters>8329</Characters>
  <Lines>63</Lines>
  <Paragraphs>18</Paragraphs>
  <TotalTime>1</TotalTime>
  <ScaleCrop>false</ScaleCrop>
  <LinksUpToDate>false</LinksUpToDate>
  <CharactersWithSpaces>9244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2025-08-28T12:45:01Z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85118F2B44814F4F8081373EB5C0AAAB</vt:lpwstr>
  </property>
</Properties>
</file>