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700" w:lineRule="exact"/>
        <w:ind w:firstLine="880" w:firstLineChars="200"/>
        <w:jc w:val="center"/>
        <w:textAlignment w:val="auto"/>
        <w:rPr>
          <w:rFonts w:hint="eastAsia" w:ascii="方正小标宋简体" w:hAnsi="方正小标宋简体" w:eastAsia="方正小标宋简体" w:cs="方正小标宋简体"/>
          <w:b w:val="0"/>
          <w:bCs/>
          <w:sz w:val="44"/>
          <w:szCs w:val="44"/>
          <w:u w:val="none"/>
        </w:rPr>
      </w:pPr>
      <w:bookmarkStart w:id="0" w:name="_GoBack"/>
      <w:bookmarkEnd w:id="0"/>
      <w:r>
        <w:rPr>
          <w:rFonts w:hint="eastAsia" w:ascii="方正小标宋简体" w:hAnsi="方正小标宋简体" w:eastAsia="方正小标宋简体" w:cs="方正小标宋简体"/>
          <w:b w:val="0"/>
          <w:bCs/>
          <w:sz w:val="44"/>
          <w:szCs w:val="44"/>
          <w:u w:val="none"/>
          <w:lang w:eastAsia="zh-CN"/>
        </w:rPr>
        <w:t>2024</w:t>
      </w:r>
      <w:r>
        <w:rPr>
          <w:rFonts w:hint="eastAsia" w:ascii="方正小标宋简体" w:hAnsi="方正小标宋简体" w:eastAsia="方正小标宋简体" w:cs="方正小标宋简体"/>
          <w:b w:val="0"/>
          <w:bCs/>
          <w:sz w:val="44"/>
          <w:szCs w:val="44"/>
          <w:u w:val="none"/>
        </w:rPr>
        <w:t>年度道县全民健身服务中心</w:t>
      </w:r>
    </w:p>
    <w:p>
      <w:pPr>
        <w:keepNext w:val="0"/>
        <w:keepLines w:val="0"/>
        <w:pageBreakBefore w:val="0"/>
        <w:widowControl w:val="0"/>
        <w:kinsoku/>
        <w:wordWrap/>
        <w:overflowPunct/>
        <w:topLinePunct w:val="0"/>
        <w:autoSpaceDE/>
        <w:autoSpaceDN/>
        <w:bidi w:val="0"/>
        <w:adjustRightInd w:val="0"/>
        <w:snapToGrid/>
        <w:spacing w:line="700" w:lineRule="exact"/>
        <w:ind w:firstLine="880" w:firstLineChars="200"/>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44"/>
          <w:szCs w:val="44"/>
        </w:rPr>
        <w:t>整体支出绩效评价报告</w:t>
      </w:r>
    </w:p>
    <w:p>
      <w:pPr>
        <w:keepNext w:val="0"/>
        <w:keepLines w:val="0"/>
        <w:pageBreakBefore w:val="0"/>
        <w:widowControl w:val="0"/>
        <w:kinsoku/>
        <w:overflowPunct/>
        <w:topLinePunct w:val="0"/>
        <w:bidi w:val="0"/>
        <w:snapToGrid w:val="0"/>
        <w:spacing w:line="560" w:lineRule="atLeast"/>
        <w:ind w:firstLine="643" w:firstLineChars="200"/>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val="en-US"/>
        </w:rPr>
        <w:t>部门概况</w:t>
      </w:r>
    </w:p>
    <w:p>
      <w:pPr>
        <w:keepNext w:val="0"/>
        <w:keepLines w:val="0"/>
        <w:pageBreakBefore w:val="0"/>
        <w:widowControl w:val="0"/>
        <w:kinsoku/>
        <w:overflowPunct/>
        <w:topLinePunct w:val="0"/>
        <w:bidi w:val="0"/>
        <w:snapToGrid w:val="0"/>
        <w:spacing w:line="560" w:lineRule="atLeas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（一）、单位基本情况</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1.根据道编发(2016)17号(文件等)规定，本单位主要工作职责是:</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宣传、推广全民健身政策法规和科普知识。</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组织、策划各项群众体育赛事和全民健身活动，加强业余体校、群众体育竞赛和全民健身活动的管理指导和服务。</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管理、维护、开发利用所管理的体育场馆及健身场地设施，负责院内公共区域的园林绿化管理、卫生保洁、安全保卫，确保体育场馆正常运营。。</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组织开展各类健身运动项目的培训，承担全县体育行业的职业培训任务。</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承担县老年人体育协会的日常管理工作。</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负责体育彩票发行的日常事务性工作和体育彩票公益金的使用、管理工作。</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承办县委、县政府和县文体广电新闻出版局交办的其他工作。</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2．机构情况，包括当年变动情况及原因</w:t>
      </w:r>
      <w:r>
        <w:rPr>
          <w:rFonts w:hint="eastAsia" w:ascii="仿宋_GB2312" w:hAnsi="仿宋_GB2312" w:eastAsia="仿宋_GB2312" w:cs="仿宋_GB2312"/>
          <w:sz w:val="32"/>
          <w:szCs w:val="32"/>
          <w:lang w:val="en-US" w:eastAsia="zh-CN"/>
        </w:rPr>
        <w:t>：</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道县全民健身服务中心</w:t>
      </w:r>
      <w:r>
        <w:rPr>
          <w:rFonts w:hint="eastAsia" w:ascii="仿宋_GB2312" w:hAnsi="仿宋_GB2312" w:eastAsia="仿宋_GB2312" w:cs="仿宋_GB2312"/>
          <w:sz w:val="32"/>
          <w:szCs w:val="32"/>
          <w:lang w:val="en-US"/>
        </w:rPr>
        <w:t>单位内设机构包括：综合办公室、体彩发行股、业务指导股、场馆管理股。</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3．人员情况，包括当年变动情况及原因</w:t>
      </w:r>
      <w:r>
        <w:rPr>
          <w:rFonts w:hint="eastAsia" w:ascii="仿宋_GB2312" w:hAnsi="仿宋_GB2312" w:eastAsia="仿宋_GB2312" w:cs="仿宋_GB2312"/>
          <w:sz w:val="32"/>
          <w:szCs w:val="32"/>
          <w:lang w:val="en-US" w:eastAsia="zh-CN"/>
        </w:rPr>
        <w:t>：</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人员编制10人，年末实有在职人员</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rPr>
        <w:t>人。</w:t>
      </w:r>
    </w:p>
    <w:p>
      <w:pPr>
        <w:keepNext w:val="0"/>
        <w:keepLines w:val="0"/>
        <w:pageBreakBefore w:val="0"/>
        <w:widowControl w:val="0"/>
        <w:kinsoku/>
        <w:overflowPunct/>
        <w:topLinePunct w:val="0"/>
        <w:bidi w:val="0"/>
        <w:snapToGrid w:val="0"/>
        <w:spacing w:line="560" w:lineRule="atLeas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（二）部门年度整体支出绩效目标</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2024年本单位资金有限，年度整体支出绩效目标是维持机构运转和全民健身日常工作。</w:t>
      </w:r>
    </w:p>
    <w:p>
      <w:pPr>
        <w:keepNext w:val="0"/>
        <w:keepLines w:val="0"/>
        <w:pageBreakBefore w:val="0"/>
        <w:widowControl w:val="0"/>
        <w:kinsoku/>
        <w:overflowPunct/>
        <w:topLinePunct w:val="0"/>
        <w:bidi w:val="0"/>
        <w:snapToGrid w:val="0"/>
        <w:spacing w:line="560" w:lineRule="atLeast"/>
        <w:ind w:firstLine="643" w:firstLineChars="200"/>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二、</w:t>
      </w:r>
      <w:r>
        <w:rPr>
          <w:rFonts w:hint="eastAsia" w:ascii="仿宋_GB2312" w:hAnsi="仿宋_GB2312" w:eastAsia="仿宋_GB2312" w:cs="仿宋_GB2312"/>
          <w:b/>
          <w:bCs/>
          <w:sz w:val="32"/>
          <w:szCs w:val="32"/>
          <w:lang w:val="en-US" w:eastAsia="zh-CN"/>
        </w:rPr>
        <w:t>一般公共预算</w:t>
      </w:r>
      <w:r>
        <w:rPr>
          <w:rFonts w:hint="eastAsia" w:ascii="仿宋_GB2312" w:hAnsi="仿宋_GB2312" w:eastAsia="仿宋_GB2312" w:cs="仿宋_GB2312"/>
          <w:b/>
          <w:bCs/>
          <w:sz w:val="32"/>
          <w:szCs w:val="32"/>
          <w:lang w:val="en-US"/>
        </w:rPr>
        <w:t>支出情况</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en-US"/>
        </w:rPr>
        <w:t>年度</w:t>
      </w:r>
      <w:r>
        <w:rPr>
          <w:rFonts w:hint="eastAsia" w:ascii="仿宋_GB2312" w:hAnsi="仿宋_GB2312" w:eastAsia="仿宋_GB2312" w:cs="仿宋_GB2312"/>
          <w:sz w:val="32"/>
          <w:szCs w:val="32"/>
          <w:lang w:val="en-US" w:eastAsia="zh-CN"/>
        </w:rPr>
        <w:t>一般公共预算</w:t>
      </w:r>
      <w:r>
        <w:rPr>
          <w:rFonts w:hint="eastAsia" w:ascii="仿宋_GB2312" w:hAnsi="仿宋_GB2312" w:eastAsia="仿宋_GB2312" w:cs="仿宋_GB2312"/>
          <w:sz w:val="32"/>
          <w:szCs w:val="32"/>
          <w:lang w:val="en-US"/>
        </w:rPr>
        <w:t>支出</w:t>
      </w:r>
      <w:r>
        <w:rPr>
          <w:rFonts w:hint="eastAsia" w:ascii="仿宋_GB2312" w:hAnsi="仿宋_GB2312" w:eastAsia="仿宋_GB2312" w:cs="仿宋_GB2312"/>
          <w:sz w:val="32"/>
          <w:szCs w:val="32"/>
          <w:lang w:val="en-US" w:eastAsia="zh-CN"/>
        </w:rPr>
        <w:t>9320.43万</w:t>
      </w:r>
      <w:r>
        <w:rPr>
          <w:rFonts w:hint="eastAsia" w:ascii="仿宋_GB2312" w:hAnsi="仿宋_GB2312" w:eastAsia="仿宋_GB2312" w:cs="仿宋_GB2312"/>
          <w:sz w:val="32"/>
          <w:szCs w:val="32"/>
          <w:lang w:val="en-US"/>
        </w:rPr>
        <w:t>元。</w:t>
      </w:r>
    </w:p>
    <w:p>
      <w:pPr>
        <w:keepNext w:val="0"/>
        <w:keepLines w:val="0"/>
        <w:pageBreakBefore w:val="0"/>
        <w:widowControl w:val="0"/>
        <w:kinsoku/>
        <w:overflowPunct/>
        <w:topLinePunct w:val="0"/>
        <w:bidi w:val="0"/>
        <w:snapToGrid w:val="0"/>
        <w:spacing w:line="560" w:lineRule="atLeast"/>
        <w:ind w:firstLine="643" w:firstLineChars="200"/>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（一）基本支出</w:t>
      </w:r>
      <w:r>
        <w:rPr>
          <w:rFonts w:hint="eastAsia" w:ascii="仿宋_GB2312" w:hAnsi="仿宋_GB2312" w:eastAsia="仿宋_GB2312" w:cs="仿宋_GB2312"/>
          <w:b/>
          <w:bCs/>
          <w:sz w:val="32"/>
          <w:szCs w:val="32"/>
          <w:lang w:val="en-US" w:eastAsia="zh-CN"/>
        </w:rPr>
        <w:t>94.8万</w:t>
      </w:r>
      <w:r>
        <w:rPr>
          <w:rFonts w:hint="eastAsia" w:ascii="仿宋_GB2312" w:hAnsi="仿宋_GB2312" w:eastAsia="仿宋_GB2312" w:cs="仿宋_GB2312"/>
          <w:b/>
          <w:bCs/>
          <w:sz w:val="32"/>
          <w:szCs w:val="32"/>
          <w:lang w:val="en-US"/>
        </w:rPr>
        <w:t>元。</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1.人员经费87.39万元。</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工资及福利87.39万元，包括基本工资35.68万元、津贴补贴14.31万元、绩效工资19.76万元、奖金3.67万元、基本养老保险缴费8.53万元、职工基本医疗保险缴费4.64万元。</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2.日常公用经费7.41万元。</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（1）商品和服务支出7.41万元，包括办公费1.67万元、邮电费0.12万元、差旅费2.63万元、水电费1.69万元、其他交通费0.54万元、其他商品和服务费0.76万元。</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(2)其它支出0.8万元。</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对个人和家庭的生活补助0.8万元。</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项目支出</w:t>
      </w:r>
      <w:r>
        <w:rPr>
          <w:rFonts w:hint="eastAsia" w:ascii="仿宋_GB2312" w:hAnsi="仿宋_GB2312" w:eastAsia="仿宋_GB2312" w:cs="仿宋_GB2312"/>
          <w:sz w:val="32"/>
          <w:szCs w:val="32"/>
          <w:lang w:val="en-US" w:eastAsia="zh-CN"/>
        </w:rPr>
        <w:t>9225.63万</w:t>
      </w:r>
      <w:r>
        <w:rPr>
          <w:rFonts w:hint="eastAsia" w:ascii="仿宋_GB2312" w:hAnsi="仿宋_GB2312" w:eastAsia="仿宋_GB2312" w:cs="仿宋_GB2312"/>
          <w:sz w:val="32"/>
          <w:szCs w:val="32"/>
          <w:lang w:val="en-US"/>
        </w:rPr>
        <w:t>元。</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项目支出9225.63万元，包括办公租房3万元、群体竞赛活动经费（含龙舟赛）150万元、全民健身场地设施建设经费8924.07万元、巅峰湖南“2022年三大名山登山赛”70万元、彩票公益金支出78.56万元。</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“三公”经费支出说明：2024年度严格执行中央八项规定，进一步密切联系群众，廉洁从政，强化“三公经费”管理。“三公经费”全年实际支出0万元，其中公务用车运行维护费0万元、公务接待费0万元。</w:t>
      </w:r>
    </w:p>
    <w:p>
      <w:pPr>
        <w:keepNext w:val="0"/>
        <w:keepLines w:val="0"/>
        <w:pageBreakBefore w:val="0"/>
        <w:widowControl w:val="0"/>
        <w:kinsoku/>
        <w:overflowPunct/>
        <w:topLinePunct w:val="0"/>
        <w:bidi w:val="0"/>
        <w:snapToGrid w:val="0"/>
        <w:spacing w:line="560" w:lineRule="atLeas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三、政府性基金预算支出情况</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道县全民健身服务中心2024年政府性基金预算支出7961.1万元，用于支付道县全民健身中心项目一期工程项目工程款及体育事业的彩票公益金支出。</w:t>
      </w:r>
    </w:p>
    <w:p>
      <w:pPr>
        <w:keepNext w:val="0"/>
        <w:keepLines w:val="0"/>
        <w:pageBreakBefore w:val="0"/>
        <w:widowControl w:val="0"/>
        <w:kinsoku/>
        <w:overflowPunct/>
        <w:topLinePunct w:val="0"/>
        <w:bidi w:val="0"/>
        <w:snapToGrid w:val="0"/>
        <w:spacing w:line="560" w:lineRule="atLeas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四、国有资本经营预算支出情况</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道县全民健身服务中心2024年无国有资本经营预算支出。</w:t>
      </w:r>
    </w:p>
    <w:p>
      <w:pPr>
        <w:keepNext w:val="0"/>
        <w:keepLines w:val="0"/>
        <w:pageBreakBefore w:val="0"/>
        <w:widowControl w:val="0"/>
        <w:kinsoku/>
        <w:overflowPunct/>
        <w:topLinePunct w:val="0"/>
        <w:bidi w:val="0"/>
        <w:snapToGrid w:val="0"/>
        <w:spacing w:line="560" w:lineRule="atLeas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五、社会保险基金预算支出情况</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道县全民健身服务中心2024年无社会保险基金预算支出。</w:t>
      </w:r>
    </w:p>
    <w:p>
      <w:pPr>
        <w:keepNext w:val="0"/>
        <w:keepLines w:val="0"/>
        <w:pageBreakBefore w:val="0"/>
        <w:widowControl w:val="0"/>
        <w:kinsoku/>
        <w:overflowPunct/>
        <w:topLinePunct w:val="0"/>
        <w:bidi w:val="0"/>
        <w:snapToGrid w:val="0"/>
        <w:spacing w:line="560" w:lineRule="atLeas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六、部门整体支出绩效情况</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是全面贯彻落实党的二十大精神的一年。我们坚持以习近平新时代中国特色社会主义思想为指导，深入学习贯彻党的二十大和二十届三中全会精神，落实县委、县政府确定的工作思路和目标任务。在县委的坚强领导下，坚持稳中求进工作总基调，以不断提高人民群众健康素质为目标，坚决贯彻落实《全民健身实施计划（2022—2025年）》。</w:t>
      </w:r>
    </w:p>
    <w:p>
      <w:pPr>
        <w:keepNext w:val="0"/>
        <w:keepLines w:val="0"/>
        <w:pageBreakBefore w:val="0"/>
        <w:widowControl w:val="0"/>
        <w:kinsoku/>
        <w:overflowPunct/>
        <w:topLinePunct w:val="0"/>
        <w:bidi w:val="0"/>
        <w:snapToGrid w:val="0"/>
        <w:spacing w:line="560" w:lineRule="atLeas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一、2024年工作回顾</w:t>
      </w:r>
    </w:p>
    <w:p>
      <w:pPr>
        <w:keepNext w:val="0"/>
        <w:keepLines w:val="0"/>
        <w:pageBreakBefore w:val="0"/>
        <w:widowControl w:val="0"/>
        <w:kinsoku/>
        <w:overflowPunct/>
        <w:topLinePunct w:val="0"/>
        <w:bidi w:val="0"/>
        <w:snapToGrid w:val="0"/>
        <w:spacing w:line="560" w:lineRule="atLeas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（一）突出履职尽责担当，增强基层党建凝聚力</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始终以党的旗帜为旗帜。坚持党的领导，深刻领悟“两个确立”，坚决做到“两个维护”，组织举办县级以上群体活动14次。二是始终以党的方向为引领。坚持执行“三会一课”规范制度化。年内共召开党员大会10次、专题组织生活会和民主评议党员各1次，支部书记上专题党课4次，组织支部主题党日</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"http://www.zw2.cn/zhuanti/guanyuhuodongzuowen/" \t "https://www.zw2.cn/hanjiazuoye/_blank"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12次，开展党员廉政警示教育2次，走访慰问退休、困难党员2次，党员联系群众不低于12次。三是以党的意志为意志。组织支部党员干部集中学习16次，支部书记上专题党课4次，上廉政党课2次。</w:t>
      </w:r>
    </w:p>
    <w:p>
      <w:pPr>
        <w:keepNext w:val="0"/>
        <w:keepLines w:val="0"/>
        <w:pageBreakBefore w:val="0"/>
        <w:widowControl w:val="0"/>
        <w:kinsoku/>
        <w:overflowPunct/>
        <w:topLinePunct w:val="0"/>
        <w:bidi w:val="0"/>
        <w:snapToGrid w:val="0"/>
        <w:spacing w:line="560" w:lineRule="atLeas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（二）强化思想政治引领，全面筑牢意识形态防线</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管好宣传主阵地。坚持“体育”姓党根本原则，严格落实“一岗双责”主体责任，明确分管领导和股室责任人意识形态工作，配齐宣传干事，单位上下形成“党委统一领导、党政齐抓共管、宣传干事组织协调、相关股室分工负责”的意识形态工作格局。二是</w:t>
      </w:r>
      <w:r>
        <w:rPr>
          <w:rFonts w:hint="eastAsia" w:ascii="仿宋_GB2312" w:hAnsi="仿宋_GB2312" w:eastAsia="仿宋_GB2312" w:cs="仿宋_GB2312"/>
          <w:sz w:val="32"/>
          <w:szCs w:val="32"/>
          <w:lang w:val="en-US"/>
        </w:rPr>
        <w:t>强化理论学习教育。</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lang w:val="en-US"/>
        </w:rPr>
        <w:t>召开4次专题会议研究意识形态工作，</w:t>
      </w:r>
      <w:r>
        <w:rPr>
          <w:rFonts w:hint="eastAsia" w:ascii="仿宋_GB2312" w:hAnsi="仿宋_GB2312" w:eastAsia="仿宋_GB2312" w:cs="仿宋_GB2312"/>
          <w:sz w:val="32"/>
          <w:szCs w:val="32"/>
          <w:lang w:val="en-US" w:eastAsia="zh-CN"/>
        </w:rPr>
        <w:t>主要负责人积极参加</w:t>
      </w:r>
      <w:r>
        <w:rPr>
          <w:rFonts w:hint="eastAsia" w:ascii="仿宋_GB2312" w:hAnsi="仿宋_GB2312" w:eastAsia="仿宋_GB2312" w:cs="仿宋_GB2312"/>
          <w:sz w:val="32"/>
          <w:szCs w:val="32"/>
          <w:lang w:val="en-US"/>
        </w:rPr>
        <w:t>理论学习中心组集中学习</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rPr>
        <w:t>次</w:t>
      </w:r>
      <w:r>
        <w:rPr>
          <w:rFonts w:hint="eastAsia" w:ascii="仿宋_GB2312" w:hAnsi="仿宋_GB2312" w:eastAsia="仿宋_GB2312" w:cs="仿宋_GB2312"/>
          <w:sz w:val="32"/>
          <w:szCs w:val="32"/>
          <w:lang w:val="en-US" w:eastAsia="zh-CN"/>
        </w:rPr>
        <w:t>。扎实做好强信心、聚人心、筑同心工作，</w:t>
      </w:r>
      <w:r>
        <w:rPr>
          <w:rFonts w:hint="eastAsia" w:ascii="仿宋_GB2312" w:hAnsi="仿宋_GB2312" w:eastAsia="仿宋_GB2312" w:cs="仿宋_GB2312"/>
          <w:sz w:val="32"/>
          <w:szCs w:val="32"/>
          <w:lang w:val="en-US"/>
        </w:rPr>
        <w:t>牢牢把握正确的政治</w:t>
      </w:r>
      <w:r>
        <w:rPr>
          <w:rFonts w:hint="eastAsia" w:ascii="仿宋_GB2312" w:hAnsi="仿宋_GB2312" w:eastAsia="仿宋_GB2312" w:cs="仿宋_GB2312"/>
          <w:sz w:val="32"/>
          <w:szCs w:val="32"/>
          <w:lang w:val="en-US" w:eastAsia="zh-CN"/>
        </w:rPr>
        <w:t>导向，</w:t>
      </w:r>
      <w:r>
        <w:rPr>
          <w:rFonts w:hint="eastAsia" w:ascii="仿宋_GB2312" w:hAnsi="仿宋_GB2312" w:eastAsia="仿宋_GB2312" w:cs="仿宋_GB2312"/>
          <w:sz w:val="32"/>
          <w:szCs w:val="32"/>
          <w:lang w:val="en-US"/>
        </w:rPr>
        <w:t>统一党员干部思想。</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lang w:val="en-US"/>
        </w:rPr>
        <w:t>加强正确舆论引导。</w:t>
      </w:r>
      <w:r>
        <w:rPr>
          <w:rFonts w:hint="eastAsia" w:ascii="仿宋_GB2312" w:hAnsi="仿宋_GB2312" w:eastAsia="仿宋_GB2312" w:cs="仿宋_GB2312"/>
          <w:sz w:val="32"/>
          <w:szCs w:val="32"/>
          <w:lang w:val="en-US" w:eastAsia="zh-CN"/>
        </w:rPr>
        <w:t>确保组织举办的体育赛事弘扬主旋律，传播正能量。</w:t>
      </w:r>
      <w:r>
        <w:rPr>
          <w:rFonts w:hint="eastAsia" w:ascii="仿宋_GB2312" w:hAnsi="仿宋_GB2312" w:eastAsia="仿宋_GB2312" w:cs="仿宋_GB2312"/>
          <w:sz w:val="32"/>
          <w:szCs w:val="32"/>
          <w:lang w:val="en-US"/>
        </w:rPr>
        <w:t>及时对党建工作、乡村振兴、文明创建、平安建设等工作进行宣传，</w:t>
      </w:r>
      <w:r>
        <w:rPr>
          <w:rFonts w:hint="eastAsia" w:ascii="仿宋_GB2312" w:hAnsi="仿宋_GB2312" w:eastAsia="仿宋_GB2312" w:cs="仿宋_GB2312"/>
          <w:sz w:val="32"/>
          <w:szCs w:val="32"/>
          <w:lang w:val="en-US" w:eastAsia="zh-CN"/>
        </w:rPr>
        <w:t>通过举办丰富多样的活动在</w:t>
      </w:r>
      <w:r>
        <w:rPr>
          <w:rFonts w:hint="eastAsia" w:ascii="仿宋_GB2312" w:hAnsi="仿宋_GB2312" w:eastAsia="仿宋_GB2312" w:cs="仿宋_GB2312"/>
          <w:sz w:val="32"/>
          <w:szCs w:val="32"/>
          <w:lang w:val="en-US"/>
        </w:rPr>
        <w:t>国家、省、市、县等媒体发表各类正面宣传稿件1</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lang w:val="en-US"/>
        </w:rPr>
        <w:t>余篇。</w:t>
      </w:r>
    </w:p>
    <w:p>
      <w:pPr>
        <w:keepNext w:val="0"/>
        <w:keepLines w:val="0"/>
        <w:pageBreakBefore w:val="0"/>
        <w:widowControl w:val="0"/>
        <w:kinsoku/>
        <w:overflowPunct/>
        <w:topLinePunct w:val="0"/>
        <w:bidi w:val="0"/>
        <w:snapToGrid w:val="0"/>
        <w:spacing w:line="560" w:lineRule="atLeas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（三）推动全民健身发展，打造县域体育“品牌”赛事</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开展丰富多彩的群体活动，引导群众加入全民健身行列。1至12月，组织举办县级以上大型群体活动11次，组织举办乒乓球比赛、气排球比赛、、职工羽毛球比赛、瑜伽项目展演赛，其中“清枫杯”中国龙舟公开赛（湖南•永州道县站）暨“龙腾潇湘”中国传统龙舟大赛“农商行杯”“理学圣地•龙腾潇湘”国家非遗道州龙船赛，赛事规模之大、队伍之多、运动员之众为历年之最，以龙船之多创造了世界吉尼斯记录，取得非常好社会影响力和美誉度；还组织</w:t>
      </w:r>
      <w:r>
        <w:rPr>
          <w:rFonts w:hint="eastAsia" w:ascii="仿宋_GB2312" w:hAnsi="仿宋_GB2312" w:eastAsia="仿宋_GB2312" w:cs="仿宋_GB2312"/>
          <w:sz w:val="32"/>
          <w:szCs w:val="32"/>
          <w:lang w:val="en-US"/>
        </w:rPr>
        <w:t>举办2024年“村BA”</w:t>
      </w:r>
      <w:r>
        <w:rPr>
          <w:rFonts w:hint="eastAsia" w:ascii="仿宋_GB2312" w:hAnsi="仿宋_GB2312" w:eastAsia="仿宋_GB2312" w:cs="仿宋_GB2312"/>
          <w:sz w:val="32"/>
          <w:szCs w:val="32"/>
          <w:lang w:val="en-US" w:eastAsia="zh-CN"/>
        </w:rPr>
        <w:t>球</w:t>
      </w:r>
      <w:r>
        <w:rPr>
          <w:rFonts w:hint="eastAsia" w:ascii="仿宋_GB2312" w:hAnsi="仿宋_GB2312" w:eastAsia="仿宋_GB2312" w:cs="仿宋_GB2312"/>
          <w:sz w:val="32"/>
          <w:szCs w:val="32"/>
          <w:lang w:val="en-US"/>
        </w:rPr>
        <w:t>王争霸赛</w:t>
      </w:r>
      <w:r>
        <w:rPr>
          <w:rFonts w:hint="eastAsia" w:ascii="仿宋_GB2312" w:hAnsi="仿宋_GB2312" w:eastAsia="仿宋_GB2312" w:cs="仿宋_GB2312"/>
          <w:sz w:val="32"/>
          <w:szCs w:val="32"/>
          <w:lang w:val="en-US" w:eastAsia="zh-CN"/>
        </w:rPr>
        <w:t>湖南赛区道县“零道高速”杯篮球赛、青少年游泳比赛、广场舞大赛、“情系五岭逶迤山，重走长征忠诚路”2024年湘桂粤赣四省区九市南岭联盟“体彩杯”篮球邀请赛、太极拳（剑）比赛、</w:t>
      </w:r>
      <w:r>
        <w:rPr>
          <w:rFonts w:hint="eastAsia" w:ascii="仿宋_GB2312" w:hAnsi="仿宋_GB2312" w:eastAsia="仿宋_GB2312" w:cs="仿宋_GB2312"/>
          <w:sz w:val="32"/>
          <w:szCs w:val="32"/>
          <w:lang w:val="en-US" w:eastAsia="en-US"/>
        </w:rPr>
        <w:t>青少年篮球赛</w:t>
      </w:r>
      <w:r>
        <w:rPr>
          <w:rFonts w:hint="eastAsia" w:ascii="仿宋_GB2312" w:hAnsi="仿宋_GB2312" w:eastAsia="仿宋_GB2312" w:cs="仿宋_GB2312"/>
          <w:sz w:val="32"/>
          <w:szCs w:val="32"/>
          <w:lang w:val="en-US" w:eastAsia="zh-CN"/>
        </w:rPr>
        <w:t>以及横岭瑶族乡“盘王杯”村BA篮球赛。二是点燃群众参与热情，共享健康生活。组队参加市群体活动8次：永州市2024年市县区气排球比赛、永州市2024年市区、市直单位“体彩杯”乒乓球赛、2024年永州市青少年举重锦标赛暨选拔赛、2024年永州市青少年儿童游泳锦标赛、</w:t>
      </w:r>
      <w:r>
        <w:rPr>
          <w:rFonts w:hint="eastAsia" w:ascii="仿宋_GB2312" w:hAnsi="仿宋_GB2312" w:eastAsia="仿宋_GB2312" w:cs="仿宋_GB2312"/>
          <w:sz w:val="32"/>
          <w:szCs w:val="32"/>
          <w:lang w:val="en-US" w:eastAsia="en-US"/>
        </w:rPr>
        <w:t>“奔跑吧·少年”</w:t>
      </w:r>
      <w:r>
        <w:rPr>
          <w:rFonts w:hint="eastAsia" w:ascii="仿宋_GB2312" w:hAnsi="仿宋_GB2312" w:eastAsia="仿宋_GB2312" w:cs="仿宋_GB2312"/>
          <w:sz w:val="32"/>
          <w:szCs w:val="32"/>
          <w:lang w:val="en-US" w:eastAsia="zh-CN"/>
        </w:rPr>
        <w:t>2024年永州市青少年乒乓球锦标赛女子、湖南省第五届社区趣味运动会暨永州市选拔赛、第二届全市宣传文化系统职工趣味运动会。营造“体育赛事齐参与、全民健身享健康”良好氛围，引导广大群众走进健身行列。</w:t>
      </w:r>
    </w:p>
    <w:p>
      <w:pPr>
        <w:keepNext w:val="0"/>
        <w:keepLines w:val="0"/>
        <w:pageBreakBefore w:val="0"/>
        <w:widowControl w:val="0"/>
        <w:kinsoku/>
        <w:overflowPunct/>
        <w:topLinePunct w:val="0"/>
        <w:bidi w:val="0"/>
        <w:snapToGrid w:val="0"/>
        <w:spacing w:line="560" w:lineRule="atLeas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（四）落实奥运争光计划，提升道县竞技体育实力</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一是以体教融合为重点，推动重点体育</w:t>
      </w:r>
      <w:r>
        <w:rPr>
          <w:rFonts w:hint="eastAsia" w:ascii="仿宋_GB2312" w:hAnsi="仿宋_GB2312" w:eastAsia="仿宋_GB2312" w:cs="仿宋_GB2312"/>
          <w:sz w:val="32"/>
          <w:szCs w:val="32"/>
          <w:lang w:val="en-US"/>
        </w:rPr>
        <w:t>项目进校园</w:t>
      </w:r>
      <w:r>
        <w:rPr>
          <w:rFonts w:hint="eastAsia" w:ascii="仿宋_GB2312" w:hAnsi="仿宋_GB2312" w:eastAsia="仿宋_GB2312" w:cs="仿宋_GB2312"/>
          <w:sz w:val="32"/>
          <w:szCs w:val="32"/>
          <w:lang w:val="en-US" w:eastAsia="zh-CN"/>
        </w:rPr>
        <w:t>。2024年已成功申报道县五中为“湖南省摔跤柔道跆拳道项目试点学校”。二是以体育选材为基准，推动竞技体育后备人才储备。6月，组织教练员深入全县中小学校，选拔优秀运动苗子输送到市体校。6月22日-23日，赴江华参加“奔跑吧.少年”2024年永州市青少年乒乓球锦标赛，我县运动员获女子团体冠军，龚夏雨（U14-15组别）、兰欣平（U8-9组别）女子单打冠军。三是以业训工作为核心，推动《奥运争光计划》落实。从县财政体彩公益金专批27万元资金用于市体校61名道县籍重点体育项目运动员、重大赛事集训运动员日常训练伙食补助，为我县运动健儿艰苦训练提供强有力的后勤保障。8月6日，道县籍街舞运动员何俊豪参加2024年湖南省青少年街舞锦标赛获U13组男子个人冠军金牌1枚，并入选湖南省体育局备战2025年全运会街舞队集训。</w:t>
      </w:r>
    </w:p>
    <w:p>
      <w:pPr>
        <w:keepNext w:val="0"/>
        <w:keepLines w:val="0"/>
        <w:pageBreakBefore w:val="0"/>
        <w:widowControl w:val="0"/>
        <w:kinsoku/>
        <w:overflowPunct/>
        <w:topLinePunct w:val="0"/>
        <w:bidi w:val="0"/>
        <w:snapToGrid w:val="0"/>
        <w:spacing w:line="560" w:lineRule="atLeas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（五）拓展体彩销售渠道，持续推动体育产业增效</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针对消费复苏和经济热潮，集中精力做好服务，发挥“后世界杯”效益，组织4次全县性业务培训，强化实体店代销员技能；让体彩销售与赛事活动紧密联系，以赛事活动助推体彩的销售。全县有体彩网点50家，截止2024年12月体彩销量达到2700余万元。</w:t>
      </w:r>
    </w:p>
    <w:p>
      <w:pPr>
        <w:keepNext w:val="0"/>
        <w:keepLines w:val="0"/>
        <w:pageBreakBefore w:val="0"/>
        <w:widowControl w:val="0"/>
        <w:kinsoku/>
        <w:overflowPunct/>
        <w:topLinePunct w:val="0"/>
        <w:bidi w:val="0"/>
        <w:snapToGrid w:val="0"/>
        <w:spacing w:line="560" w:lineRule="atLeas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（六）完善公共服务体系，补齐全民健身设施短板</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大力推进文体公园对外运营管理工作的同时，用心用情做好道县全民健身中心项目建设，项目已经完成了红星西路10000m³石方破除及外运，红星西路3000m³路基土方外运，文昌路改造段50%人行道铺装及全部综合管网。</w:t>
      </w:r>
    </w:p>
    <w:p>
      <w:pPr>
        <w:keepNext w:val="0"/>
        <w:keepLines w:val="0"/>
        <w:pageBreakBefore w:val="0"/>
        <w:widowControl w:val="0"/>
        <w:kinsoku/>
        <w:overflowPunct/>
        <w:topLinePunct w:val="0"/>
        <w:bidi w:val="0"/>
        <w:snapToGrid w:val="0"/>
        <w:spacing w:line="560" w:lineRule="atLeas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（七）实施“体育惠民”工程，切实办好惠民利民实事</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攻坚克难，加大争资跑项力度。今年项目争资280万元，全部用于群众体育活动的开展、体育场地设施的新增、体育健身器材的维修；省市争项6套农民体育健身工程，全部下放到位6个行政村并指导安装、验收投入使用。二是多措并举，实施体育惠民工程。实现城区40个社区建有“晨晚练体育活动点”，体育健身设施覆盖率达到100%，城市“15分钟健身圈”逐步形成；全县369个行政村(社区)拥有农民体育健身工程、全民健身路径等体育健身设施的有336个，覆盖率达到91%以上，其中，108个乡村振兴示范村体育健身设施覆盖率达到100%。三是全力以赴，助力创文创卫工作。已完善西洲公园健康步道1个，对破损、丢失的健康步道标识牌、健康知识宣传牌进行恢复和维修；新建绍基公园、爱莲桥南岸健康步道2个，还将计划新增健康步道40公里。</w:t>
      </w:r>
    </w:p>
    <w:p>
      <w:pPr>
        <w:keepNext w:val="0"/>
        <w:keepLines w:val="0"/>
        <w:pageBreakBefore w:val="0"/>
        <w:widowControl w:val="0"/>
        <w:kinsoku/>
        <w:overflowPunct/>
        <w:topLinePunct w:val="0"/>
        <w:bidi w:val="0"/>
        <w:snapToGrid w:val="0"/>
        <w:spacing w:line="560" w:lineRule="atLeas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七、存在的主要问题</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一是</w:t>
      </w:r>
      <w:r>
        <w:rPr>
          <w:rFonts w:hint="eastAsia" w:ascii="仿宋_GB2312" w:hAnsi="仿宋_GB2312" w:eastAsia="仿宋_GB2312" w:cs="仿宋_GB2312"/>
          <w:sz w:val="32"/>
          <w:szCs w:val="32"/>
          <w:lang w:val="en-US" w:eastAsia="zh-CN"/>
        </w:rPr>
        <w:t>偏远山区体育健身设施偏缺，还不能满足人民群众日益增长的体育健身需求和“十五分钟健身圈”的锻炼要求，全民健身意识（特别是农村健身意识）还有待引导增强。</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单位一直租用民房办公，条件简陋、设施陈旧，已无法满足单位工作需要。目前，道县文体公园项目体育场馆已全面竣工并即将交付使用，为守护好、管理好这份全县人民来之不易的共同财产，切实做好体育场馆社会化运营监管工作，我单位拟搬迁到县文体公园训练馆办公。</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三是</w:t>
      </w:r>
      <w:r>
        <w:rPr>
          <w:rFonts w:hint="eastAsia" w:ascii="仿宋_GB2312" w:hAnsi="仿宋_GB2312" w:eastAsia="仿宋_GB2312" w:cs="仿宋_GB2312"/>
          <w:sz w:val="32"/>
          <w:szCs w:val="32"/>
          <w:lang w:val="en-US" w:eastAsia="zh-CN"/>
        </w:rPr>
        <w:t>单位人员年龄老化，知识结构不合理，且缺乏专业技术人才，在事多人少的情况下，严重影响了单位各项工作正常开展。</w:t>
      </w:r>
    </w:p>
    <w:p>
      <w:pPr>
        <w:keepNext w:val="0"/>
        <w:keepLines w:val="0"/>
        <w:pageBreakBefore w:val="0"/>
        <w:widowControl w:val="0"/>
        <w:kinsoku/>
        <w:overflowPunct/>
        <w:topLinePunct w:val="0"/>
        <w:bidi w:val="0"/>
        <w:snapToGrid w:val="0"/>
        <w:spacing w:line="560" w:lineRule="atLeas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八、改进措施和有关建议</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毛主席教导我们：发展体育运动，增强人民体质。好的身体是革命的本钱，必须加强领导，广泛动员，增加政府和社会人力物力投入，发展体育事业，建设体育强国,为道县人民强身键体作出更大的贡献。</w:t>
      </w:r>
    </w:p>
    <w:p>
      <w:pPr>
        <w:keepNext w:val="0"/>
        <w:keepLines w:val="0"/>
        <w:pageBreakBefore w:val="0"/>
        <w:widowControl w:val="0"/>
        <w:kinsoku/>
        <w:overflowPunct/>
        <w:topLinePunct w:val="0"/>
        <w:bidi w:val="0"/>
        <w:snapToGrid w:val="0"/>
        <w:spacing w:line="560" w:lineRule="atLeas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九、绩效自评结果拟应用和公开情况</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根据《部门整体支出绩效评价指标表》评分，得</w:t>
      </w:r>
      <w:r>
        <w:rPr>
          <w:rFonts w:hint="eastAsia" w:ascii="仿宋_GB2312" w:hAnsi="仿宋_GB2312" w:eastAsia="仿宋_GB2312" w:cs="仿宋_GB2312"/>
          <w:sz w:val="32"/>
          <w:szCs w:val="32"/>
          <w:lang w:val="en-US" w:eastAsia="zh-CN"/>
        </w:rPr>
        <w:t>94</w:t>
      </w:r>
      <w:r>
        <w:rPr>
          <w:rFonts w:hint="eastAsia" w:ascii="仿宋_GB2312" w:hAnsi="仿宋_GB2312" w:eastAsia="仿宋_GB2312" w:cs="仿宋_GB2312"/>
          <w:sz w:val="32"/>
          <w:szCs w:val="32"/>
          <w:lang w:val="en-US"/>
        </w:rPr>
        <w:t>分，财政预算绩效为“</w:t>
      </w:r>
      <w:r>
        <w:rPr>
          <w:rFonts w:hint="eastAsia" w:ascii="仿宋_GB2312" w:hAnsi="仿宋_GB2312" w:eastAsia="仿宋_GB2312" w:cs="仿宋_GB2312"/>
          <w:sz w:val="32"/>
          <w:szCs w:val="32"/>
          <w:lang w:val="en-US" w:eastAsia="zh-CN"/>
        </w:rPr>
        <w:t>良</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本绩效评价报告拟交由县财政部门统一公开。</w:t>
      </w:r>
    </w:p>
    <w:p>
      <w:pPr>
        <w:keepNext w:val="0"/>
        <w:keepLines w:val="0"/>
        <w:pageBreakBefore w:val="0"/>
        <w:widowControl w:val="0"/>
        <w:kinsoku/>
        <w:overflowPunct/>
        <w:topLinePunct w:val="0"/>
        <w:bidi w:val="0"/>
        <w:snapToGrid w:val="0"/>
        <w:spacing w:line="560" w:lineRule="atLeast"/>
        <w:ind w:firstLine="640" w:firstLineChars="200"/>
        <w:jc w:val="righ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道县全民健身服务中心</w:t>
      </w:r>
    </w:p>
    <w:p>
      <w:pPr>
        <w:keepNext w:val="0"/>
        <w:keepLines w:val="0"/>
        <w:pageBreakBefore w:val="0"/>
        <w:widowControl w:val="0"/>
        <w:kinsoku/>
        <w:overflowPunct/>
        <w:topLinePunct w:val="0"/>
        <w:bidi w:val="0"/>
        <w:snapToGrid w:val="0"/>
        <w:spacing w:line="560" w:lineRule="atLeast"/>
        <w:ind w:firstLine="640" w:firstLineChars="200"/>
        <w:jc w:val="righ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val="en-US"/>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rPr>
        <w:t xml:space="preserve"> 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val="en-US"/>
        </w:rPr>
        <w:t>日</w:t>
      </w:r>
    </w:p>
    <w:sectPr>
      <w:pgSz w:w="11906" w:h="16838"/>
      <w:pgMar w:top="1440" w:right="1797" w:bottom="1440"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Y2ViMWEyZjkyOWJjMzE1YmE2ZTU0MjI5NjMwY2QifQ=="/>
  </w:docVars>
  <w:rsids>
    <w:rsidRoot w:val="00E023F5"/>
    <w:rsid w:val="00017E70"/>
    <w:rsid w:val="00035C4B"/>
    <w:rsid w:val="00037B95"/>
    <w:rsid w:val="00057B04"/>
    <w:rsid w:val="00081167"/>
    <w:rsid w:val="000816F7"/>
    <w:rsid w:val="000841E4"/>
    <w:rsid w:val="000C1238"/>
    <w:rsid w:val="000C5A36"/>
    <w:rsid w:val="00107CF9"/>
    <w:rsid w:val="0013325E"/>
    <w:rsid w:val="0014244E"/>
    <w:rsid w:val="00151E32"/>
    <w:rsid w:val="00151FB2"/>
    <w:rsid w:val="001551D9"/>
    <w:rsid w:val="0017128D"/>
    <w:rsid w:val="001733FC"/>
    <w:rsid w:val="001C4C06"/>
    <w:rsid w:val="001D40FD"/>
    <w:rsid w:val="00200BD8"/>
    <w:rsid w:val="00246C74"/>
    <w:rsid w:val="00273308"/>
    <w:rsid w:val="0027689E"/>
    <w:rsid w:val="00280B91"/>
    <w:rsid w:val="00281F8F"/>
    <w:rsid w:val="002A087C"/>
    <w:rsid w:val="002A30D9"/>
    <w:rsid w:val="002B20EF"/>
    <w:rsid w:val="002D78F7"/>
    <w:rsid w:val="002E451E"/>
    <w:rsid w:val="002F391A"/>
    <w:rsid w:val="00300175"/>
    <w:rsid w:val="003078C7"/>
    <w:rsid w:val="00373988"/>
    <w:rsid w:val="003A43D4"/>
    <w:rsid w:val="003D31BD"/>
    <w:rsid w:val="004153AB"/>
    <w:rsid w:val="00436374"/>
    <w:rsid w:val="004668A0"/>
    <w:rsid w:val="00473592"/>
    <w:rsid w:val="00480B00"/>
    <w:rsid w:val="00491393"/>
    <w:rsid w:val="004960B7"/>
    <w:rsid w:val="004A139B"/>
    <w:rsid w:val="004B7414"/>
    <w:rsid w:val="004C01D7"/>
    <w:rsid w:val="004C3BBB"/>
    <w:rsid w:val="004E1E92"/>
    <w:rsid w:val="004E23C7"/>
    <w:rsid w:val="004F197E"/>
    <w:rsid w:val="004F3C73"/>
    <w:rsid w:val="00510B4A"/>
    <w:rsid w:val="005174D3"/>
    <w:rsid w:val="005404C4"/>
    <w:rsid w:val="00540BE6"/>
    <w:rsid w:val="00541B5C"/>
    <w:rsid w:val="005A30F2"/>
    <w:rsid w:val="005A35D4"/>
    <w:rsid w:val="005B2827"/>
    <w:rsid w:val="005C18F9"/>
    <w:rsid w:val="006117C5"/>
    <w:rsid w:val="0061728F"/>
    <w:rsid w:val="0063154E"/>
    <w:rsid w:val="0063359A"/>
    <w:rsid w:val="00676FA0"/>
    <w:rsid w:val="006C1EBC"/>
    <w:rsid w:val="006C786D"/>
    <w:rsid w:val="0073431B"/>
    <w:rsid w:val="0074537C"/>
    <w:rsid w:val="00762D52"/>
    <w:rsid w:val="00777842"/>
    <w:rsid w:val="00783181"/>
    <w:rsid w:val="007B1F15"/>
    <w:rsid w:val="007B3E77"/>
    <w:rsid w:val="007C3A6B"/>
    <w:rsid w:val="00826A23"/>
    <w:rsid w:val="00836368"/>
    <w:rsid w:val="00866104"/>
    <w:rsid w:val="008737EA"/>
    <w:rsid w:val="00877BA1"/>
    <w:rsid w:val="00882C1B"/>
    <w:rsid w:val="00892A0D"/>
    <w:rsid w:val="00892FE9"/>
    <w:rsid w:val="008A1C69"/>
    <w:rsid w:val="008D33EB"/>
    <w:rsid w:val="008F6803"/>
    <w:rsid w:val="009027A7"/>
    <w:rsid w:val="00907459"/>
    <w:rsid w:val="009659E2"/>
    <w:rsid w:val="00982EBC"/>
    <w:rsid w:val="009A2B93"/>
    <w:rsid w:val="009A52DA"/>
    <w:rsid w:val="00A14B58"/>
    <w:rsid w:val="00A23BBB"/>
    <w:rsid w:val="00A35119"/>
    <w:rsid w:val="00A361A5"/>
    <w:rsid w:val="00A76448"/>
    <w:rsid w:val="00AC37F9"/>
    <w:rsid w:val="00B30C5E"/>
    <w:rsid w:val="00B365B4"/>
    <w:rsid w:val="00B4764A"/>
    <w:rsid w:val="00B668BC"/>
    <w:rsid w:val="00B74A87"/>
    <w:rsid w:val="00B92607"/>
    <w:rsid w:val="00B96E2C"/>
    <w:rsid w:val="00BD53DE"/>
    <w:rsid w:val="00C0446C"/>
    <w:rsid w:val="00C05727"/>
    <w:rsid w:val="00C25252"/>
    <w:rsid w:val="00C271F1"/>
    <w:rsid w:val="00C50E4E"/>
    <w:rsid w:val="00C521D0"/>
    <w:rsid w:val="00C93160"/>
    <w:rsid w:val="00C97B60"/>
    <w:rsid w:val="00CC245E"/>
    <w:rsid w:val="00CE0BD6"/>
    <w:rsid w:val="00D007C7"/>
    <w:rsid w:val="00D116AF"/>
    <w:rsid w:val="00D16E48"/>
    <w:rsid w:val="00D1790A"/>
    <w:rsid w:val="00D23DE6"/>
    <w:rsid w:val="00D4099D"/>
    <w:rsid w:val="00D51598"/>
    <w:rsid w:val="00D56872"/>
    <w:rsid w:val="00D869D4"/>
    <w:rsid w:val="00D90AB0"/>
    <w:rsid w:val="00DA024D"/>
    <w:rsid w:val="00DC2E93"/>
    <w:rsid w:val="00DF468F"/>
    <w:rsid w:val="00DF4A37"/>
    <w:rsid w:val="00DF6D89"/>
    <w:rsid w:val="00E023F5"/>
    <w:rsid w:val="00E17FA0"/>
    <w:rsid w:val="00E42489"/>
    <w:rsid w:val="00E455EA"/>
    <w:rsid w:val="00E641CA"/>
    <w:rsid w:val="00E8061D"/>
    <w:rsid w:val="00E96CA1"/>
    <w:rsid w:val="00EA1F7D"/>
    <w:rsid w:val="00EA5D5F"/>
    <w:rsid w:val="00F16E04"/>
    <w:rsid w:val="00F71B21"/>
    <w:rsid w:val="00F94903"/>
    <w:rsid w:val="00FA3230"/>
    <w:rsid w:val="00FC7DEA"/>
    <w:rsid w:val="00FD376C"/>
    <w:rsid w:val="00FD4DC2"/>
    <w:rsid w:val="04B84180"/>
    <w:rsid w:val="06FE7F20"/>
    <w:rsid w:val="0A4E5C18"/>
    <w:rsid w:val="0CF87658"/>
    <w:rsid w:val="0EAB79E4"/>
    <w:rsid w:val="109D387C"/>
    <w:rsid w:val="186B418A"/>
    <w:rsid w:val="19C309CE"/>
    <w:rsid w:val="1BC42BF5"/>
    <w:rsid w:val="1FC200D6"/>
    <w:rsid w:val="22F4572A"/>
    <w:rsid w:val="23B62426"/>
    <w:rsid w:val="23DD0F38"/>
    <w:rsid w:val="27D002BF"/>
    <w:rsid w:val="29286B3A"/>
    <w:rsid w:val="2A7B1569"/>
    <w:rsid w:val="2B503D9E"/>
    <w:rsid w:val="2CE34922"/>
    <w:rsid w:val="2CE4734B"/>
    <w:rsid w:val="33AE37BC"/>
    <w:rsid w:val="36010FB1"/>
    <w:rsid w:val="38E42265"/>
    <w:rsid w:val="3C727B51"/>
    <w:rsid w:val="3F1B26B5"/>
    <w:rsid w:val="3FEB1913"/>
    <w:rsid w:val="40EE2241"/>
    <w:rsid w:val="449561F9"/>
    <w:rsid w:val="449B3C21"/>
    <w:rsid w:val="45F26090"/>
    <w:rsid w:val="47876C1E"/>
    <w:rsid w:val="49207A1A"/>
    <w:rsid w:val="4B9E0BD7"/>
    <w:rsid w:val="4C9C4A06"/>
    <w:rsid w:val="51480EEC"/>
    <w:rsid w:val="52A35D78"/>
    <w:rsid w:val="56170651"/>
    <w:rsid w:val="589F3F7B"/>
    <w:rsid w:val="5EB0330B"/>
    <w:rsid w:val="619F2CC8"/>
    <w:rsid w:val="61FD605B"/>
    <w:rsid w:val="62DF7914"/>
    <w:rsid w:val="6452582A"/>
    <w:rsid w:val="6454375E"/>
    <w:rsid w:val="64B96F5B"/>
    <w:rsid w:val="65CA6FE7"/>
    <w:rsid w:val="696B2B35"/>
    <w:rsid w:val="6B857C4B"/>
    <w:rsid w:val="6F2F74F9"/>
    <w:rsid w:val="6F7F0470"/>
    <w:rsid w:val="6FDE36A2"/>
    <w:rsid w:val="702D6BF8"/>
    <w:rsid w:val="752A73C7"/>
    <w:rsid w:val="78F70D83"/>
    <w:rsid w:val="79306B9A"/>
    <w:rsid w:val="7B0437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1"/>
    <w:pPr>
      <w:spacing w:before="39"/>
      <w:ind w:left="760"/>
      <w:outlineLvl w:val="0"/>
    </w:pPr>
    <w:rPr>
      <w:rFonts w:ascii="仿宋" w:hAnsi="仿宋" w:eastAsia="仿宋" w:cs="仿宋"/>
      <w:b/>
      <w:bCs/>
      <w:sz w:val="30"/>
      <w:szCs w:val="30"/>
      <w:lang w:val="en-US" w:eastAsia="zh-CN" w:bidi="ar-SA"/>
    </w:rPr>
  </w:style>
  <w:style w:type="character" w:default="1" w:styleId="11">
    <w:name w:val="Default Paragraph Font"/>
    <w:unhideWhenUsed/>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rPr>
      <w:rFonts w:eastAsia="宋体"/>
    </w:rPr>
  </w:style>
  <w:style w:type="paragraph" w:styleId="4">
    <w:name w:val="Body Text"/>
    <w:basedOn w:val="1"/>
    <w:qFormat/>
    <w:uiPriority w:val="1"/>
    <w:pPr>
      <w:spacing w:before="240"/>
      <w:ind w:left="160"/>
    </w:pPr>
    <w:rPr>
      <w:rFonts w:ascii="仿宋" w:hAnsi="仿宋" w:eastAsia="仿宋" w:cs="仿宋"/>
      <w:sz w:val="30"/>
      <w:szCs w:val="30"/>
      <w:lang w:val="en-US" w:eastAsia="zh-CN" w:bidi="ar-SA"/>
    </w:rPr>
  </w:style>
  <w:style w:type="paragraph" w:styleId="5">
    <w:name w:val="Balloon Text"/>
    <w:basedOn w:val="1"/>
    <w:link w:val="15"/>
    <w:uiPriority w:val="99"/>
    <w:rPr>
      <w:sz w:val="18"/>
      <w:szCs w:val="18"/>
    </w:rPr>
  </w:style>
  <w:style w:type="paragraph" w:styleId="6">
    <w:name w:val="footer"/>
    <w:basedOn w:val="1"/>
    <w:link w:val="16"/>
    <w:uiPriority w:val="99"/>
    <w:pPr>
      <w:tabs>
        <w:tab w:val="center" w:pos="4153"/>
        <w:tab w:val="right" w:pos="8306"/>
      </w:tabs>
      <w:snapToGrid w:val="0"/>
      <w:jc w:val="left"/>
    </w:pPr>
    <w:rPr>
      <w:sz w:val="18"/>
      <w:szCs w:val="18"/>
    </w:rPr>
  </w:style>
  <w:style w:type="paragraph" w:styleId="7">
    <w:name w:val="header"/>
    <w:basedOn w:val="1"/>
    <w:link w:val="17"/>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qFormat/>
    <w:uiPriority w:val="0"/>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character" w:styleId="12">
    <w:name w:val="Strong"/>
    <w:qFormat/>
    <w:uiPriority w:val="0"/>
    <w:rPr>
      <w:b/>
    </w:rPr>
  </w:style>
  <w:style w:type="character" w:styleId="13">
    <w:name w:val="FollowedHyperlink"/>
    <w:basedOn w:val="11"/>
    <w:uiPriority w:val="99"/>
    <w:rPr>
      <w:rFonts w:cs="Times New Roman"/>
      <w:color w:val="800080"/>
      <w:u w:val="single"/>
    </w:rPr>
  </w:style>
  <w:style w:type="character" w:styleId="14">
    <w:name w:val="Hyperlink"/>
    <w:basedOn w:val="11"/>
    <w:uiPriority w:val="99"/>
    <w:rPr>
      <w:rFonts w:cs="Times New Roman"/>
      <w:color w:val="0000FF"/>
      <w:u w:val="single"/>
    </w:rPr>
  </w:style>
  <w:style w:type="character" w:customStyle="1" w:styleId="15">
    <w:name w:val="批注框文本 Char"/>
    <w:basedOn w:val="11"/>
    <w:link w:val="5"/>
    <w:locked/>
    <w:uiPriority w:val="99"/>
    <w:rPr>
      <w:rFonts w:cs="Times New Roman"/>
      <w:kern w:val="2"/>
      <w:sz w:val="18"/>
      <w:szCs w:val="18"/>
    </w:rPr>
  </w:style>
  <w:style w:type="character" w:customStyle="1" w:styleId="16">
    <w:name w:val="页脚 Char"/>
    <w:basedOn w:val="11"/>
    <w:link w:val="6"/>
    <w:locked/>
    <w:uiPriority w:val="99"/>
    <w:rPr>
      <w:rFonts w:cs="Times New Roman"/>
      <w:kern w:val="2"/>
      <w:sz w:val="18"/>
      <w:szCs w:val="18"/>
    </w:rPr>
  </w:style>
  <w:style w:type="character" w:customStyle="1" w:styleId="17">
    <w:name w:val="页眉 Char"/>
    <w:basedOn w:val="11"/>
    <w:link w:val="7"/>
    <w:locked/>
    <w:uiPriority w:val="99"/>
    <w:rPr>
      <w:rFonts w:cs="Times New Roman"/>
      <w:kern w:val="2"/>
      <w:sz w:val="18"/>
      <w:szCs w:val="18"/>
    </w:rPr>
  </w:style>
  <w:style w:type="paragraph" w:styleId="18">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5390</Words>
  <Characters>5648</Characters>
  <Lines>40</Lines>
  <Paragraphs>11</Paragraphs>
  <TotalTime>0</TotalTime>
  <ScaleCrop>false</ScaleCrop>
  <LinksUpToDate>false</LinksUpToDate>
  <CharactersWithSpaces>5677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2020-07-18T04:10:00Z</dcterms:created>
  <dc:creator>Lenovo User</dc:creator>
  <cp:lastModifiedBy>MR</cp:lastModifiedBy>
  <cp:lastPrinted>2022-07-27T01:41:11Z</cp:lastPrinted>
  <dcterms:modified xsi:type="dcterms:W3CDTF">2025-08-28T00:37:53Z</dcterms:modified>
  <dc:title>2016年度道县全民健身服务中心部门整体支出绩效评价报告</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398E0EAEF31746F6BDAB7F2BAC25953E</vt:lpwstr>
  </property>
  <property fmtid="{D5CDD505-2E9C-101B-9397-08002B2CF9AE}" pid="4" name="KSOTemplateDocerSaveRecord">
    <vt:lpwstr>eyJoZGlkIjoiZWNmN2MyOGQ3ZTkxY2EwNjNiZjQzNDg4ZDE4Nzk3ODYiLCJ1c2VySWQiOiIxNDAxNTU0MzAzIn0=</vt:lpwstr>
  </property>
</Properties>
</file>