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8"/>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HLwJlDWAAAACgEAAA8AAAAAAAAAAQAgAAAAIgAAAGRycy9kb3du&#10;cmV2LnhtbFBLAQIUABQAAAAIAIdO4kBDKpePOgIAAEwEAAAOAAAAAAAAAAEAIAAAACUBAABkcnMv&#10;ZTJvRG9jLnhtbFBLBQYAAAAABgAGAFkBAADRBQAAAAA=&#10;">
                <v:fill on="t" focussize="0,0"/>
                <v:stroke on="f" weight="0.5pt"/>
                <v:imagedata o:title=""/>
                <o:lock v:ext="edit" aspectratio="f"/>
                <v:textbox>
                  <w:txbxContent>
                    <w:p>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pPr>
        <w:pStyle w:val="18"/>
        <w:jc w:val="center"/>
        <w:rPr>
          <w:sz w:val="56"/>
          <w:szCs w:val="56"/>
        </w:rPr>
      </w:pPr>
    </w:p>
    <w:p>
      <w:pPr>
        <w:pStyle w:val="18"/>
        <w:jc w:val="center"/>
        <w:rPr>
          <w:sz w:val="84"/>
          <w:szCs w:val="84"/>
        </w:rPr>
      </w:pPr>
    </w:p>
    <w:p>
      <w:pPr>
        <w:pStyle w:val="18"/>
        <w:jc w:val="center"/>
        <w:rPr>
          <w:sz w:val="84"/>
          <w:szCs w:val="84"/>
        </w:rPr>
      </w:pPr>
    </w:p>
    <w:p>
      <w:pPr>
        <w:pStyle w:val="18"/>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2024</w:t>
      </w:r>
      <w:r>
        <w:rPr>
          <w:rFonts w:hint="eastAsia" w:ascii="方正小标宋_GBK" w:hAnsi="方正小标宋_GBK" w:eastAsia="方正小标宋_GBK" w:cs="方正小标宋_GBK"/>
          <w:sz w:val="84"/>
          <w:szCs w:val="84"/>
        </w:rPr>
        <w:t>年度</w:t>
      </w:r>
    </w:p>
    <w:p>
      <w:pPr>
        <w:pStyle w:val="18"/>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道县县委宣传部</w:t>
      </w:r>
      <w:r>
        <w:rPr>
          <w:rFonts w:hint="eastAsia" w:ascii="方正小标宋_GBK" w:hAnsi="方正小标宋_GBK" w:eastAsia="方正小标宋_GBK" w:cs="方正小标宋_GBK"/>
          <w:sz w:val="84"/>
          <w:szCs w:val="84"/>
        </w:rPr>
        <w:t>部门决算</w:t>
      </w:r>
    </w:p>
    <w:p>
      <w:pPr>
        <w:pStyle w:val="18"/>
        <w:jc w:val="center"/>
        <w:rPr>
          <w:rFonts w:hint="eastAsia" w:ascii="方正小标宋_GBK" w:hAnsi="方正小标宋_GBK" w:eastAsia="方正小标宋_GBK" w:cs="方正小标宋_GBK"/>
          <w:sz w:val="56"/>
          <w:szCs w:val="56"/>
        </w:rPr>
      </w:pPr>
    </w:p>
    <w:p>
      <w:pPr>
        <w:pStyle w:val="18"/>
        <w:jc w:val="center"/>
        <w:rPr>
          <w:sz w:val="56"/>
          <w:szCs w:val="56"/>
        </w:rPr>
      </w:pPr>
    </w:p>
    <w:p>
      <w:pPr>
        <w:pStyle w:val="18"/>
        <w:jc w:val="center"/>
        <w:rPr>
          <w:sz w:val="56"/>
          <w:szCs w:val="56"/>
        </w:rPr>
      </w:pPr>
    </w:p>
    <w:p>
      <w:pPr>
        <w:pStyle w:val="18"/>
        <w:jc w:val="center"/>
        <w:rPr>
          <w:sz w:val="56"/>
          <w:szCs w:val="56"/>
        </w:rPr>
      </w:pPr>
    </w:p>
    <w:p>
      <w:pPr>
        <w:pStyle w:val="18"/>
        <w:jc w:val="center"/>
        <w:rPr>
          <w:sz w:val="32"/>
          <w:szCs w:val="32"/>
        </w:rPr>
      </w:pPr>
    </w:p>
    <w:p>
      <w:pPr>
        <w:pStyle w:val="18"/>
        <w:jc w:val="center"/>
        <w:rPr>
          <w:sz w:val="32"/>
          <w:szCs w:val="32"/>
        </w:rPr>
      </w:pPr>
    </w:p>
    <w:p>
      <w:pPr>
        <w:pStyle w:val="18"/>
        <w:jc w:val="center"/>
        <w:rPr>
          <w:sz w:val="32"/>
          <w:szCs w:val="32"/>
        </w:rPr>
      </w:pPr>
    </w:p>
    <w:p>
      <w:pPr>
        <w:pStyle w:val="18"/>
        <w:jc w:val="center"/>
        <w:rPr>
          <w:sz w:val="32"/>
          <w:szCs w:val="32"/>
        </w:rPr>
      </w:pPr>
    </w:p>
    <w:p>
      <w:pPr>
        <w:pStyle w:val="18"/>
        <w:jc w:val="center"/>
        <w:rPr>
          <w:sz w:val="32"/>
          <w:szCs w:val="32"/>
        </w:rPr>
      </w:pPr>
    </w:p>
    <w:p>
      <w:pPr>
        <w:pStyle w:val="18"/>
        <w:spacing w:line="540" w:lineRule="exact"/>
        <w:jc w:val="center"/>
        <w:rPr>
          <w:sz w:val="56"/>
          <w:szCs w:val="56"/>
        </w:rPr>
      </w:pPr>
    </w:p>
    <w:p>
      <w:pPr>
        <w:pStyle w:val="18"/>
        <w:spacing w:line="500" w:lineRule="exact"/>
        <w:jc w:val="both"/>
        <w:rPr>
          <w:b/>
          <w:sz w:val="36"/>
          <w:szCs w:val="28"/>
        </w:rPr>
      </w:pPr>
    </w:p>
    <w:p>
      <w:pPr>
        <w:pStyle w:val="18"/>
        <w:spacing w:line="500" w:lineRule="exact"/>
        <w:jc w:val="center"/>
        <w:rPr>
          <w:b/>
          <w:sz w:val="36"/>
          <w:szCs w:val="28"/>
        </w:rPr>
      </w:pPr>
      <w:r>
        <w:rPr>
          <w:rFonts w:hint="eastAsia"/>
          <w:b/>
          <w:sz w:val="36"/>
          <w:szCs w:val="28"/>
        </w:rPr>
        <w:t>目录</w:t>
      </w:r>
    </w:p>
    <w:p>
      <w:pPr>
        <w:pStyle w:val="18"/>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val="en-US" w:eastAsia="zh-CN"/>
        </w:rPr>
        <w:t>道县县委宣传部</w:t>
      </w:r>
      <w:r>
        <w:rPr>
          <w:rFonts w:hint="eastAsia" w:ascii="黑体" w:hAnsi="黑体" w:eastAsia="黑体" w:cs="黑体"/>
          <w:b w:val="0"/>
          <w:bCs/>
          <w:sz w:val="28"/>
          <w:szCs w:val="28"/>
        </w:rPr>
        <w:t>概况</w:t>
      </w:r>
    </w:p>
    <w:p>
      <w:pPr>
        <w:pStyle w:val="18"/>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pPr>
        <w:pStyle w:val="18"/>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pPr>
        <w:pStyle w:val="18"/>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pPr>
        <w:pStyle w:val="18"/>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pPr>
        <w:pStyle w:val="18"/>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pPr>
        <w:pStyle w:val="18"/>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pPr>
        <w:pStyle w:val="18"/>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pPr>
        <w:pStyle w:val="18"/>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pPr>
        <w:pStyle w:val="18"/>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pPr>
        <w:pStyle w:val="18"/>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pPr>
        <w:pStyle w:val="18"/>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pPr>
        <w:pStyle w:val="18"/>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pPr>
        <w:pStyle w:val="18"/>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pPr>
        <w:pStyle w:val="18"/>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pPr>
        <w:pStyle w:val="18"/>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pPr>
        <w:pStyle w:val="18"/>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2024</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pPr>
        <w:pStyle w:val="18"/>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pPr>
        <w:pStyle w:val="18"/>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pPr>
        <w:pStyle w:val="18"/>
        <w:spacing w:line="500" w:lineRule="exact"/>
        <w:rPr>
          <w:rFonts w:hint="eastAsia" w:ascii="黑体" w:hAnsi="黑体" w:eastAsia="黑体" w:cs="黑体"/>
          <w:b w:val="0"/>
          <w:bCs/>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rPr>
          <w:rFonts w:hint="eastAsia" w:ascii="方正小标宋_GBK" w:hAnsi="方正小标宋_GBK" w:eastAsia="方正小标宋_GBK" w:cs="方正小标宋_GBK"/>
          <w:sz w:val="72"/>
          <w:szCs w:val="72"/>
        </w:rPr>
      </w:pPr>
    </w:p>
    <w:p>
      <w:pPr>
        <w:pStyle w:val="18"/>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pPr>
        <w:pStyle w:val="18"/>
        <w:jc w:val="center"/>
        <w:rPr>
          <w:rFonts w:hint="eastAsia" w:ascii="方正小标宋_GBK" w:hAnsi="方正小标宋_GBK" w:eastAsia="方正小标宋_GBK" w:cs="方正小标宋_GBK"/>
          <w:sz w:val="84"/>
          <w:szCs w:val="84"/>
        </w:rPr>
      </w:pPr>
    </w:p>
    <w:p>
      <w:pPr>
        <w:pStyle w:val="18"/>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道县县委宣传部</w:t>
      </w:r>
      <w:r>
        <w:rPr>
          <w:rFonts w:hint="eastAsia" w:ascii="方正小标宋_GBK" w:hAnsi="方正小标宋_GBK" w:eastAsia="方正小标宋_GBK" w:cs="方正小标宋_GBK"/>
          <w:sz w:val="84"/>
          <w:szCs w:val="84"/>
        </w:rPr>
        <w:t>概况</w:t>
      </w:r>
    </w:p>
    <w:p>
      <w:pPr>
        <w:jc w:val="center"/>
        <w:rPr>
          <w:rFonts w:hint="eastAsia" w:ascii="方正小标宋_GBK" w:hAnsi="方正小标宋_GBK" w:eastAsia="方正小标宋_GBK" w:cs="方正小标宋_GBK"/>
          <w:sz w:val="72"/>
          <w:szCs w:val="72"/>
        </w:rPr>
      </w:pPr>
    </w:p>
    <w:p>
      <w:pPr>
        <w:jc w:val="center"/>
        <w:rPr>
          <w:rFonts w:hint="eastAsia" w:ascii="方正小标宋_GBK" w:hAnsi="方正小标宋_GBK" w:eastAsia="方正小标宋_GBK" w:cs="方正小标宋_GBK"/>
          <w:sz w:val="72"/>
          <w:szCs w:val="72"/>
        </w:rPr>
      </w:pPr>
    </w:p>
    <w:p>
      <w:pPr>
        <w:jc w:val="center"/>
        <w:rPr>
          <w:sz w:val="72"/>
          <w:szCs w:val="72"/>
        </w:rPr>
      </w:pPr>
    </w:p>
    <w:p>
      <w:pPr>
        <w:jc w:val="center"/>
        <w:rPr>
          <w:sz w:val="72"/>
          <w:szCs w:val="72"/>
        </w:rPr>
      </w:pPr>
    </w:p>
    <w:p>
      <w:pPr>
        <w:jc w:val="center"/>
        <w:rPr>
          <w:sz w:val="72"/>
          <w:szCs w:val="72"/>
        </w:rPr>
      </w:pPr>
    </w:p>
    <w:p>
      <w:pPr>
        <w:pStyle w:val="19"/>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负责全县理论武装，对内、对外宣传，精神文明建设，社会舆论引导，文化事业发展，公民思想道德教育，网络宣传管理，</w:t>
      </w:r>
      <w:r>
        <w:rPr>
          <w:rFonts w:hint="eastAsia" w:ascii="仿宋_GB2312" w:hAnsi="仿宋_GB2312" w:eastAsia="仿宋_GB2312" w:cs="仿宋_GB2312"/>
          <w:sz w:val="32"/>
          <w:szCs w:val="32"/>
          <w:lang w:val="en-US" w:eastAsia="zh-CN"/>
        </w:rPr>
        <w:t>新闻出版、扫黄打非、</w:t>
      </w:r>
      <w:r>
        <w:rPr>
          <w:rFonts w:hint="eastAsia" w:ascii="仿宋_GB2312" w:hAnsi="仿宋_GB2312" w:eastAsia="仿宋_GB2312" w:cs="仿宋_GB2312"/>
          <w:sz w:val="32"/>
          <w:szCs w:val="32"/>
        </w:rPr>
        <w:t>政工干部职评及有关宣传干部管理工作。</w:t>
      </w:r>
    </w:p>
    <w:p>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（一）内设机构设置。</w:t>
      </w:r>
      <w:r>
        <w:rPr>
          <w:rFonts w:hint="eastAsia" w:ascii="仿宋_GB2312" w:hAnsi="仿宋_GB2312" w:eastAsia="仿宋_GB2312" w:cs="仿宋_GB2312"/>
          <w:sz w:val="32"/>
          <w:szCs w:val="32"/>
          <w:lang w:val="en-US" w:eastAsia="zh-CN"/>
        </w:rPr>
        <w:t>本</w:t>
      </w:r>
      <w:r>
        <w:rPr>
          <w:rFonts w:hint="eastAsia" w:ascii="仿宋_GB2312" w:hAnsi="仿宋_GB2312" w:eastAsia="仿宋_GB2312" w:cs="仿宋_GB2312"/>
          <w:sz w:val="32"/>
          <w:szCs w:val="32"/>
        </w:rPr>
        <w:t>单位内设机构包括：办公室、理论室（理论宣讲室）、意识形态工作室、新闻室、精神文明创建指导室、对外推广与新闻发布室、宣传教育室、文艺室、新闻出版与版权室（行政审批室）。</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（二）决算单位构成。</w:t>
      </w:r>
      <w:r>
        <w:rPr>
          <w:rFonts w:hint="eastAsia" w:ascii="仿宋_GB2312" w:hAnsi="仿宋_GB2312" w:eastAsia="仿宋_GB2312" w:cs="仿宋_GB2312"/>
          <w:sz w:val="32"/>
          <w:szCs w:val="32"/>
          <w:lang w:val="en-US" w:eastAsia="zh-CN"/>
        </w:rPr>
        <w:t>道县县委宣传部</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年部门决算汇总公开单位构成包括：</w:t>
      </w:r>
      <w:r>
        <w:rPr>
          <w:rFonts w:hint="eastAsia" w:ascii="仿宋_GB2312" w:hAnsi="仿宋_GB2312" w:eastAsia="仿宋_GB2312" w:cs="仿宋_GB2312"/>
          <w:sz w:val="32"/>
          <w:szCs w:val="32"/>
          <w:lang w:val="en-US" w:eastAsia="zh-CN"/>
        </w:rPr>
        <w:t>道县县委宣传部</w:t>
      </w:r>
      <w:r>
        <w:rPr>
          <w:rFonts w:hint="eastAsia" w:ascii="仿宋_GB2312" w:hAnsi="仿宋_GB2312" w:eastAsia="仿宋_GB2312" w:cs="仿宋_GB2312"/>
          <w:sz w:val="32"/>
          <w:szCs w:val="32"/>
        </w:rPr>
        <w:t>本级</w:t>
      </w:r>
      <w:r>
        <w:rPr>
          <w:rFonts w:hint="eastAsia" w:ascii="仿宋_GB2312" w:hAnsi="仿宋_GB2312" w:eastAsia="仿宋_GB2312" w:cs="仿宋_GB2312"/>
          <w:sz w:val="32"/>
          <w:szCs w:val="32"/>
          <w:lang w:eastAsia="zh-CN"/>
        </w:rPr>
        <w:t>。</w:t>
      </w:r>
    </w:p>
    <w:p>
      <w:pPr>
        <w:adjustRightInd w:val="0"/>
        <w:snapToGrid w:val="0"/>
        <w:spacing w:line="600" w:lineRule="exact"/>
        <w:ind w:firstLine="640" w:firstLineChars="200"/>
        <w:rPr>
          <w:rFonts w:hint="eastAsia" w:ascii="仿宋_GB2312" w:hAnsi="仿宋_GB2312" w:eastAsia="仿宋_GB2312" w:cs="仿宋_GB2312"/>
          <w:sz w:val="32"/>
          <w:szCs w:val="32"/>
        </w:rPr>
      </w:pPr>
    </w:p>
    <w:p>
      <w:pPr>
        <w:adjustRightInd w:val="0"/>
        <w:snapToGrid w:val="0"/>
        <w:spacing w:line="600" w:lineRule="exact"/>
        <w:ind w:firstLine="640" w:firstLineChars="200"/>
        <w:rPr>
          <w:rFonts w:hint="eastAsia" w:ascii="仿宋_GB2312" w:hAnsi="仿宋_GB2312" w:eastAsia="仿宋_GB2312" w:cs="仿宋_GB2312"/>
          <w:sz w:val="32"/>
          <w:szCs w:val="32"/>
        </w:rPr>
      </w:pPr>
    </w:p>
    <w:p>
      <w:pPr>
        <w:adjustRightInd w:val="0"/>
        <w:snapToGrid w:val="0"/>
        <w:spacing w:line="600" w:lineRule="exact"/>
        <w:ind w:firstLine="640" w:firstLineChars="200"/>
        <w:rPr>
          <w:rFonts w:hint="eastAsia" w:ascii="仿宋_GB2312" w:hAnsi="仿宋_GB2312" w:eastAsia="仿宋_GB2312" w:cs="仿宋_GB2312"/>
          <w:sz w:val="32"/>
          <w:szCs w:val="32"/>
        </w:rPr>
      </w:pPr>
    </w:p>
    <w:p>
      <w:pPr>
        <w:adjustRightInd w:val="0"/>
        <w:snapToGrid w:val="0"/>
        <w:spacing w:line="600" w:lineRule="exact"/>
        <w:ind w:firstLine="640" w:firstLineChars="200"/>
        <w:rPr>
          <w:rFonts w:hint="eastAsia" w:ascii="仿宋_GB2312" w:hAnsi="仿宋_GB2312" w:eastAsia="仿宋_GB2312" w:cs="仿宋_GB2312"/>
          <w:sz w:val="32"/>
          <w:szCs w:val="32"/>
        </w:rPr>
      </w:pPr>
    </w:p>
    <w:p>
      <w:pPr>
        <w:adjustRightInd w:val="0"/>
        <w:snapToGrid w:val="0"/>
        <w:spacing w:line="600" w:lineRule="exact"/>
        <w:ind w:firstLine="640" w:firstLineChars="200"/>
        <w:rPr>
          <w:rFonts w:hint="eastAsia" w:ascii="仿宋_GB2312" w:hAnsi="仿宋_GB2312" w:eastAsia="仿宋_GB2312" w:cs="仿宋_GB2312"/>
          <w:sz w:val="32"/>
          <w:szCs w:val="32"/>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rFonts w:ascii="黑体" w:hAnsi="黑体" w:eastAsia="黑体"/>
          <w:sz w:val="28"/>
          <w:szCs w:val="28"/>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18"/>
        <w:jc w:val="center"/>
        <w:rPr>
          <w:rFonts w:hint="eastAsia" w:ascii="方正小标宋_GBK" w:hAnsi="方正小标宋_GBK" w:eastAsia="方正小标宋_GBK" w:cs="方正小标宋_GBK"/>
          <w:sz w:val="84"/>
          <w:szCs w:val="84"/>
        </w:rPr>
      </w:pPr>
    </w:p>
    <w:p>
      <w:pPr>
        <w:pStyle w:val="18"/>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pPr>
        <w:pStyle w:val="18"/>
        <w:jc w:val="center"/>
        <w:rPr>
          <w:rFonts w:hint="eastAsia" w:ascii="方正小标宋_GBK" w:hAnsi="方正小标宋_GBK" w:eastAsia="方正小标宋_GBK" w:cs="方正小标宋_GBK"/>
          <w:sz w:val="84"/>
          <w:szCs w:val="84"/>
        </w:rPr>
      </w:pPr>
    </w:p>
    <w:p>
      <w:pPr>
        <w:pStyle w:val="18"/>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both"/>
        <w:rPr>
          <w:sz w:val="72"/>
          <w:szCs w:val="72"/>
        </w:rPr>
      </w:pPr>
    </w:p>
    <w:p>
      <w:pPr>
        <w:jc w:val="left"/>
        <w:rPr>
          <w:sz w:val="32"/>
          <w:szCs w:val="32"/>
        </w:rPr>
      </w:pPr>
    </w:p>
    <w:p>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3"/>
        <w:tblW w:w="15428" w:type="dxa"/>
        <w:tblInd w:w="0" w:type="dxa"/>
        <w:tblLayout w:type="fixed"/>
        <w:tblCellMar>
          <w:top w:w="0" w:type="dxa"/>
          <w:left w:w="0" w:type="dxa"/>
          <w:bottom w:w="0" w:type="dxa"/>
          <w:right w:w="0" w:type="dxa"/>
        </w:tblCellMar>
      </w:tblPr>
      <w:tblGrid>
        <w:gridCol w:w="297"/>
        <w:gridCol w:w="297"/>
        <w:gridCol w:w="1474"/>
        <w:gridCol w:w="1801"/>
        <w:gridCol w:w="1801"/>
        <w:gridCol w:w="1801"/>
        <w:gridCol w:w="1801"/>
        <w:gridCol w:w="1801"/>
        <w:gridCol w:w="1801"/>
        <w:gridCol w:w="2554"/>
      </w:tblGrid>
      <w:tr>
        <w:tblPrEx>
          <w:tblLayout w:type="fixed"/>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tbl>
            <w:tblPr>
              <w:tblStyle w:val="13"/>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42"/>
              <w:gridCol w:w="603"/>
              <w:gridCol w:w="1399"/>
              <w:gridCol w:w="5033"/>
              <w:gridCol w:w="1165"/>
              <w:gridCol w:w="456"/>
              <w:gridCol w:w="537"/>
              <w:gridCol w:w="176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auto"/>
                  <w:vAlign w:val="center"/>
                </w:tcPr>
                <w:p>
                  <w:pPr>
                    <w:jc w:val="left"/>
                    <w:rPr>
                      <w:rFonts w:hint="eastAsia" w:ascii="黑体" w:hAnsi="宋体" w:eastAsia="黑体" w:cs="黑体"/>
                      <w:i w:val="0"/>
                      <w:color w:val="000000"/>
                      <w:sz w:val="24"/>
                      <w:szCs w:val="24"/>
                      <w:u w:val="none"/>
                    </w:rPr>
                  </w:pPr>
                </w:p>
              </w:tc>
              <w:tc>
                <w:tcPr>
                  <w:tcW w:w="603" w:type="dxa"/>
                  <w:tcBorders>
                    <w:top w:val="nil"/>
                    <w:left w:val="nil"/>
                    <w:bottom w:val="nil"/>
                    <w:right w:val="nil"/>
                  </w:tcBorders>
                  <w:shd w:val="clear" w:color="auto" w:fill="auto"/>
                  <w:vAlign w:val="center"/>
                </w:tcPr>
                <w:p>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auto"/>
                  <w:vAlign w:val="center"/>
                </w:tcPr>
                <w:p>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auto"/>
                  <w:vAlign w:val="center"/>
                </w:tcPr>
                <w:p>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auto"/>
                  <w:vAlign w:val="center"/>
                </w:tcPr>
                <w:p>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auto"/>
                  <w:vAlign w:val="center"/>
                </w:tcPr>
                <w:p>
                  <w:pPr>
                    <w:jc w:val="right"/>
                    <w:rPr>
                      <w:rFonts w:hint="eastAsia" w:ascii="黑体" w:hAnsi="宋体" w:eastAsia="黑体" w:cs="黑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603"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603"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vAlign w:val="center"/>
                </w:tcPr>
                <w:p>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1763" w:type="dxa"/>
                <w:trHeight w:val="448" w:hRule="atLeast"/>
              </w:trPr>
              <w:tc>
                <w:tcPr>
                  <w:tcW w:w="644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7191"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1763" w:type="dxa"/>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1763"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4"/>
                      <w:szCs w:val="24"/>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hint="eastAsia" w:ascii="宋体" w:hAnsi="宋体" w:eastAsia="宋体" w:cs="宋体"/>
                      <w:i w:val="0"/>
                      <w:color w:val="000000"/>
                      <w:sz w:val="24"/>
                      <w:szCs w:val="24"/>
                      <w:u w:val="none"/>
                    </w:rPr>
                  </w:pP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1763"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1438.2</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1384.4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1763"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1763"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1763"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1763"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1763"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1763"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1F1F1"/>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2"/>
                      <w:szCs w:val="22"/>
                      <w:u w:val="none"/>
                      <w:lang w:val="en-US" w:eastAsia="zh-CN" w:bidi="ar"/>
                    </w:rPr>
                    <w:t>七、文化旅游体育与传媒支出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1763"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1F1F1"/>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八、社会保障和就业支出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38.4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1763"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0"/>
                      <w:szCs w:val="20"/>
                      <w:u w:val="none"/>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1F1F1"/>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2"/>
                      <w:szCs w:val="22"/>
                      <w:u w:val="none"/>
                      <w:lang w:val="en-US" w:eastAsia="zh-CN" w:bidi="ar"/>
                    </w:rPr>
                    <w:t>九、卫生健康支出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b/>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1763"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1438.2</w:t>
                  </w: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1438.2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1763"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1763" w:type="dxa"/>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1763"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1438.2</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9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b/>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1438.2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tblPrEx>
          <w:tblLayout w:type="fixed"/>
          <w:tblCellMar>
            <w:top w:w="0" w:type="dxa"/>
            <w:left w:w="0" w:type="dxa"/>
            <w:bottom w:w="0" w:type="dxa"/>
            <w:right w:w="0" w:type="dxa"/>
          </w:tblCellMar>
        </w:tblPrEx>
        <w:trPr>
          <w:trHeight w:val="285" w:hRule="atLeast"/>
        </w:trPr>
        <w:tc>
          <w:tcPr>
            <w:tcW w:w="297"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97"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474"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4"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公开02表</w:t>
            </w:r>
          </w:p>
        </w:tc>
      </w:tr>
      <w:tr>
        <w:tblPrEx>
          <w:tblLayout w:type="fixed"/>
          <w:tblCellMar>
            <w:top w:w="0" w:type="dxa"/>
            <w:left w:w="0" w:type="dxa"/>
            <w:bottom w:w="0" w:type="dxa"/>
            <w:right w:w="0" w:type="dxa"/>
          </w:tblCellMar>
        </w:tblPrEx>
        <w:trPr>
          <w:trHeight w:val="285" w:hRule="atLeast"/>
        </w:trPr>
        <w:tc>
          <w:tcPr>
            <w:tcW w:w="594" w:type="dxa"/>
            <w:gridSpan w:val="2"/>
            <w:tcBorders>
              <w:top w:val="nil"/>
              <w:left w:val="nil"/>
              <w:bottom w:val="nil"/>
              <w:right w:val="nil"/>
            </w:tcBorders>
            <w:shd w:val="clear" w:color="000000" w:fill="FFFFFF"/>
            <w:tcMar>
              <w:top w:w="15" w:type="dxa"/>
              <w:left w:w="15" w:type="dxa"/>
              <w:bottom w:w="0" w:type="dxa"/>
              <w:right w:w="15" w:type="dxa"/>
            </w:tcMar>
            <w:vAlign w:val="center"/>
          </w:tcPr>
          <w:p>
            <w:pPr>
              <w:rPr>
                <w:rFonts w:ascii="宋体" w:hAnsi="宋体" w:eastAsia="宋体" w:cs="宋体"/>
                <w:color w:val="000000"/>
                <w:sz w:val="20"/>
                <w:szCs w:val="20"/>
              </w:rPr>
            </w:pPr>
            <w:r>
              <w:rPr>
                <w:rFonts w:hint="eastAsia"/>
                <w:color w:val="000000"/>
                <w:sz w:val="20"/>
                <w:szCs w:val="20"/>
              </w:rPr>
              <w:t>部门：</w:t>
            </w:r>
          </w:p>
        </w:tc>
        <w:tc>
          <w:tcPr>
            <w:tcW w:w="1474"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pPr>
              <w:jc w:val="center"/>
              <w:rPr>
                <w:rFonts w:ascii="宋体" w:hAnsi="宋体" w:eastAsia="宋体" w:cs="宋体"/>
                <w:color w:val="000000"/>
                <w:sz w:val="20"/>
                <w:szCs w:val="20"/>
              </w:rPr>
            </w:pPr>
            <w:r>
              <w:rPr>
                <w:rFonts w:hint="eastAsia"/>
                <w:color w:val="000000"/>
                <w:sz w:val="20"/>
                <w:szCs w:val="20"/>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4" w:type="dxa"/>
            <w:tcBorders>
              <w:top w:val="nil"/>
              <w:left w:val="nil"/>
              <w:bottom w:val="nil"/>
              <w:right w:val="nil"/>
            </w:tcBorders>
            <w:shd w:val="clear" w:color="000000" w:fill="FFFFFF"/>
            <w:tcMar>
              <w:top w:w="15" w:type="dxa"/>
              <w:left w:w="15" w:type="dxa"/>
              <w:bottom w:w="0" w:type="dxa"/>
              <w:right w:w="15" w:type="dxa"/>
            </w:tcMar>
            <w:vAlign w:val="center"/>
          </w:tcPr>
          <w:p>
            <w:pPr>
              <w:jc w:val="right"/>
              <w:rPr>
                <w:rFonts w:ascii="宋体" w:hAnsi="宋体" w:eastAsia="宋体" w:cs="宋体"/>
                <w:color w:val="000000"/>
                <w:sz w:val="20"/>
                <w:szCs w:val="20"/>
              </w:rPr>
            </w:pPr>
            <w:r>
              <w:rPr>
                <w:rFonts w:hint="eastAsia"/>
                <w:color w:val="000000"/>
                <w:sz w:val="20"/>
                <w:szCs w:val="20"/>
              </w:rPr>
              <w:t>单位：万元</w:t>
            </w:r>
          </w:p>
        </w:tc>
      </w:tr>
      <w:tr>
        <w:tblPrEx>
          <w:tblLayout w:type="fixed"/>
          <w:tblCellMar>
            <w:top w:w="0" w:type="dxa"/>
            <w:left w:w="0" w:type="dxa"/>
            <w:bottom w:w="0" w:type="dxa"/>
            <w:right w:w="0" w:type="dxa"/>
          </w:tblCellMar>
        </w:tblPrEx>
        <w:trPr>
          <w:trHeight w:val="450" w:hRule="atLeast"/>
        </w:trPr>
        <w:tc>
          <w:tcPr>
            <w:tcW w:w="2068"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项    目</w:t>
            </w:r>
          </w:p>
        </w:tc>
        <w:tc>
          <w:tcPr>
            <w:tcW w:w="18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本年收入合计</w:t>
            </w:r>
          </w:p>
        </w:tc>
        <w:tc>
          <w:tcPr>
            <w:tcW w:w="180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财政拨款收入</w:t>
            </w:r>
          </w:p>
        </w:tc>
        <w:tc>
          <w:tcPr>
            <w:tcW w:w="18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上级补助收入</w:t>
            </w:r>
          </w:p>
        </w:tc>
        <w:tc>
          <w:tcPr>
            <w:tcW w:w="18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事业收入</w:t>
            </w:r>
          </w:p>
        </w:tc>
        <w:tc>
          <w:tcPr>
            <w:tcW w:w="18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经营收入</w:t>
            </w:r>
          </w:p>
        </w:tc>
        <w:tc>
          <w:tcPr>
            <w:tcW w:w="18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附属单位上缴收入</w:t>
            </w:r>
          </w:p>
        </w:tc>
        <w:tc>
          <w:tcPr>
            <w:tcW w:w="255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其他收入</w:t>
            </w:r>
          </w:p>
        </w:tc>
      </w:tr>
      <w:tr>
        <w:tblPrEx>
          <w:tblLayout w:type="fixed"/>
          <w:tblCellMar>
            <w:top w:w="0" w:type="dxa"/>
            <w:left w:w="0" w:type="dxa"/>
            <w:bottom w:w="0" w:type="dxa"/>
            <w:right w:w="0" w:type="dxa"/>
          </w:tblCellMar>
        </w:tblPrEx>
        <w:trPr>
          <w:trHeight w:val="450" w:hRule="atLeast"/>
        </w:trPr>
        <w:tc>
          <w:tcPr>
            <w:tcW w:w="59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功能分类科目编码</w:t>
            </w:r>
          </w:p>
        </w:tc>
        <w:tc>
          <w:tcPr>
            <w:tcW w:w="1474"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科目名称</w:t>
            </w:r>
          </w:p>
        </w:tc>
        <w:tc>
          <w:tcPr>
            <w:tcW w:w="180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5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Layout w:type="fixed"/>
          <w:tblCellMar>
            <w:top w:w="0" w:type="dxa"/>
            <w:left w:w="0" w:type="dxa"/>
            <w:bottom w:w="0" w:type="dxa"/>
            <w:right w:w="0" w:type="dxa"/>
          </w:tblCellMar>
        </w:tblPrEx>
        <w:trPr>
          <w:trHeight w:val="450" w:hRule="atLeast"/>
        </w:trPr>
        <w:tc>
          <w:tcPr>
            <w:tcW w:w="594"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474" w:type="dxa"/>
            <w:vMerge w:val="continue"/>
            <w:tcBorders>
              <w:top w:val="nil"/>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c>
          <w:tcPr>
            <w:tcW w:w="2554" w:type="dxa"/>
            <w:vMerge w:val="continue"/>
            <w:tcBorders>
              <w:top w:val="single" w:color="auto" w:sz="4" w:space="0"/>
              <w:left w:val="single" w:color="auto" w:sz="4" w:space="0"/>
              <w:bottom w:val="single" w:color="auto" w:sz="4" w:space="0"/>
              <w:right w:val="single" w:color="auto" w:sz="4" w:space="0"/>
            </w:tcBorders>
            <w:vAlign w:val="center"/>
          </w:tcPr>
          <w:p>
            <w:pPr>
              <w:rPr>
                <w:rFonts w:ascii="宋体" w:hAnsi="宋体" w:eastAsia="宋体" w:cs="宋体"/>
                <w:sz w:val="24"/>
                <w:szCs w:val="24"/>
              </w:rPr>
            </w:pPr>
          </w:p>
        </w:tc>
      </w:tr>
      <w:tr>
        <w:tblPrEx>
          <w:tblLayout w:type="fixed"/>
          <w:tblCellMar>
            <w:top w:w="0" w:type="dxa"/>
            <w:left w:w="0" w:type="dxa"/>
            <w:bottom w:w="0" w:type="dxa"/>
            <w:right w:w="0" w:type="dxa"/>
          </w:tblCellMar>
        </w:tblPrEx>
        <w:trPr>
          <w:trHeight w:val="450" w:hRule="atLeast"/>
        </w:trPr>
        <w:tc>
          <w:tcPr>
            <w:tcW w:w="2068"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栏次</w:t>
            </w:r>
          </w:p>
        </w:tc>
        <w:tc>
          <w:tcPr>
            <w:tcW w:w="180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1</w:t>
            </w:r>
          </w:p>
        </w:tc>
        <w:tc>
          <w:tcPr>
            <w:tcW w:w="180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2</w:t>
            </w:r>
          </w:p>
        </w:tc>
        <w:tc>
          <w:tcPr>
            <w:tcW w:w="180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3</w:t>
            </w:r>
          </w:p>
        </w:tc>
        <w:tc>
          <w:tcPr>
            <w:tcW w:w="180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4</w:t>
            </w:r>
          </w:p>
        </w:tc>
        <w:tc>
          <w:tcPr>
            <w:tcW w:w="180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5</w:t>
            </w:r>
          </w:p>
        </w:tc>
        <w:tc>
          <w:tcPr>
            <w:tcW w:w="180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6</w:t>
            </w:r>
          </w:p>
        </w:tc>
        <w:tc>
          <w:tcPr>
            <w:tcW w:w="255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7</w:t>
            </w:r>
          </w:p>
        </w:tc>
      </w:tr>
      <w:tr>
        <w:tblPrEx>
          <w:tblLayout w:type="fixed"/>
          <w:tblCellMar>
            <w:top w:w="0" w:type="dxa"/>
            <w:left w:w="0" w:type="dxa"/>
            <w:bottom w:w="0" w:type="dxa"/>
            <w:right w:w="0" w:type="dxa"/>
          </w:tblCellMar>
        </w:tblPrEx>
        <w:trPr>
          <w:trHeight w:val="450" w:hRule="atLeast"/>
        </w:trPr>
        <w:tc>
          <w:tcPr>
            <w:tcW w:w="2068"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宋体" w:hAnsi="宋体" w:eastAsia="宋体" w:cs="宋体"/>
                <w:sz w:val="24"/>
                <w:szCs w:val="24"/>
              </w:rPr>
            </w:pPr>
            <w:r>
              <w:rPr>
                <w:rFonts w:hint="eastAsia"/>
              </w:rPr>
              <w:t>合计</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1438.2</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tabs>
                <w:tab w:val="center" w:pos="885"/>
                <w:tab w:val="right" w:pos="2101"/>
              </w:tabs>
              <w:jc w:val="center"/>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1438.2</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Layout w:type="fixed"/>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2080506</w:t>
            </w:r>
          </w:p>
        </w:tc>
        <w:tc>
          <w:tcPr>
            <w:tcW w:w="1474" w:type="dxa"/>
            <w:tcBorders>
              <w:top w:val="nil"/>
              <w:left w:val="nil"/>
              <w:bottom w:val="single" w:color="auto" w:sz="4" w:space="0"/>
              <w:right w:val="single" w:color="auto" w:sz="4" w:space="0"/>
            </w:tcBorders>
            <w:shd w:val="clear" w:color="auto"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机关事业单位职业年金缴费支出</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default" w:ascii="宋体" w:hAnsi="宋体" w:eastAsia="宋体" w:cs="宋体"/>
                <w:sz w:val="24"/>
                <w:szCs w:val="24"/>
                <w:lang w:val="en-US"/>
              </w:rPr>
            </w:pPr>
            <w:r>
              <w:rPr>
                <w:rFonts w:hint="eastAsia"/>
                <w:lang w:val="en-US" w:eastAsia="zh-CN"/>
              </w:rPr>
              <w:t>5.5</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default"/>
                <w:lang w:val="en-US"/>
              </w:rPr>
            </w:pPr>
            <w:r>
              <w:rPr>
                <w:rFonts w:hint="eastAsia"/>
                <w:lang w:val="en-US" w:eastAsia="zh-CN"/>
              </w:rPr>
              <w:t>5.5</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Layout w:type="fixed"/>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2013301</w:t>
            </w:r>
          </w:p>
        </w:tc>
        <w:tc>
          <w:tcPr>
            <w:tcW w:w="1474" w:type="dxa"/>
            <w:tcBorders>
              <w:top w:val="nil"/>
              <w:left w:val="nil"/>
              <w:bottom w:val="single" w:color="auto" w:sz="4" w:space="0"/>
              <w:right w:val="single" w:color="auto" w:sz="4" w:space="0"/>
            </w:tcBorders>
            <w:shd w:val="clear" w:color="auto"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行政运行</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default" w:ascii="华文中宋" w:hAnsi="华文中宋" w:eastAsia="华文中宋" w:cs="宋体"/>
                <w:sz w:val="24"/>
                <w:szCs w:val="24"/>
                <w:lang w:val="en-US"/>
              </w:rPr>
            </w:pPr>
            <w:r>
              <w:rPr>
                <w:rFonts w:hint="eastAsia" w:ascii="华文中宋" w:hAnsi="华文中宋" w:eastAsia="华文中宋"/>
                <w:lang w:val="en-US" w:eastAsia="zh-CN"/>
              </w:rPr>
              <w:t>262.8</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default" w:ascii="宋体" w:hAnsi="宋体" w:eastAsia="宋体" w:cs="宋体"/>
                <w:sz w:val="24"/>
                <w:szCs w:val="24"/>
                <w:lang w:val="en-US"/>
              </w:rPr>
            </w:pPr>
            <w:r>
              <w:rPr>
                <w:rFonts w:hint="eastAsia" w:ascii="华文中宋" w:hAnsi="华文中宋" w:eastAsia="华文中宋"/>
                <w:lang w:val="en-US" w:eastAsia="zh-CN"/>
              </w:rPr>
              <w:t>262.8</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Layout w:type="fixed"/>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2013399</w:t>
            </w:r>
          </w:p>
        </w:tc>
        <w:tc>
          <w:tcPr>
            <w:tcW w:w="1474" w:type="dxa"/>
            <w:tcBorders>
              <w:top w:val="nil"/>
              <w:left w:val="nil"/>
              <w:bottom w:val="single" w:color="auto" w:sz="4" w:space="0"/>
              <w:right w:val="single" w:color="auto" w:sz="4" w:space="0"/>
            </w:tcBorders>
            <w:shd w:val="clear" w:color="auto"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其他宣传事务支出</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default" w:ascii="宋体" w:hAnsi="宋体" w:eastAsia="宋体" w:cs="宋体"/>
                <w:sz w:val="24"/>
                <w:szCs w:val="24"/>
                <w:lang w:val="en-US"/>
              </w:rPr>
            </w:pPr>
            <w:r>
              <w:rPr>
                <w:rFonts w:hint="eastAsia"/>
                <w:lang w:val="en-US" w:eastAsia="zh-CN"/>
              </w:rPr>
              <w:t>1121.5</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default" w:ascii="宋体" w:hAnsi="宋体" w:eastAsia="宋体" w:cs="宋体"/>
                <w:sz w:val="24"/>
                <w:szCs w:val="24"/>
                <w:lang w:val="en-US"/>
              </w:rPr>
            </w:pPr>
            <w:r>
              <w:rPr>
                <w:rFonts w:hint="eastAsia"/>
                <w:lang w:val="en-US" w:eastAsia="zh-CN"/>
              </w:rPr>
              <w:t>1121.5</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Layout w:type="fixed"/>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2101101</w:t>
            </w:r>
          </w:p>
        </w:tc>
        <w:tc>
          <w:tcPr>
            <w:tcW w:w="1474" w:type="dxa"/>
            <w:tcBorders>
              <w:top w:val="nil"/>
              <w:left w:val="nil"/>
              <w:bottom w:val="single" w:color="auto" w:sz="4" w:space="0"/>
              <w:right w:val="single" w:color="auto" w:sz="4" w:space="0"/>
            </w:tcBorders>
            <w:shd w:val="clear" w:color="auto"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行政单位医疗</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default" w:ascii="宋体" w:hAnsi="宋体" w:eastAsia="宋体" w:cs="宋体"/>
                <w:sz w:val="24"/>
                <w:szCs w:val="24"/>
                <w:lang w:val="en-US"/>
              </w:rPr>
            </w:pPr>
            <w:r>
              <w:rPr>
                <w:rFonts w:hint="eastAsia"/>
                <w:lang w:val="en-US" w:eastAsia="zh-CN"/>
              </w:rPr>
              <w:t>15.4</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default" w:ascii="宋体" w:hAnsi="宋体" w:eastAsia="宋体" w:cs="宋体"/>
                <w:sz w:val="24"/>
                <w:szCs w:val="24"/>
                <w:lang w:val="en-US"/>
              </w:rPr>
            </w:pPr>
            <w:r>
              <w:rPr>
                <w:rFonts w:hint="eastAsia"/>
                <w:lang w:val="en-US" w:eastAsia="zh-CN"/>
              </w:rPr>
              <w:t>15.4</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Layout w:type="fixed"/>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auto"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2080505</w:t>
            </w:r>
          </w:p>
        </w:tc>
        <w:tc>
          <w:tcPr>
            <w:tcW w:w="1474" w:type="dxa"/>
            <w:tcBorders>
              <w:top w:val="nil"/>
              <w:left w:val="nil"/>
              <w:bottom w:val="single" w:color="auto" w:sz="4" w:space="0"/>
              <w:right w:val="single" w:color="auto" w:sz="4" w:space="0"/>
            </w:tcBorders>
            <w:shd w:val="clear" w:color="auto" w:fill="FFFFFF"/>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33</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33</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c>
          <w:tcPr>
            <w:tcW w:w="2554"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pPr>
              <w:jc w:val="right"/>
              <w:rPr>
                <w:rFonts w:ascii="宋体" w:hAnsi="宋体" w:eastAsia="宋体" w:cs="宋体"/>
                <w:sz w:val="24"/>
                <w:szCs w:val="24"/>
              </w:rPr>
            </w:pPr>
            <w:r>
              <w:rPr>
                <w:rFonts w:hint="eastAsia"/>
              </w:rPr>
              <w:t>　</w:t>
            </w:r>
          </w:p>
        </w:tc>
      </w:tr>
      <w:tr>
        <w:tblPrEx>
          <w:tblLayout w:type="fixed"/>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pPr>
              <w:rPr>
                <w:rFonts w:ascii="宋体" w:hAnsi="宋体" w:eastAsia="宋体" w:cs="宋体"/>
                <w:sz w:val="24"/>
                <w:szCs w:val="24"/>
              </w:rPr>
            </w:pPr>
            <w:r>
              <w:rPr>
                <w:rFonts w:hint="eastAsia"/>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rPr>
          <w:rFonts w:ascii="Times New Roman" w:hAnsi="Times New Roman" w:eastAsia="方正小标宋_GBK" w:cs="Times New Roman"/>
          <w:color w:val="000000"/>
          <w:kern w:val="0"/>
          <w:sz w:val="36"/>
          <w:szCs w:val="36"/>
        </w:rPr>
      </w:pPr>
    </w:p>
    <w:tbl>
      <w:tblPr>
        <w:tblStyle w:val="13"/>
        <w:tblW w:w="15503" w:type="dxa"/>
        <w:tblInd w:w="93" w:type="dxa"/>
        <w:tblLayout w:type="fixed"/>
        <w:tblCellMar>
          <w:top w:w="0" w:type="dxa"/>
          <w:left w:w="108" w:type="dxa"/>
          <w:bottom w:w="0" w:type="dxa"/>
          <w:right w:w="108" w:type="dxa"/>
        </w:tblCellMar>
      </w:tblPr>
      <w:tblGrid>
        <w:gridCol w:w="1236"/>
        <w:gridCol w:w="263"/>
        <w:gridCol w:w="1544"/>
        <w:gridCol w:w="1889"/>
        <w:gridCol w:w="1991"/>
        <w:gridCol w:w="1991"/>
        <w:gridCol w:w="1991"/>
        <w:gridCol w:w="1991"/>
        <w:gridCol w:w="2607"/>
      </w:tblGrid>
      <w:tr>
        <w:tblPrEx>
          <w:tblLayout w:type="fixed"/>
          <w:tblCellMar>
            <w:top w:w="0" w:type="dxa"/>
            <w:left w:w="108" w:type="dxa"/>
            <w:bottom w:w="0" w:type="dxa"/>
            <w:right w:w="108" w:type="dxa"/>
          </w:tblCellMar>
        </w:tblPrEx>
        <w:trPr>
          <w:trHeight w:val="807" w:hRule="atLeast"/>
        </w:trPr>
        <w:tc>
          <w:tcPr>
            <w:tcW w:w="15503" w:type="dxa"/>
            <w:gridSpan w:val="9"/>
            <w:tcBorders>
              <w:top w:val="nil"/>
              <w:left w:val="nil"/>
              <w:bottom w:val="nil"/>
              <w:right w:val="nil"/>
            </w:tcBorders>
            <w:shd w:val="clear" w:color="auto" w:fill="auto"/>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tblPrEx>
          <w:tblLayout w:type="fixed"/>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44"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8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07"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tblPrEx>
          <w:tblLayout w:type="fixed"/>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44"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889"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07"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Layout w:type="fixed"/>
          <w:tblCellMar>
            <w:top w:w="0" w:type="dxa"/>
            <w:left w:w="108" w:type="dxa"/>
            <w:bottom w:w="0" w:type="dxa"/>
            <w:right w:w="108" w:type="dxa"/>
          </w:tblCellMar>
        </w:tblPrEx>
        <w:trPr>
          <w:trHeight w:val="595" w:hRule="atLeast"/>
        </w:trPr>
        <w:tc>
          <w:tcPr>
            <w:tcW w:w="3043"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88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60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tblPrEx>
          <w:tblLayout w:type="fixed"/>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544" w:type="dxa"/>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88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60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456"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544"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88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c>
          <w:tcPr>
            <w:tcW w:w="2607"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595" w:hRule="atLeast"/>
        </w:trPr>
        <w:tc>
          <w:tcPr>
            <w:tcW w:w="3043"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889"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607"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tblPrEx>
          <w:tblLayout w:type="fixed"/>
          <w:tblCellMar>
            <w:top w:w="0" w:type="dxa"/>
            <w:left w:w="108" w:type="dxa"/>
            <w:bottom w:w="0" w:type="dxa"/>
            <w:right w:w="108" w:type="dxa"/>
          </w:tblCellMar>
        </w:tblPrEx>
        <w:trPr>
          <w:trHeight w:val="595" w:hRule="atLeast"/>
        </w:trPr>
        <w:tc>
          <w:tcPr>
            <w:tcW w:w="3043"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889"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4"/>
                <w:szCs w:val="24"/>
                <w:lang w:val="en-US"/>
              </w:rPr>
            </w:pPr>
            <w:r>
              <w:rPr>
                <w:rFonts w:hint="eastAsia" w:ascii="宋体" w:hAnsi="宋体" w:eastAsia="宋体" w:cs="宋体"/>
                <w:kern w:val="0"/>
                <w:sz w:val="24"/>
                <w:szCs w:val="24"/>
                <w:lang w:val="en-US" w:eastAsia="zh-CN"/>
              </w:rPr>
              <w:t>1438.2</w:t>
            </w:r>
          </w:p>
        </w:tc>
        <w:tc>
          <w:tcPr>
            <w:tcW w:w="1991"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4"/>
                <w:szCs w:val="24"/>
                <w:lang w:val="en-US"/>
              </w:rPr>
            </w:pPr>
            <w:r>
              <w:rPr>
                <w:rFonts w:hint="eastAsia" w:ascii="宋体" w:hAnsi="宋体" w:eastAsia="宋体" w:cs="宋体"/>
                <w:kern w:val="0"/>
                <w:sz w:val="24"/>
                <w:szCs w:val="24"/>
                <w:lang w:val="en-US" w:eastAsia="zh-CN"/>
              </w:rPr>
              <w:t>316.7</w:t>
            </w:r>
          </w:p>
        </w:tc>
        <w:tc>
          <w:tcPr>
            <w:tcW w:w="1991"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4"/>
                <w:szCs w:val="24"/>
                <w:lang w:val="en-US"/>
              </w:rPr>
            </w:pPr>
            <w:r>
              <w:rPr>
                <w:rFonts w:hint="eastAsia" w:ascii="宋体" w:hAnsi="宋体" w:eastAsia="宋体" w:cs="宋体"/>
                <w:kern w:val="0"/>
                <w:sz w:val="24"/>
                <w:szCs w:val="24"/>
                <w:lang w:val="en-US" w:eastAsia="zh-CN"/>
              </w:rPr>
              <w:t>1121.5</w:t>
            </w:r>
          </w:p>
        </w:tc>
        <w:tc>
          <w:tcPr>
            <w:tcW w:w="199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07"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2080506</w:t>
            </w:r>
          </w:p>
        </w:tc>
        <w:tc>
          <w:tcPr>
            <w:tcW w:w="154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机关事业单位职业年金缴费支出</w:t>
            </w:r>
          </w:p>
        </w:tc>
        <w:tc>
          <w:tcPr>
            <w:tcW w:w="18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eastAsia="宋体" w:cs="宋体"/>
                <w:kern w:val="0"/>
                <w:sz w:val="24"/>
                <w:szCs w:val="24"/>
                <w:lang w:val="en-US"/>
              </w:rPr>
            </w:pPr>
            <w:r>
              <w:rPr>
                <w:rFonts w:hint="eastAsia"/>
                <w:lang w:val="en-US" w:eastAsia="zh-CN"/>
              </w:rPr>
              <w:t>5.5</w:t>
            </w:r>
          </w:p>
        </w:tc>
        <w:tc>
          <w:tcPr>
            <w:tcW w:w="199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07"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2013301</w:t>
            </w:r>
          </w:p>
        </w:tc>
        <w:tc>
          <w:tcPr>
            <w:tcW w:w="154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行政运行</w:t>
            </w:r>
          </w:p>
        </w:tc>
        <w:tc>
          <w:tcPr>
            <w:tcW w:w="18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eastAsia="宋体" w:cs="宋体"/>
                <w:kern w:val="0"/>
                <w:sz w:val="24"/>
                <w:szCs w:val="24"/>
                <w:lang w:val="en-US"/>
              </w:rPr>
            </w:pPr>
            <w:r>
              <w:rPr>
                <w:rFonts w:hint="eastAsia" w:ascii="华文中宋" w:hAnsi="华文中宋" w:eastAsia="华文中宋"/>
                <w:lang w:val="en-US" w:eastAsia="zh-CN"/>
              </w:rPr>
              <w:t>262.8</w:t>
            </w:r>
          </w:p>
        </w:tc>
        <w:tc>
          <w:tcPr>
            <w:tcW w:w="199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07"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2013399</w:t>
            </w:r>
          </w:p>
        </w:tc>
        <w:tc>
          <w:tcPr>
            <w:tcW w:w="154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其他宣传事务支出</w:t>
            </w:r>
          </w:p>
        </w:tc>
        <w:tc>
          <w:tcPr>
            <w:tcW w:w="18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pPr>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4"/>
                <w:szCs w:val="24"/>
                <w:lang w:val="en-US"/>
              </w:rPr>
            </w:pPr>
            <w:r>
              <w:rPr>
                <w:rFonts w:hint="eastAsia"/>
                <w:lang w:val="en-US" w:eastAsia="zh-CN"/>
              </w:rPr>
              <w:t>1121.5</w:t>
            </w:r>
          </w:p>
        </w:tc>
        <w:tc>
          <w:tcPr>
            <w:tcW w:w="199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07"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2101101</w:t>
            </w:r>
          </w:p>
        </w:tc>
        <w:tc>
          <w:tcPr>
            <w:tcW w:w="154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行政单位医疗</w:t>
            </w:r>
          </w:p>
        </w:tc>
        <w:tc>
          <w:tcPr>
            <w:tcW w:w="18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eastAsia="宋体" w:cs="宋体"/>
                <w:kern w:val="0"/>
                <w:sz w:val="24"/>
                <w:szCs w:val="24"/>
                <w:lang w:val="en-US"/>
              </w:rPr>
            </w:pPr>
            <w:r>
              <w:rPr>
                <w:rFonts w:hint="eastAsia"/>
                <w:lang w:val="en-US" w:eastAsia="zh-CN"/>
              </w:rPr>
              <w:t>15.4</w:t>
            </w:r>
          </w:p>
        </w:tc>
        <w:tc>
          <w:tcPr>
            <w:tcW w:w="199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07"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2080505</w:t>
            </w:r>
          </w:p>
        </w:tc>
        <w:tc>
          <w:tcPr>
            <w:tcW w:w="1544"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188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pPr>
              <w:jc w:val="center"/>
              <w:rPr>
                <w:rFonts w:hint="default" w:ascii="宋体" w:hAnsi="宋体" w:eastAsia="宋体" w:cs="宋体"/>
                <w:kern w:val="0"/>
                <w:sz w:val="24"/>
                <w:szCs w:val="24"/>
                <w:lang w:val="en-US"/>
              </w:rPr>
            </w:pPr>
            <w:r>
              <w:rPr>
                <w:rFonts w:hint="eastAsia"/>
                <w:lang w:val="en-US" w:eastAsia="zh-CN"/>
              </w:rPr>
              <w:t>33</w:t>
            </w:r>
          </w:p>
        </w:tc>
        <w:tc>
          <w:tcPr>
            <w:tcW w:w="199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07"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tblPrEx>
          <w:tblLayout w:type="fixed"/>
          <w:tblCellMar>
            <w:top w:w="0" w:type="dxa"/>
            <w:left w:w="108" w:type="dxa"/>
            <w:bottom w:w="0" w:type="dxa"/>
            <w:right w:w="108" w:type="dxa"/>
          </w:tblCellMar>
        </w:tblPrEx>
        <w:trPr>
          <w:trHeight w:val="828" w:hRule="atLeast"/>
        </w:trPr>
        <w:tc>
          <w:tcPr>
            <w:tcW w:w="15503" w:type="dxa"/>
            <w:gridSpan w:val="9"/>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pPr>
        <w:widowControl/>
        <w:jc w:val="both"/>
        <w:rPr>
          <w:rFonts w:ascii="Times New Roman" w:hAnsi="Times New Roman" w:eastAsia="方正小标宋_GBK" w:cs="Times New Roman"/>
          <w:color w:val="000000"/>
          <w:kern w:val="0"/>
          <w:sz w:val="36"/>
          <w:szCs w:val="21"/>
        </w:rPr>
      </w:pPr>
    </w:p>
    <w:tbl>
      <w:tblPr>
        <w:tblStyle w:val="13"/>
        <w:tblW w:w="15521" w:type="dxa"/>
        <w:tblInd w:w="93" w:type="dxa"/>
        <w:tblLayout w:type="fixed"/>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tblPrEx>
          <w:tblLayout w:type="fixed"/>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vAlign w:val="center"/>
          </w:tcPr>
          <w:p>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vAlign w:val="center"/>
          </w:tcPr>
          <w:p>
            <w:pPr>
              <w:widowControl/>
              <w:jc w:val="right"/>
              <w:rPr>
                <w:rFonts w:ascii="宋体" w:hAnsi="宋体" w:eastAsia="宋体" w:cs="宋体"/>
                <w:kern w:val="0"/>
                <w:sz w:val="24"/>
                <w:szCs w:val="24"/>
              </w:rPr>
            </w:pPr>
          </w:p>
        </w:tc>
      </w:tr>
      <w:tr>
        <w:tblPrEx>
          <w:tblLayout w:type="fixed"/>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vAlign w:val="center"/>
          </w:tcPr>
          <w:p>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tblPrEx>
          <w:tblLayout w:type="fixed"/>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tblPrEx>
          <w:tblLayout w:type="fixed"/>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vAlign w:val="center"/>
          </w:tcPr>
          <w:p>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tblPrEx>
          <w:tblLayout w:type="fixed"/>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tblPrEx>
          <w:tblLayout w:type="fixed"/>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1438.2</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2"/>
                <w:lang w:val="en-US"/>
              </w:rPr>
            </w:pPr>
            <w:r>
              <w:rPr>
                <w:rFonts w:hint="eastAsia" w:ascii="宋体" w:hAnsi="宋体" w:eastAsia="宋体" w:cs="宋体"/>
                <w:kern w:val="0"/>
                <w:sz w:val="22"/>
                <w:lang w:val="en-US" w:eastAsia="zh-CN"/>
              </w:rPr>
              <w:t>1384.4</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39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bidi="ar"/>
              </w:rPr>
              <w:t>七、文化旅游体育与传媒支出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F1F1F1"/>
            <w:vAlign w:val="center"/>
          </w:tcPr>
          <w:p>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bidi="ar"/>
              </w:rPr>
              <w:t>八、社会保障和就业支出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38.4</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kern w:val="0"/>
                <w:sz w:val="22"/>
              </w:rPr>
            </w:pP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rPr>
            </w:pP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hint="eastAsia"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both"/>
              <w:rPr>
                <w:rFonts w:hint="eastAsia" w:ascii="宋体" w:hAnsi="宋体" w:eastAsia="宋体" w:cs="宋体"/>
                <w:b/>
                <w:bCs/>
                <w:kern w:val="0"/>
                <w:sz w:val="22"/>
              </w:rPr>
            </w:pPr>
            <w:r>
              <w:rPr>
                <w:rFonts w:hint="eastAsia" w:ascii="宋体" w:hAnsi="宋体" w:eastAsia="宋体" w:cs="宋体"/>
                <w:i w:val="0"/>
                <w:color w:val="000000"/>
                <w:kern w:val="0"/>
                <w:sz w:val="22"/>
                <w:szCs w:val="22"/>
                <w:u w:val="none"/>
                <w:lang w:val="en-US" w:eastAsia="zh-CN" w:bidi="ar"/>
              </w:rPr>
              <w:t>九、卫生健康支出</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lang w:val="en-US" w:eastAsia="zh-CN"/>
              </w:rPr>
            </w:pPr>
            <w:r>
              <w:rPr>
                <w:rFonts w:hint="eastAsia" w:ascii="宋体" w:hAnsi="宋体" w:eastAsia="宋体" w:cs="宋体"/>
                <w:kern w:val="0"/>
                <w:sz w:val="22"/>
                <w:lang w:val="en-US" w:eastAsia="zh-CN"/>
              </w:rPr>
              <w:t>23</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15.4</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b/>
                <w:bCs/>
                <w:kern w:val="0"/>
                <w:sz w:val="22"/>
              </w:rPr>
            </w:pP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r>
              <w:rPr>
                <w:rFonts w:hint="eastAsia" w:ascii="宋体" w:hAnsi="宋体" w:eastAsia="宋体" w:cs="宋体"/>
                <w:kern w:val="0"/>
                <w:sz w:val="22"/>
                <w:lang w:val="en-US" w:eastAsia="zh-CN"/>
              </w:rPr>
              <w:t>4</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r>
              <w:rPr>
                <w:rFonts w:hint="eastAsia" w:ascii="宋体" w:hAnsi="宋体" w:eastAsia="宋体" w:cs="宋体"/>
                <w:kern w:val="0"/>
                <w:sz w:val="22"/>
                <w:lang w:val="en-US" w:eastAsia="zh-CN"/>
              </w:rPr>
              <w:t>5</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r>
              <w:rPr>
                <w:rFonts w:hint="eastAsia" w:ascii="宋体" w:hAnsi="宋体" w:eastAsia="宋体" w:cs="宋体"/>
                <w:kern w:val="0"/>
                <w:sz w:val="22"/>
                <w:lang w:val="en-US" w:eastAsia="zh-CN"/>
              </w:rPr>
              <w:t>6</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r>
              <w:rPr>
                <w:rFonts w:hint="eastAsia" w:ascii="宋体" w:hAnsi="宋体" w:eastAsia="宋体" w:cs="宋体"/>
                <w:kern w:val="0"/>
                <w:sz w:val="22"/>
                <w:lang w:val="en-US" w:eastAsia="zh-CN"/>
              </w:rPr>
              <w:t>7</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r>
              <w:rPr>
                <w:rFonts w:hint="eastAsia" w:ascii="宋体" w:hAnsi="宋体" w:eastAsia="宋体" w:cs="宋体"/>
                <w:kern w:val="0"/>
                <w:sz w:val="22"/>
                <w:lang w:val="en-US" w:eastAsia="zh-CN"/>
              </w:rPr>
              <w:t>8</w:t>
            </w:r>
          </w:p>
        </w:tc>
        <w:tc>
          <w:tcPr>
            <w:tcW w:w="157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kern w:val="0"/>
                <w:sz w:val="22"/>
              </w:rPr>
            </w:pPr>
            <w:r>
              <w:rPr>
                <w:rFonts w:hint="eastAsia" w:ascii="宋体" w:hAnsi="宋体" w:eastAsia="宋体" w:cs="宋体"/>
                <w:kern w:val="0"/>
                <w:sz w:val="22"/>
              </w:rPr>
              <w:t>　</w:t>
            </w:r>
          </w:p>
        </w:tc>
      </w:tr>
      <w:tr>
        <w:tblPrEx>
          <w:tblLayout w:type="fixed"/>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vAlign w:val="center"/>
          </w:tcPr>
          <w:p>
            <w:pPr>
              <w:widowControl/>
              <w:jc w:val="right"/>
              <w:rPr>
                <w:rFonts w:ascii="宋体" w:hAnsi="宋体" w:eastAsia="宋体" w:cs="宋体"/>
                <w:kern w:val="0"/>
                <w:sz w:val="22"/>
              </w:rPr>
            </w:pPr>
            <w:r>
              <w:rPr>
                <w:rFonts w:hint="eastAsia" w:ascii="宋体" w:hAnsi="宋体" w:eastAsia="宋体" w:cs="宋体"/>
                <w:kern w:val="0"/>
                <w:sz w:val="22"/>
                <w:lang w:val="en-US" w:eastAsia="zh-CN"/>
              </w:rPr>
              <w:t>1438.2</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2"/>
              </w:rPr>
            </w:pPr>
            <w:r>
              <w:rPr>
                <w:rFonts w:hint="eastAsia" w:ascii="宋体" w:hAnsi="宋体" w:eastAsia="宋体" w:cs="宋体"/>
                <w:kern w:val="0"/>
                <w:sz w:val="22"/>
              </w:rPr>
              <w:t>2</w:t>
            </w:r>
            <w:r>
              <w:rPr>
                <w:rFonts w:hint="eastAsia" w:ascii="宋体" w:hAnsi="宋体" w:eastAsia="宋体" w:cs="宋体"/>
                <w:kern w:val="0"/>
                <w:sz w:val="22"/>
                <w:lang w:val="en-US" w:eastAsia="zh-CN"/>
              </w:rPr>
              <w:t>9</w:t>
            </w:r>
          </w:p>
        </w:tc>
        <w:tc>
          <w:tcPr>
            <w:tcW w:w="1573"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2"/>
              </w:rPr>
            </w:pPr>
            <w:r>
              <w:rPr>
                <w:rFonts w:hint="eastAsia" w:ascii="宋体" w:hAnsi="宋体" w:eastAsia="宋体" w:cs="宋体"/>
                <w:kern w:val="0"/>
                <w:sz w:val="22"/>
                <w:lang w:val="en-US" w:eastAsia="zh-CN"/>
              </w:rPr>
              <w:t>1438.2</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tblPrEx>
          <w:tblLayout w:type="fixed"/>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p>
    <w:p>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3"/>
        <w:tblW w:w="14219" w:type="dxa"/>
        <w:jc w:val="center"/>
        <w:tblInd w:w="0" w:type="dxa"/>
        <w:tblLayout w:type="fixed"/>
        <w:tblCellMar>
          <w:top w:w="0" w:type="dxa"/>
          <w:left w:w="108" w:type="dxa"/>
          <w:bottom w:w="0" w:type="dxa"/>
          <w:right w:w="108" w:type="dxa"/>
        </w:tblCellMar>
      </w:tblPr>
      <w:tblGrid>
        <w:gridCol w:w="1200"/>
        <w:gridCol w:w="3527"/>
        <w:gridCol w:w="3000"/>
        <w:gridCol w:w="3492"/>
        <w:gridCol w:w="3000"/>
      </w:tblGrid>
      <w:tr>
        <w:tblPrEx>
          <w:tblLayout w:type="fixed"/>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Layout w:type="fixed"/>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Layout w:type="fixed"/>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Layout w:type="fixed"/>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Layout w:type="fixed"/>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宋体" w:hAnsi="宋体" w:eastAsia="宋体" w:cs="宋体"/>
                <w:kern w:val="0"/>
                <w:sz w:val="22"/>
                <w:lang w:val="en-US" w:eastAsia="zh-CN"/>
              </w:rPr>
              <w:t>1438.2</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316.7</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1121.5</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2080506</w:t>
            </w:r>
          </w:p>
        </w:tc>
        <w:tc>
          <w:tcPr>
            <w:tcW w:w="3527"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机关事业单位职业年金缴费支出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5.5</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5.5</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2013301</w:t>
            </w:r>
          </w:p>
        </w:tc>
        <w:tc>
          <w:tcPr>
            <w:tcW w:w="3527"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ascii="华文中宋" w:hAnsi="华文中宋" w:eastAsia="华文中宋"/>
                <w:lang w:val="en-US" w:eastAsia="zh-CN"/>
              </w:rPr>
              <w:t>262.8</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ascii="华文中宋" w:hAnsi="华文中宋" w:eastAsia="华文中宋"/>
                <w:lang w:val="en-US" w:eastAsia="zh-CN"/>
              </w:rPr>
              <w:t>262.8</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2013399</w:t>
            </w:r>
          </w:p>
        </w:tc>
        <w:tc>
          <w:tcPr>
            <w:tcW w:w="3527"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其他宣传事务支出</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1121.5</w:t>
            </w:r>
          </w:p>
        </w:tc>
        <w:tc>
          <w:tcPr>
            <w:tcW w:w="3492"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1121.5</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行政单位医疗</w:t>
            </w:r>
          </w:p>
        </w:tc>
        <w:tc>
          <w:tcPr>
            <w:tcW w:w="3000"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15.4</w:t>
            </w:r>
          </w:p>
        </w:tc>
        <w:tc>
          <w:tcPr>
            <w:tcW w:w="3492" w:type="dxa"/>
            <w:tcBorders>
              <w:top w:val="nil"/>
              <w:left w:val="nil"/>
              <w:bottom w:val="single" w:color="auto" w:sz="4"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15.4</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Layout w:type="fixed"/>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2080505</w:t>
            </w:r>
          </w:p>
        </w:tc>
        <w:tc>
          <w:tcPr>
            <w:tcW w:w="3527" w:type="dxa"/>
            <w:tcBorders>
              <w:top w:val="nil"/>
              <w:left w:val="nil"/>
              <w:bottom w:val="single" w:color="auto" w:sz="8" w:space="0"/>
              <w:right w:val="single" w:color="auto" w:sz="4" w:space="0"/>
            </w:tcBorders>
            <w:shd w:val="clear" w:color="auto" w:fill="FFFFFF"/>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3000" w:type="dxa"/>
            <w:tcBorders>
              <w:top w:val="nil"/>
              <w:left w:val="nil"/>
              <w:bottom w:val="single" w:color="auto" w:sz="8"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33</w:t>
            </w:r>
          </w:p>
        </w:tc>
        <w:tc>
          <w:tcPr>
            <w:tcW w:w="3492" w:type="dxa"/>
            <w:tcBorders>
              <w:top w:val="nil"/>
              <w:left w:val="nil"/>
              <w:bottom w:val="single" w:color="auto" w:sz="8" w:space="0"/>
              <w:right w:val="single" w:color="auto" w:sz="4" w:space="0"/>
            </w:tcBorders>
            <w:shd w:val="clear" w:color="auto" w:fill="auto"/>
            <w:vAlign w:val="center"/>
          </w:tcPr>
          <w:p>
            <w:pPr>
              <w:jc w:val="center"/>
              <w:rPr>
                <w:rFonts w:hint="default" w:ascii="Times New Roman" w:hAnsi="Times New Roman" w:eastAsia="仿宋_GB2312" w:cs="Times New Roman"/>
                <w:kern w:val="0"/>
                <w:szCs w:val="21"/>
                <w:lang w:val="en-US"/>
              </w:rPr>
            </w:pPr>
            <w:r>
              <w:rPr>
                <w:rFonts w:hint="eastAsia"/>
                <w:lang w:val="en-US" w:eastAsia="zh-CN"/>
              </w:rPr>
              <w:t>33</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Layout w:type="fixed"/>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3"/>
        <w:tblW w:w="15614" w:type="dxa"/>
        <w:tblInd w:w="0" w:type="dxa"/>
        <w:tblLayout w:type="fixed"/>
        <w:tblCellMar>
          <w:top w:w="0" w:type="dxa"/>
          <w:left w:w="108" w:type="dxa"/>
          <w:bottom w:w="0" w:type="dxa"/>
          <w:right w:w="108" w:type="dxa"/>
        </w:tblCellMar>
      </w:tblPr>
      <w:tblGrid>
        <w:gridCol w:w="1003"/>
        <w:gridCol w:w="183"/>
        <w:gridCol w:w="57"/>
        <w:gridCol w:w="1402"/>
        <w:gridCol w:w="1862"/>
        <w:gridCol w:w="257"/>
        <w:gridCol w:w="814"/>
        <w:gridCol w:w="825"/>
        <w:gridCol w:w="480"/>
        <w:gridCol w:w="1878"/>
        <w:gridCol w:w="241"/>
        <w:gridCol w:w="787"/>
        <w:gridCol w:w="971"/>
        <w:gridCol w:w="361"/>
        <w:gridCol w:w="2119"/>
        <w:gridCol w:w="1403"/>
        <w:gridCol w:w="717"/>
        <w:gridCol w:w="254"/>
      </w:tblGrid>
      <w:tr>
        <w:tblPrEx>
          <w:tblLayout w:type="fixed"/>
          <w:tblCellMar>
            <w:top w:w="0" w:type="dxa"/>
            <w:left w:w="108" w:type="dxa"/>
            <w:bottom w:w="0" w:type="dxa"/>
            <w:right w:w="108" w:type="dxa"/>
          </w:tblCellMar>
        </w:tblPrEx>
        <w:trPr>
          <w:trHeight w:val="819" w:hRule="atLeast"/>
        </w:trPr>
        <w:tc>
          <w:tcPr>
            <w:tcW w:w="15614" w:type="dxa"/>
            <w:gridSpan w:val="18"/>
            <w:tcBorders>
              <w:top w:val="nil"/>
              <w:left w:val="nil"/>
              <w:bottom w:val="nil"/>
              <w:right w:val="nil"/>
            </w:tcBorders>
            <w:shd w:val="clear" w:color="auto" w:fill="auto"/>
            <w:vAlign w:val="center"/>
          </w:tcPr>
          <w:p>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tblPrEx>
          <w:tblLayout w:type="fixed"/>
          <w:tblCellMar>
            <w:top w:w="0" w:type="dxa"/>
            <w:left w:w="108" w:type="dxa"/>
            <w:bottom w:w="0" w:type="dxa"/>
            <w:right w:w="108" w:type="dxa"/>
          </w:tblCellMar>
        </w:tblPrEx>
        <w:trPr>
          <w:trHeight w:val="820" w:hRule="atLeast"/>
        </w:trPr>
        <w:tc>
          <w:tcPr>
            <w:tcW w:w="118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321"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71"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2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35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28"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7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883" w:type="dxa"/>
            <w:gridSpan w:val="3"/>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71"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tblPrEx>
          <w:tblLayout w:type="fixed"/>
          <w:tblCellMar>
            <w:top w:w="0" w:type="dxa"/>
            <w:left w:w="108" w:type="dxa"/>
            <w:bottom w:w="0" w:type="dxa"/>
            <w:right w:w="108" w:type="dxa"/>
          </w:tblCellMar>
        </w:tblPrEx>
        <w:trPr>
          <w:trHeight w:val="339"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071" w:type="dxa"/>
            <w:gridSpan w:val="2"/>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248.72</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67.9</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071" w:type="dxa"/>
            <w:gridSpan w:val="2"/>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83.2</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13.74</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39.25</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3.7</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19.25</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49.4</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0.03</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33</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0.88</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5.5</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0.1</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15.4</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0.02</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4.98</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3.7</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0.5</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8.57</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3.56</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11</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6.18</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pPr>
              <w:widowControl/>
              <w:jc w:val="left"/>
              <w:rPr>
                <w:rFonts w:hint="eastAsia" w:ascii="宋体" w:hAnsi="宋体" w:eastAsia="宋体" w:cs="宋体"/>
                <w:color w:val="000000"/>
                <w:kern w:val="0"/>
                <w:szCs w:val="20"/>
              </w:rPr>
            </w:pPr>
          </w:p>
          <w:tbl>
            <w:tblPr>
              <w:tblStyle w:val="13"/>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hint="eastAsia" w:ascii="宋体" w:hAnsi="宋体" w:eastAsia="宋体" w:cs="宋体"/>
                <w:color w:val="000000"/>
                <w:kern w:val="0"/>
                <w:szCs w:val="20"/>
              </w:rPr>
            </w:pPr>
          </w:p>
          <w:tbl>
            <w:tblPr>
              <w:tblStyle w:val="13"/>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pPr>
              <w:widowControl/>
              <w:jc w:val="left"/>
              <w:rPr>
                <w:rFonts w:ascii="宋体" w:hAnsi="宋体" w:eastAsia="宋体" w:cs="宋体"/>
                <w:color w:val="000000"/>
                <w:kern w:val="0"/>
                <w:szCs w:val="20"/>
              </w:rPr>
            </w:pP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6.81</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84" w:hRule="exact"/>
        </w:trPr>
        <w:tc>
          <w:tcPr>
            <w:tcW w:w="1186" w:type="dxa"/>
            <w:gridSpan w:val="2"/>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321"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2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358"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028"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7.85</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883" w:type="dxa"/>
            <w:gridSpan w:val="3"/>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tblPrEx>
          <w:tblLayout w:type="fixed"/>
          <w:tblCellMar>
            <w:top w:w="0" w:type="dxa"/>
            <w:left w:w="108" w:type="dxa"/>
            <w:bottom w:w="0" w:type="dxa"/>
            <w:right w:w="108" w:type="dxa"/>
          </w:tblCellMar>
        </w:tblPrEx>
        <w:trPr>
          <w:trHeight w:val="244" w:hRule="exact"/>
        </w:trPr>
        <w:tc>
          <w:tcPr>
            <w:tcW w:w="4507" w:type="dxa"/>
            <w:gridSpan w:val="5"/>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071"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248.72</w:t>
            </w:r>
          </w:p>
        </w:tc>
        <w:tc>
          <w:tcPr>
            <w:tcW w:w="9065" w:type="dxa"/>
            <w:gridSpan w:val="9"/>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971" w:type="dxa"/>
            <w:gridSpan w:val="2"/>
            <w:tcBorders>
              <w:top w:val="nil"/>
              <w:left w:val="nil"/>
              <w:bottom w:val="single" w:color="auto" w:sz="4" w:space="0"/>
              <w:right w:val="single" w:color="auto" w:sz="4" w:space="0"/>
            </w:tcBorders>
            <w:shd w:val="clear" w:color="auto" w:fill="auto"/>
            <w:vAlign w:val="center"/>
          </w:tcPr>
          <w:p>
            <w:pPr>
              <w:widowControl/>
              <w:jc w:val="left"/>
              <w:rPr>
                <w:rFonts w:hint="default" w:ascii="宋体" w:hAnsi="宋体" w:eastAsia="宋体" w:cs="宋体"/>
                <w:color w:val="000000"/>
                <w:kern w:val="0"/>
                <w:szCs w:val="18"/>
                <w:lang w:val="en-US"/>
              </w:rPr>
            </w:pPr>
            <w:r>
              <w:rPr>
                <w:rFonts w:hint="eastAsia" w:ascii="宋体" w:hAnsi="宋体" w:eastAsia="宋体" w:cs="宋体"/>
                <w:color w:val="000000"/>
                <w:kern w:val="0"/>
                <w:szCs w:val="18"/>
              </w:rPr>
              <w:t>　</w:t>
            </w:r>
            <w:r>
              <w:rPr>
                <w:rFonts w:hint="eastAsia" w:ascii="宋体" w:hAnsi="宋体" w:eastAsia="宋体" w:cs="宋体"/>
                <w:color w:val="000000"/>
                <w:kern w:val="0"/>
                <w:szCs w:val="18"/>
                <w:lang w:val="en-US" w:eastAsia="zh-CN"/>
              </w:rPr>
              <w:t>67.9</w:t>
            </w:r>
          </w:p>
        </w:tc>
      </w:tr>
      <w:tr>
        <w:tblPrEx>
          <w:tblLayout w:type="fixed"/>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vAlign w:val="center"/>
          </w:tcPr>
          <w:p>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345" w:hRule="atLeast"/>
        </w:trPr>
        <w:tc>
          <w:tcPr>
            <w:tcW w:w="1003"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40"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0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690" w:hRule="atLeast"/>
        </w:trPr>
        <w:tc>
          <w:tcPr>
            <w:tcW w:w="1003"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240" w:type="dxa"/>
            <w:gridSpan w:val="2"/>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140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21"/>
                <w:lang w:val="en-US" w:eastAsia="zh-CN" w:bidi="ar"/>
              </w:rPr>
              <w:t xml:space="preserve">   </w:t>
            </w:r>
            <w:r>
              <w:rPr>
                <w:rStyle w:val="22"/>
                <w:lang w:val="en-US" w:eastAsia="zh-CN" w:bidi="ar"/>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35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609" w:hRule="atLeast"/>
        </w:trPr>
        <w:tc>
          <w:tcPr>
            <w:tcW w:w="12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4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4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1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509" w:hRule="atLeast"/>
        </w:trPr>
        <w:tc>
          <w:tcPr>
            <w:tcW w:w="124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40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w:t>
            </w:r>
          </w:p>
        </w:tc>
      </w:tr>
    </w:tbl>
    <w:p>
      <w:pPr>
        <w:widowControl/>
        <w:jc w:val="center"/>
        <w:rPr>
          <w:rFonts w:hint="eastAsia" w:ascii="Times New Roman" w:hAnsi="Times New Roman" w:eastAsia="方正小标宋_GBK" w:cs="Times New Roman"/>
          <w:color w:val="000000"/>
          <w:kern w:val="0"/>
          <w:sz w:val="36"/>
          <w:szCs w:val="36"/>
        </w:rPr>
      </w:pPr>
    </w:p>
    <w:p>
      <w:pPr>
        <w:widowControl/>
        <w:jc w:val="center"/>
        <w:rPr>
          <w:rFonts w:hint="eastAsia" w:ascii="Times New Roman" w:hAnsi="Times New Roman" w:eastAsia="方正小标宋_GBK" w:cs="Times New Roman"/>
          <w:color w:val="000000"/>
          <w:kern w:val="0"/>
          <w:sz w:val="36"/>
          <w:szCs w:val="36"/>
        </w:rPr>
      </w:pPr>
    </w:p>
    <w:tbl>
      <w:tblPr>
        <w:tblStyle w:val="13"/>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26"/>
        <w:gridCol w:w="701"/>
        <w:gridCol w:w="2292"/>
        <w:gridCol w:w="3315"/>
        <w:gridCol w:w="3315"/>
        <w:gridCol w:w="4171"/>
      </w:tblGrid>
      <w:tr>
        <w:tblPrEx>
          <w:tblLayout w:type="fixed"/>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701"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23"/>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pPr>
        <w:widowControl/>
        <w:jc w:val="center"/>
        <w:rPr>
          <w:rFonts w:hint="eastAsia" w:ascii="Times New Roman" w:hAnsi="Times New Roman" w:eastAsia="方正小标宋_GBK" w:cs="Times New Roman"/>
          <w:color w:val="000000"/>
          <w:kern w:val="0"/>
          <w:sz w:val="36"/>
          <w:szCs w:val="36"/>
        </w:rPr>
      </w:pPr>
    </w:p>
    <w:tbl>
      <w:tblPr>
        <w:tblStyle w:val="13"/>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w:t>
            </w: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8.68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8.68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8.57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8.57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autoSpaceDE w:val="0"/>
        <w:autoSpaceDN w:val="0"/>
        <w:adjustRightInd w:val="0"/>
        <w:ind w:left="315" w:leftChars="150"/>
        <w:jc w:val="left"/>
        <w:rPr>
          <w:rFonts w:ascii="宋体" w:eastAsia="宋体" w:cs="宋体"/>
          <w:kern w:val="0"/>
          <w:sz w:val="24"/>
          <w:szCs w:val="24"/>
        </w:rPr>
      </w:pPr>
    </w:p>
    <w:p>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pPr>
        <w:pStyle w:val="18"/>
        <w:rPr>
          <w:sz w:val="72"/>
          <w:szCs w:val="72"/>
        </w:rPr>
      </w:pPr>
    </w:p>
    <w:p>
      <w:pPr>
        <w:pStyle w:val="18"/>
        <w:rPr>
          <w:sz w:val="72"/>
          <w:szCs w:val="72"/>
        </w:rPr>
      </w:pPr>
    </w:p>
    <w:p>
      <w:pPr>
        <w:pStyle w:val="18"/>
        <w:rPr>
          <w:sz w:val="72"/>
          <w:szCs w:val="72"/>
        </w:rPr>
      </w:pPr>
    </w:p>
    <w:p>
      <w:pPr>
        <w:pStyle w:val="18"/>
        <w:rPr>
          <w:sz w:val="72"/>
          <w:szCs w:val="72"/>
        </w:rPr>
      </w:pPr>
    </w:p>
    <w:p>
      <w:pPr>
        <w:pStyle w:val="18"/>
        <w:jc w:val="center"/>
        <w:rPr>
          <w:sz w:val="72"/>
          <w:szCs w:val="72"/>
        </w:rPr>
      </w:pPr>
    </w:p>
    <w:p>
      <w:pPr>
        <w:pStyle w:val="18"/>
        <w:jc w:val="center"/>
        <w:rPr>
          <w:rFonts w:hint="eastAsia" w:ascii="方正小标宋_GBK" w:hAnsi="方正小标宋_GBK" w:eastAsia="方正小标宋_GBK" w:cs="方正小标宋_GBK"/>
          <w:sz w:val="72"/>
          <w:szCs w:val="72"/>
        </w:rPr>
      </w:pPr>
    </w:p>
    <w:p>
      <w:pPr>
        <w:pStyle w:val="18"/>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pPr>
        <w:pStyle w:val="18"/>
        <w:jc w:val="center"/>
        <w:rPr>
          <w:rFonts w:hint="eastAsia" w:ascii="方正小标宋_GBK" w:hAnsi="方正小标宋_GBK" w:eastAsia="方正小标宋_GBK" w:cs="方正小标宋_GBK"/>
          <w:sz w:val="70"/>
          <w:szCs w:val="70"/>
        </w:rPr>
      </w:pPr>
    </w:p>
    <w:p>
      <w:pPr>
        <w:pStyle w:val="18"/>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2024</w:t>
      </w:r>
      <w:r>
        <w:rPr>
          <w:rFonts w:hint="eastAsia" w:ascii="方正小标宋_GBK" w:hAnsi="方正小标宋_GBK" w:eastAsia="方正小标宋_GBK" w:cs="方正小标宋_GBK"/>
          <w:sz w:val="70"/>
          <w:szCs w:val="70"/>
        </w:rPr>
        <w:t>年度部门决算情况说明</w:t>
      </w:r>
    </w:p>
    <w:p>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年度收、支总计</w:t>
      </w:r>
      <w:r>
        <w:rPr>
          <w:rFonts w:hint="eastAsia" w:ascii="Times New Roman" w:hAnsi="Times New Roman" w:eastAsia="仿宋_GB2312"/>
          <w:sz w:val="32"/>
          <w:szCs w:val="32"/>
          <w:lang w:val="en-US" w:eastAsia="zh-CN"/>
        </w:rPr>
        <w:t>1438.2</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105.14</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6.81</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压缩开支、厉行节约。</w:t>
      </w:r>
    </w:p>
    <w:p>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2024年度收入合计</w:t>
      </w:r>
      <w:r>
        <w:rPr>
          <w:rFonts w:hint="eastAsia" w:ascii="Times New Roman" w:hAnsi="Times New Roman" w:eastAsia="仿宋_GB2312"/>
          <w:sz w:val="32"/>
          <w:szCs w:val="32"/>
          <w:lang w:val="en-US" w:eastAsia="zh-CN"/>
        </w:rPr>
        <w:t>1438.2</w:t>
      </w:r>
      <w:r>
        <w:rPr>
          <w:rFonts w:hint="eastAsia" w:ascii="Times New Roman" w:hAnsi="Times New Roman" w:eastAsia="仿宋_GB2312"/>
          <w:sz w:val="32"/>
          <w:szCs w:val="32"/>
          <w:lang w:eastAsia="zh-CN"/>
        </w:rPr>
        <w:t>万元，其中：财政拨款收入</w:t>
      </w:r>
      <w:r>
        <w:rPr>
          <w:rFonts w:hint="eastAsia" w:ascii="Times New Roman" w:hAnsi="Times New Roman" w:eastAsia="仿宋_GB2312"/>
          <w:sz w:val="32"/>
          <w:szCs w:val="32"/>
          <w:lang w:val="en-US" w:eastAsia="zh-CN"/>
        </w:rPr>
        <w:t>1438.2</w:t>
      </w:r>
      <w:r>
        <w:rPr>
          <w:rFonts w:hint="eastAsia" w:ascii="Times New Roman" w:hAnsi="Times New Roman" w:eastAsia="仿宋_GB2312"/>
          <w:sz w:val="32"/>
          <w:szCs w:val="32"/>
          <w:lang w:eastAsia="zh-CN"/>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lang w:eastAsia="zh-CN"/>
        </w:rPr>
        <w:t>%。</w:t>
      </w:r>
    </w:p>
    <w:p>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2024年度支出合计</w:t>
      </w:r>
      <w:r>
        <w:rPr>
          <w:rFonts w:hint="eastAsia" w:ascii="Times New Roman" w:hAnsi="Times New Roman" w:eastAsia="仿宋_GB2312"/>
          <w:sz w:val="32"/>
          <w:szCs w:val="32"/>
          <w:lang w:val="en-US" w:eastAsia="zh-CN"/>
        </w:rPr>
        <w:t>1438.2</w:t>
      </w:r>
      <w:r>
        <w:rPr>
          <w:rFonts w:hint="eastAsia" w:ascii="Times New Roman" w:hAnsi="Times New Roman" w:eastAsia="仿宋_GB2312"/>
          <w:sz w:val="32"/>
          <w:szCs w:val="32"/>
          <w:lang w:eastAsia="zh-CN"/>
        </w:rPr>
        <w:t>万元，其中：基本支出</w:t>
      </w:r>
      <w:r>
        <w:rPr>
          <w:rFonts w:hint="eastAsia" w:ascii="Times New Roman" w:hAnsi="Times New Roman" w:eastAsia="仿宋_GB2312"/>
          <w:sz w:val="32"/>
          <w:szCs w:val="32"/>
          <w:lang w:val="en-US" w:eastAsia="zh-CN"/>
        </w:rPr>
        <w:t>316.7</w:t>
      </w:r>
      <w:r>
        <w:rPr>
          <w:rFonts w:hint="eastAsia" w:ascii="Times New Roman" w:hAnsi="Times New Roman" w:eastAsia="仿宋_GB2312"/>
          <w:sz w:val="32"/>
          <w:szCs w:val="32"/>
          <w:lang w:eastAsia="zh-CN"/>
        </w:rPr>
        <w:t>万元，占</w:t>
      </w:r>
      <w:r>
        <w:rPr>
          <w:rFonts w:hint="eastAsia" w:ascii="Times New Roman" w:hAnsi="Times New Roman" w:eastAsia="仿宋_GB2312"/>
          <w:sz w:val="32"/>
          <w:szCs w:val="32"/>
          <w:lang w:val="en-US" w:eastAsia="zh-CN"/>
        </w:rPr>
        <w:t>22.02</w:t>
      </w:r>
      <w:r>
        <w:rPr>
          <w:rFonts w:hint="eastAsia" w:ascii="Times New Roman" w:hAnsi="Times New Roman" w:eastAsia="仿宋_GB2312"/>
          <w:sz w:val="32"/>
          <w:szCs w:val="32"/>
          <w:lang w:eastAsia="zh-CN"/>
        </w:rPr>
        <w:t>%；项目支出</w:t>
      </w:r>
      <w:r>
        <w:rPr>
          <w:rFonts w:hint="eastAsia" w:ascii="Times New Roman" w:hAnsi="Times New Roman" w:eastAsia="仿宋_GB2312"/>
          <w:sz w:val="32"/>
          <w:szCs w:val="32"/>
          <w:lang w:val="en-US" w:eastAsia="zh-CN"/>
        </w:rPr>
        <w:t>1121.5</w:t>
      </w:r>
      <w:r>
        <w:rPr>
          <w:rFonts w:hint="eastAsia" w:ascii="Times New Roman" w:hAnsi="Times New Roman" w:eastAsia="仿宋_GB2312"/>
          <w:sz w:val="32"/>
          <w:szCs w:val="32"/>
          <w:lang w:eastAsia="zh-CN"/>
        </w:rPr>
        <w:t>万元，占</w:t>
      </w:r>
      <w:r>
        <w:rPr>
          <w:rFonts w:hint="eastAsia" w:ascii="Times New Roman" w:hAnsi="Times New Roman" w:eastAsia="仿宋_GB2312"/>
          <w:sz w:val="32"/>
          <w:szCs w:val="32"/>
          <w:lang w:val="en-US" w:eastAsia="zh-CN"/>
        </w:rPr>
        <w:t>77.98</w:t>
      </w:r>
      <w:r>
        <w:rPr>
          <w:rFonts w:hint="eastAsia" w:ascii="Times New Roman" w:hAnsi="Times New Roman" w:eastAsia="仿宋_GB2312"/>
          <w:sz w:val="32"/>
          <w:szCs w:val="32"/>
          <w:lang w:eastAsia="zh-CN"/>
        </w:rPr>
        <w:t>%。</w:t>
      </w:r>
    </w:p>
    <w:p>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2024年度财政拨款收、支总计</w:t>
      </w:r>
      <w:r>
        <w:rPr>
          <w:rFonts w:hint="eastAsia" w:ascii="Times New Roman" w:hAnsi="Times New Roman" w:eastAsia="仿宋_GB2312"/>
          <w:sz w:val="32"/>
          <w:szCs w:val="32"/>
          <w:lang w:val="en-US" w:eastAsia="zh-CN"/>
        </w:rPr>
        <w:t>1121.5</w:t>
      </w:r>
      <w:r>
        <w:rPr>
          <w:rFonts w:hint="eastAsia" w:ascii="Times New Roman" w:hAnsi="Times New Roman" w:eastAsia="仿宋_GB2312"/>
          <w:sz w:val="32"/>
          <w:szCs w:val="32"/>
          <w:lang w:eastAsia="zh-CN"/>
        </w:rPr>
        <w:t>万元，与上年相比，减少</w:t>
      </w:r>
      <w:r>
        <w:rPr>
          <w:rFonts w:hint="eastAsia" w:ascii="Times New Roman" w:hAnsi="Times New Roman" w:eastAsia="仿宋_GB2312"/>
          <w:sz w:val="32"/>
          <w:szCs w:val="32"/>
          <w:lang w:val="en-US" w:eastAsia="zh-CN"/>
        </w:rPr>
        <w:t>105.14</w:t>
      </w:r>
      <w:r>
        <w:rPr>
          <w:rFonts w:hint="eastAsia" w:ascii="Times New Roman" w:hAnsi="Times New Roman" w:eastAsia="仿宋_GB2312"/>
          <w:sz w:val="32"/>
          <w:szCs w:val="32"/>
          <w:lang w:eastAsia="zh-CN"/>
        </w:rPr>
        <w:t>万元，减少</w:t>
      </w:r>
      <w:r>
        <w:rPr>
          <w:rFonts w:hint="eastAsia" w:ascii="Times New Roman" w:hAnsi="Times New Roman" w:eastAsia="仿宋_GB2312"/>
          <w:sz w:val="32"/>
          <w:szCs w:val="32"/>
          <w:lang w:val="en-US" w:eastAsia="zh-CN"/>
        </w:rPr>
        <w:t>6.81</w:t>
      </w:r>
      <w:r>
        <w:rPr>
          <w:rFonts w:hint="eastAsia" w:ascii="Times New Roman" w:hAnsi="Times New Roman" w:eastAsia="仿宋_GB2312"/>
          <w:sz w:val="32"/>
          <w:szCs w:val="32"/>
          <w:lang w:eastAsia="zh-CN"/>
        </w:rPr>
        <w:t>%，主要是因为</w:t>
      </w:r>
      <w:r>
        <w:rPr>
          <w:rFonts w:hint="eastAsia" w:ascii="Times New Roman" w:hAnsi="Times New Roman" w:eastAsia="仿宋_GB2312"/>
          <w:sz w:val="32"/>
          <w:szCs w:val="32"/>
          <w:lang w:val="en-US" w:eastAsia="zh-CN"/>
        </w:rPr>
        <w:t>压缩开支、厉行节约。</w:t>
      </w:r>
    </w:p>
    <w:p>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2024年度财政拨款支出</w:t>
      </w:r>
      <w:r>
        <w:rPr>
          <w:rFonts w:hint="eastAsia" w:ascii="Times New Roman" w:hAnsi="Times New Roman" w:eastAsia="仿宋_GB2312"/>
          <w:sz w:val="32"/>
          <w:szCs w:val="32"/>
          <w:lang w:val="en-US" w:eastAsia="zh-CN"/>
        </w:rPr>
        <w:t>1438.2</w:t>
      </w:r>
      <w:r>
        <w:rPr>
          <w:rFonts w:hint="eastAsia" w:ascii="Times New Roman" w:hAnsi="Times New Roman" w:eastAsia="仿宋_GB2312"/>
          <w:sz w:val="32"/>
          <w:szCs w:val="32"/>
          <w:lang w:eastAsia="zh-CN"/>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lang w:eastAsia="zh-CN"/>
        </w:rPr>
        <w:t>%，与上年相比，财政拨款支出减少</w:t>
      </w:r>
      <w:r>
        <w:rPr>
          <w:rFonts w:hint="eastAsia" w:ascii="Times New Roman" w:hAnsi="Times New Roman" w:eastAsia="仿宋_GB2312"/>
          <w:sz w:val="32"/>
          <w:szCs w:val="32"/>
          <w:lang w:val="en-US" w:eastAsia="zh-CN"/>
        </w:rPr>
        <w:t>105.14</w:t>
      </w:r>
      <w:r>
        <w:rPr>
          <w:rFonts w:hint="eastAsia" w:ascii="Times New Roman" w:hAnsi="Times New Roman" w:eastAsia="仿宋_GB2312"/>
          <w:sz w:val="32"/>
          <w:szCs w:val="32"/>
          <w:lang w:eastAsia="zh-CN"/>
        </w:rPr>
        <w:t>万元，减少</w:t>
      </w:r>
      <w:r>
        <w:rPr>
          <w:rFonts w:hint="eastAsia" w:ascii="Times New Roman" w:hAnsi="Times New Roman" w:eastAsia="仿宋_GB2312"/>
          <w:sz w:val="32"/>
          <w:szCs w:val="32"/>
          <w:lang w:val="en-US" w:eastAsia="zh-CN"/>
        </w:rPr>
        <w:t>6.81</w:t>
      </w:r>
      <w:r>
        <w:rPr>
          <w:rFonts w:hint="eastAsia" w:ascii="Times New Roman" w:hAnsi="Times New Roman" w:eastAsia="仿宋_GB2312"/>
          <w:sz w:val="32"/>
          <w:szCs w:val="32"/>
          <w:lang w:eastAsia="zh-CN"/>
        </w:rPr>
        <w:t>%，主要是因为</w:t>
      </w:r>
      <w:r>
        <w:rPr>
          <w:rFonts w:hint="eastAsia" w:ascii="Times New Roman" w:hAnsi="Times New Roman" w:eastAsia="仿宋_GB2312"/>
          <w:sz w:val="32"/>
          <w:szCs w:val="32"/>
          <w:lang w:val="en-US" w:eastAsia="zh-CN"/>
        </w:rPr>
        <w:t>压缩开支、厉行节约。</w:t>
      </w:r>
    </w:p>
    <w:p>
      <w:pPr>
        <w:pStyle w:val="18"/>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2024年度财政拨款支出</w:t>
      </w:r>
      <w:r>
        <w:rPr>
          <w:rFonts w:hint="eastAsia" w:ascii="Times New Roman" w:hAnsi="Times New Roman" w:eastAsia="仿宋_GB2312"/>
          <w:sz w:val="32"/>
          <w:szCs w:val="32"/>
          <w:lang w:val="en-US" w:eastAsia="zh-CN"/>
        </w:rPr>
        <w:t>1438.2</w:t>
      </w:r>
      <w:r>
        <w:rPr>
          <w:rFonts w:hint="eastAsia" w:ascii="Times New Roman" w:hAnsi="Times New Roman" w:eastAsia="仿宋_GB2312"/>
          <w:sz w:val="32"/>
          <w:szCs w:val="32"/>
          <w:lang w:eastAsia="zh-CN"/>
        </w:rPr>
        <w:t>万元，主要用于以下方面：一般公共服务（类）支出</w:t>
      </w:r>
      <w:r>
        <w:rPr>
          <w:rFonts w:hint="eastAsia" w:ascii="Times New Roman" w:hAnsi="Times New Roman" w:eastAsia="仿宋_GB2312"/>
          <w:sz w:val="32"/>
          <w:szCs w:val="32"/>
          <w:lang w:val="en-US" w:eastAsia="zh-CN"/>
        </w:rPr>
        <w:t>1384.4</w:t>
      </w:r>
      <w:r>
        <w:rPr>
          <w:rFonts w:hint="eastAsia" w:ascii="Times New Roman" w:hAnsi="Times New Roman" w:eastAsia="仿宋_GB2312"/>
          <w:sz w:val="32"/>
          <w:szCs w:val="32"/>
          <w:lang w:eastAsia="zh-CN"/>
        </w:rPr>
        <w:t>万元，占</w:t>
      </w:r>
      <w:r>
        <w:rPr>
          <w:rFonts w:hint="eastAsia" w:ascii="Times New Roman" w:hAnsi="Times New Roman" w:eastAsia="仿宋_GB2312"/>
          <w:sz w:val="32"/>
          <w:szCs w:val="32"/>
          <w:lang w:val="en-US" w:eastAsia="zh-CN"/>
        </w:rPr>
        <w:t>96.26</w:t>
      </w:r>
      <w:r>
        <w:rPr>
          <w:rFonts w:hint="eastAsia" w:ascii="Times New Roman" w:hAnsi="Times New Roman" w:eastAsia="仿宋_GB2312"/>
          <w:sz w:val="32"/>
          <w:szCs w:val="32"/>
          <w:lang w:eastAsia="zh-CN"/>
        </w:rPr>
        <w:t>%；社会保障和就业（类）支出</w:t>
      </w:r>
      <w:r>
        <w:rPr>
          <w:rFonts w:hint="eastAsia" w:ascii="Times New Roman" w:hAnsi="Times New Roman" w:eastAsia="仿宋_GB2312"/>
          <w:sz w:val="32"/>
          <w:szCs w:val="32"/>
          <w:lang w:val="en-US" w:eastAsia="zh-CN"/>
        </w:rPr>
        <w:t>38.4</w:t>
      </w:r>
      <w:r>
        <w:rPr>
          <w:rFonts w:hint="eastAsia" w:ascii="Times New Roman" w:hAnsi="Times New Roman" w:eastAsia="仿宋_GB2312"/>
          <w:sz w:val="32"/>
          <w:szCs w:val="32"/>
          <w:lang w:eastAsia="zh-CN"/>
        </w:rPr>
        <w:t>万元，占</w:t>
      </w:r>
      <w:r>
        <w:rPr>
          <w:rFonts w:hint="eastAsia" w:ascii="Times New Roman" w:hAnsi="Times New Roman" w:eastAsia="仿宋_GB2312"/>
          <w:sz w:val="32"/>
          <w:szCs w:val="32"/>
          <w:lang w:val="en-US" w:eastAsia="zh-CN"/>
        </w:rPr>
        <w:t>2.67</w:t>
      </w:r>
      <w:r>
        <w:rPr>
          <w:rFonts w:hint="eastAsia" w:ascii="Times New Roman" w:hAnsi="Times New Roman" w:eastAsia="仿宋_GB2312"/>
          <w:sz w:val="32"/>
          <w:szCs w:val="32"/>
          <w:lang w:eastAsia="zh-CN"/>
        </w:rPr>
        <w:t>%;卫生健康支出（类）支出</w:t>
      </w:r>
      <w:r>
        <w:rPr>
          <w:rFonts w:hint="eastAsia" w:ascii="Times New Roman" w:hAnsi="Times New Roman" w:eastAsia="仿宋_GB2312"/>
          <w:sz w:val="32"/>
          <w:szCs w:val="32"/>
          <w:lang w:val="en-US" w:eastAsia="zh-CN"/>
        </w:rPr>
        <w:t>15.4</w:t>
      </w:r>
      <w:r>
        <w:rPr>
          <w:rFonts w:hint="eastAsia" w:ascii="Times New Roman" w:hAnsi="Times New Roman" w:eastAsia="仿宋_GB2312"/>
          <w:sz w:val="32"/>
          <w:szCs w:val="32"/>
          <w:lang w:eastAsia="zh-CN"/>
        </w:rPr>
        <w:t>万元，占</w:t>
      </w:r>
      <w:r>
        <w:rPr>
          <w:rFonts w:hint="eastAsia" w:ascii="Times New Roman" w:hAnsi="Times New Roman" w:eastAsia="仿宋_GB2312"/>
          <w:sz w:val="32"/>
          <w:szCs w:val="32"/>
          <w:lang w:val="en-US" w:eastAsia="zh-CN"/>
        </w:rPr>
        <w:t>1.07</w:t>
      </w:r>
      <w:r>
        <w:rPr>
          <w:rFonts w:hint="eastAsia" w:ascii="Times New Roman" w:hAnsi="Times New Roman" w:eastAsia="仿宋_GB2312"/>
          <w:sz w:val="32"/>
          <w:szCs w:val="32"/>
          <w:lang w:eastAsia="zh-CN"/>
        </w:rPr>
        <w:t>%。</w:t>
      </w:r>
    </w:p>
    <w:p>
      <w:pPr>
        <w:pStyle w:val="18"/>
        <w:keepNext w:val="0"/>
        <w:keepLines w:val="0"/>
        <w:pageBreakBefore w:val="0"/>
        <w:widowControl w:val="0"/>
        <w:kinsoku/>
        <w:wordWrap/>
        <w:overflowPunct/>
        <w:topLinePunct w:val="0"/>
        <w:bidi w:val="0"/>
        <w:snapToGrid/>
        <w:spacing w:line="600" w:lineRule="exact"/>
        <w:textAlignment w:val="auto"/>
        <w:rPr>
          <w:rFonts w:hint="eastAsia" w:ascii="楷体" w:hAnsi="楷体" w:eastAsia="楷体" w:cs="楷体"/>
          <w:b w:val="0"/>
          <w:bCs/>
          <w:sz w:val="32"/>
          <w:szCs w:val="32"/>
        </w:rPr>
      </w:pPr>
      <w:r>
        <w:rPr>
          <w:rFonts w:hint="eastAsia" w:ascii="楷体" w:hAnsi="楷体" w:eastAsia="楷体" w:cs="楷体"/>
          <w:b w:val="0"/>
          <w:bCs/>
          <w:sz w:val="32"/>
          <w:szCs w:val="32"/>
          <w:lang w:val="en-US" w:eastAsia="zh-CN"/>
        </w:rPr>
        <w:t xml:space="preserve">   </w:t>
      </w:r>
      <w:r>
        <w:rPr>
          <w:rFonts w:hint="eastAsia" w:ascii="楷体" w:hAnsi="楷体" w:eastAsia="楷体" w:cs="楷体"/>
          <w:b w:val="0"/>
          <w:bCs/>
          <w:sz w:val="32"/>
          <w:szCs w:val="32"/>
        </w:rPr>
        <w:t>（三）一般公共预算财政拨款支出决算具体情况</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28"/>
          <w:szCs w:val="28"/>
        </w:rPr>
      </w:pPr>
      <w:r>
        <w:rPr>
          <w:rFonts w:hint="eastAsia" w:ascii="Times New Roman" w:hAnsi="Times New Roman" w:eastAsia="仿宋_GB2312"/>
          <w:sz w:val="32"/>
          <w:szCs w:val="32"/>
          <w:lang w:eastAsia="zh-CN"/>
        </w:rPr>
        <w:t>2024年度财政拨款支出年初预算数为</w:t>
      </w:r>
      <w:r>
        <w:rPr>
          <w:rFonts w:hint="eastAsia" w:ascii="Times New Roman" w:hAnsi="Times New Roman" w:eastAsia="仿宋_GB2312"/>
          <w:sz w:val="32"/>
          <w:szCs w:val="32"/>
          <w:lang w:val="en-US" w:eastAsia="zh-CN"/>
        </w:rPr>
        <w:t>967.83</w:t>
      </w:r>
      <w:r>
        <w:rPr>
          <w:rFonts w:hint="eastAsia" w:ascii="Times New Roman" w:hAnsi="Times New Roman" w:eastAsia="仿宋_GB2312"/>
          <w:sz w:val="32"/>
          <w:szCs w:val="32"/>
          <w:lang w:eastAsia="zh-CN"/>
        </w:rPr>
        <w:t>万元，支出决算数为</w:t>
      </w:r>
      <w:r>
        <w:rPr>
          <w:rFonts w:hint="eastAsia" w:ascii="Times New Roman" w:hAnsi="Times New Roman" w:eastAsia="仿宋_GB2312"/>
          <w:sz w:val="32"/>
          <w:szCs w:val="32"/>
          <w:lang w:val="en-US" w:eastAsia="zh-CN"/>
        </w:rPr>
        <w:t>1438.2</w:t>
      </w:r>
      <w:r>
        <w:rPr>
          <w:rFonts w:hint="eastAsia" w:ascii="Times New Roman" w:hAnsi="Times New Roman" w:eastAsia="仿宋_GB2312"/>
          <w:sz w:val="32"/>
          <w:szCs w:val="32"/>
          <w:lang w:eastAsia="zh-CN"/>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lang w:eastAsia="zh-CN"/>
        </w:rPr>
        <w:t>%，其中：</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1、一般公共服务支出（类）宣传事务（款）行政运行（项）。</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年初预算为</w:t>
      </w:r>
      <w:r>
        <w:rPr>
          <w:rFonts w:hint="eastAsia" w:ascii="Times New Roman" w:hAnsi="Times New Roman" w:eastAsia="仿宋_GB2312"/>
          <w:sz w:val="32"/>
          <w:szCs w:val="32"/>
          <w:lang w:val="en-US" w:eastAsia="zh-CN"/>
        </w:rPr>
        <w:t>181.56</w:t>
      </w:r>
      <w:r>
        <w:rPr>
          <w:rFonts w:hint="eastAsia" w:ascii="Times New Roman" w:hAnsi="Times New Roman" w:eastAsia="仿宋_GB2312"/>
          <w:sz w:val="32"/>
          <w:szCs w:val="32"/>
          <w:lang w:eastAsia="zh-CN"/>
        </w:rPr>
        <w:t>万元，支出决算为</w:t>
      </w:r>
      <w:r>
        <w:rPr>
          <w:rFonts w:hint="eastAsia" w:ascii="Times New Roman" w:hAnsi="Times New Roman" w:eastAsia="仿宋_GB2312"/>
          <w:sz w:val="32"/>
          <w:szCs w:val="32"/>
          <w:lang w:val="en-US" w:eastAsia="zh-CN"/>
        </w:rPr>
        <w:t>262.8</w:t>
      </w:r>
      <w:r>
        <w:rPr>
          <w:rFonts w:hint="eastAsia" w:ascii="Times New Roman" w:hAnsi="Times New Roman" w:eastAsia="仿宋_GB2312"/>
          <w:sz w:val="32"/>
          <w:szCs w:val="32"/>
          <w:lang w:eastAsia="zh-CN"/>
        </w:rPr>
        <w:t>万元，完成年初预算的</w:t>
      </w:r>
      <w:r>
        <w:rPr>
          <w:rFonts w:hint="eastAsia" w:ascii="Times New Roman" w:hAnsi="Times New Roman" w:eastAsia="仿宋_GB2312"/>
          <w:sz w:val="32"/>
          <w:szCs w:val="32"/>
          <w:lang w:val="en-US" w:eastAsia="zh-CN"/>
        </w:rPr>
        <w:t>144.74</w:t>
      </w:r>
      <w:r>
        <w:rPr>
          <w:rFonts w:hint="eastAsia" w:ascii="Times New Roman" w:hAnsi="Times New Roman" w:eastAsia="仿宋_GB2312"/>
          <w:sz w:val="32"/>
          <w:szCs w:val="32"/>
          <w:lang w:eastAsia="zh-CN"/>
        </w:rPr>
        <w:t>%，决算数大于年初预算数的主要原因是：</w:t>
      </w:r>
      <w:r>
        <w:rPr>
          <w:rFonts w:hint="eastAsia" w:ascii="Times New Roman" w:hAnsi="Times New Roman" w:eastAsia="仿宋_GB2312"/>
          <w:sz w:val="32"/>
          <w:szCs w:val="32"/>
          <w:lang w:val="en-US" w:eastAsia="zh-CN"/>
        </w:rPr>
        <w:t>一方面有部分专项资金未列入部门预算，直接列入到财政大预算中；另一方面有部分专项资金直接列入到行政运行（项）。</w:t>
      </w:r>
    </w:p>
    <w:p>
      <w:pPr>
        <w:pStyle w:val="18"/>
        <w:keepNext w:val="0"/>
        <w:keepLines w:val="0"/>
        <w:pageBreakBefore w:val="0"/>
        <w:widowControl w:val="0"/>
        <w:kinsoku/>
        <w:wordWrap/>
        <w:overflowPunct/>
        <w:topLinePunct w:val="0"/>
        <w:bidi w:val="0"/>
        <w:snapToGrid/>
        <w:spacing w:line="600" w:lineRule="exact"/>
        <w:ind w:firstLine="280" w:firstLineChars="1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28"/>
          <w:szCs w:val="28"/>
          <w:lang w:val="en-US" w:eastAsia="zh-CN"/>
        </w:rPr>
        <w:t xml:space="preserve">  </w:t>
      </w:r>
      <w:r>
        <w:rPr>
          <w:rFonts w:hint="eastAsia" w:ascii="Times New Roman" w:hAnsi="Times New Roman" w:eastAsia="仿宋_GB2312"/>
          <w:sz w:val="32"/>
          <w:szCs w:val="32"/>
          <w:lang w:val="en-US" w:eastAsia="zh-CN"/>
        </w:rPr>
        <w:t xml:space="preserve"> 2、</w:t>
      </w:r>
      <w:r>
        <w:rPr>
          <w:rFonts w:hint="eastAsia" w:ascii="Times New Roman" w:hAnsi="Times New Roman" w:eastAsia="仿宋_GB2312"/>
          <w:sz w:val="32"/>
          <w:szCs w:val="32"/>
          <w:lang w:eastAsia="zh-CN"/>
        </w:rPr>
        <w:t>一般公共服务支出（类）</w:t>
      </w:r>
      <w:r>
        <w:rPr>
          <w:rFonts w:hint="eastAsia" w:ascii="Times New Roman" w:hAnsi="Times New Roman" w:eastAsia="仿宋_GB2312"/>
          <w:sz w:val="32"/>
          <w:szCs w:val="32"/>
          <w:lang w:val="en-US" w:eastAsia="zh-CN"/>
        </w:rPr>
        <w:t>宣传事务</w:t>
      </w:r>
      <w:r>
        <w:rPr>
          <w:rFonts w:hint="eastAsia" w:ascii="Times New Roman" w:hAnsi="Times New Roman" w:eastAsia="仿宋_GB2312"/>
          <w:sz w:val="32"/>
          <w:szCs w:val="32"/>
          <w:lang w:eastAsia="zh-CN"/>
        </w:rPr>
        <w:t>（款）其他宣传事务支出（项）。</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年初预算为</w:t>
      </w:r>
      <w:r>
        <w:rPr>
          <w:rFonts w:hint="eastAsia" w:ascii="Times New Roman" w:hAnsi="Times New Roman" w:eastAsia="仿宋_GB2312"/>
          <w:sz w:val="32"/>
          <w:szCs w:val="32"/>
          <w:lang w:val="en-US" w:eastAsia="zh-CN"/>
        </w:rPr>
        <w:t>736.7</w:t>
      </w:r>
      <w:r>
        <w:rPr>
          <w:rFonts w:hint="eastAsia" w:ascii="Times New Roman" w:hAnsi="Times New Roman" w:eastAsia="仿宋_GB2312"/>
          <w:sz w:val="32"/>
          <w:szCs w:val="32"/>
          <w:lang w:eastAsia="zh-CN"/>
        </w:rPr>
        <w:t>万元，支出决算为</w:t>
      </w:r>
      <w:r>
        <w:rPr>
          <w:rFonts w:hint="eastAsia" w:ascii="Times New Roman" w:hAnsi="Times New Roman" w:eastAsia="仿宋_GB2312"/>
          <w:sz w:val="32"/>
          <w:szCs w:val="32"/>
          <w:lang w:val="en-US" w:eastAsia="zh-CN"/>
        </w:rPr>
        <w:t>1121.5</w:t>
      </w:r>
      <w:r>
        <w:rPr>
          <w:rFonts w:hint="eastAsia" w:ascii="Times New Roman" w:hAnsi="Times New Roman" w:eastAsia="仿宋_GB2312"/>
          <w:sz w:val="32"/>
          <w:szCs w:val="32"/>
          <w:lang w:eastAsia="zh-CN"/>
        </w:rPr>
        <w:t>万元，完成年初预算的</w:t>
      </w:r>
      <w:r>
        <w:rPr>
          <w:rFonts w:hint="eastAsia" w:ascii="Times New Roman" w:hAnsi="Times New Roman" w:eastAsia="仿宋_GB2312"/>
          <w:sz w:val="32"/>
          <w:szCs w:val="32"/>
          <w:lang w:val="en-US" w:eastAsia="zh-CN"/>
        </w:rPr>
        <w:t>152.23</w:t>
      </w:r>
      <w:r>
        <w:rPr>
          <w:rFonts w:hint="eastAsia" w:ascii="Times New Roman" w:hAnsi="Times New Roman" w:eastAsia="仿宋_GB2312"/>
          <w:sz w:val="32"/>
          <w:szCs w:val="32"/>
          <w:lang w:eastAsia="zh-CN"/>
        </w:rPr>
        <w:t>%，决算数大于年初预算数的主要原因是：</w:t>
      </w:r>
      <w:r>
        <w:rPr>
          <w:rFonts w:hint="eastAsia" w:ascii="Times New Roman" w:hAnsi="Times New Roman" w:eastAsia="仿宋_GB2312"/>
          <w:sz w:val="32"/>
          <w:szCs w:val="32"/>
          <w:lang w:val="en-US" w:eastAsia="zh-CN"/>
        </w:rPr>
        <w:t>新时代文明实践专项经费及文明创建等专项经费的增加，导致此项经费有所增加。</w:t>
      </w:r>
    </w:p>
    <w:p>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社会保障和就业支出</w:t>
      </w:r>
      <w:r>
        <w:rPr>
          <w:rFonts w:hint="eastAsia" w:ascii="Times New Roman" w:hAnsi="Times New Roman" w:eastAsia="仿宋_GB2312"/>
          <w:sz w:val="32"/>
          <w:szCs w:val="32"/>
          <w:lang w:eastAsia="zh-CN"/>
        </w:rPr>
        <w:t>（类）</w:t>
      </w:r>
      <w:r>
        <w:rPr>
          <w:rFonts w:hint="eastAsia" w:ascii="Times New Roman" w:hAnsi="Times New Roman" w:eastAsia="仿宋_GB2312"/>
          <w:sz w:val="32"/>
          <w:szCs w:val="32"/>
          <w:lang w:val="en-US" w:eastAsia="zh-CN"/>
        </w:rPr>
        <w:t>行政事业单位养老支出</w:t>
      </w:r>
      <w:r>
        <w:rPr>
          <w:rFonts w:hint="eastAsia" w:ascii="Times New Roman" w:hAnsi="Times New Roman" w:eastAsia="仿宋_GB2312"/>
          <w:sz w:val="32"/>
          <w:szCs w:val="32"/>
          <w:lang w:eastAsia="zh-CN"/>
        </w:rPr>
        <w:t>（款）</w:t>
      </w:r>
      <w:r>
        <w:rPr>
          <w:rFonts w:hint="eastAsia" w:ascii="Times New Roman" w:hAnsi="Times New Roman" w:eastAsia="仿宋_GB2312"/>
          <w:sz w:val="32"/>
          <w:szCs w:val="32"/>
          <w:lang w:val="en-US" w:eastAsia="zh-CN"/>
        </w:rPr>
        <w:t>机关事业单位基本养老保险缴费支出</w:t>
      </w:r>
      <w:r>
        <w:rPr>
          <w:rFonts w:hint="eastAsia" w:ascii="Times New Roman" w:hAnsi="Times New Roman" w:eastAsia="仿宋_GB2312"/>
          <w:sz w:val="32"/>
          <w:szCs w:val="32"/>
          <w:lang w:eastAsia="zh-CN"/>
        </w:rPr>
        <w:t>（项）。</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年初预算为</w:t>
      </w:r>
      <w:r>
        <w:rPr>
          <w:rFonts w:hint="eastAsia" w:ascii="Times New Roman" w:hAnsi="Times New Roman" w:eastAsia="仿宋_GB2312"/>
          <w:sz w:val="32"/>
          <w:szCs w:val="32"/>
          <w:lang w:val="en-US" w:eastAsia="zh-CN"/>
        </w:rPr>
        <w:t>31.12</w:t>
      </w:r>
      <w:r>
        <w:rPr>
          <w:rFonts w:hint="eastAsia" w:ascii="Times New Roman" w:hAnsi="Times New Roman" w:eastAsia="仿宋_GB2312"/>
          <w:sz w:val="32"/>
          <w:szCs w:val="32"/>
          <w:lang w:eastAsia="zh-CN"/>
        </w:rPr>
        <w:t>万元，支出决算为</w:t>
      </w:r>
      <w:r>
        <w:rPr>
          <w:rFonts w:hint="eastAsia" w:ascii="Times New Roman" w:hAnsi="Times New Roman" w:eastAsia="仿宋_GB2312"/>
          <w:sz w:val="32"/>
          <w:szCs w:val="32"/>
          <w:lang w:val="en-US" w:eastAsia="zh-CN"/>
        </w:rPr>
        <w:t>33</w:t>
      </w:r>
      <w:r>
        <w:rPr>
          <w:rFonts w:hint="eastAsia" w:ascii="Times New Roman" w:hAnsi="Times New Roman" w:eastAsia="仿宋_GB2312"/>
          <w:sz w:val="32"/>
          <w:szCs w:val="32"/>
          <w:lang w:eastAsia="zh-CN"/>
        </w:rPr>
        <w:t>万元，完成年初预算的</w:t>
      </w:r>
      <w:r>
        <w:rPr>
          <w:rFonts w:hint="eastAsia" w:ascii="Times New Roman" w:hAnsi="Times New Roman" w:eastAsia="仿宋_GB2312"/>
          <w:sz w:val="32"/>
          <w:szCs w:val="32"/>
          <w:lang w:val="en-US" w:eastAsia="zh-CN"/>
        </w:rPr>
        <w:t>106.04</w:t>
      </w:r>
      <w:r>
        <w:rPr>
          <w:rFonts w:hint="eastAsia" w:ascii="Times New Roman" w:hAnsi="Times New Roman" w:eastAsia="仿宋_GB2312"/>
          <w:sz w:val="32"/>
          <w:szCs w:val="32"/>
          <w:lang w:eastAsia="zh-CN"/>
        </w:rPr>
        <w:t>%。决算数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lang w:eastAsia="zh-CN"/>
        </w:rPr>
        <w:t>于年初预算数的主要原因是</w:t>
      </w:r>
      <w:r>
        <w:rPr>
          <w:rFonts w:hint="eastAsia" w:ascii="Times New Roman" w:hAnsi="Times New Roman" w:eastAsia="仿宋_GB2312"/>
          <w:sz w:val="32"/>
          <w:szCs w:val="32"/>
          <w:lang w:val="en-US" w:eastAsia="zh-CN"/>
        </w:rPr>
        <w:t>本单位年度内有新增人员，导致此项经费有所增加</w:t>
      </w:r>
      <w:r>
        <w:rPr>
          <w:rFonts w:hint="eastAsia" w:ascii="Times New Roman" w:hAnsi="Times New Roman" w:eastAsia="仿宋_GB2312"/>
          <w:sz w:val="32"/>
          <w:szCs w:val="32"/>
          <w:lang w:eastAsia="zh-CN"/>
        </w:rPr>
        <w:t>。</w:t>
      </w:r>
    </w:p>
    <w:p>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社会保障和就业支出</w:t>
      </w:r>
      <w:r>
        <w:rPr>
          <w:rFonts w:hint="eastAsia" w:ascii="Times New Roman" w:hAnsi="Times New Roman" w:eastAsia="仿宋_GB2312"/>
          <w:sz w:val="32"/>
          <w:szCs w:val="32"/>
          <w:lang w:eastAsia="zh-CN"/>
        </w:rPr>
        <w:t>（类）</w:t>
      </w:r>
      <w:r>
        <w:rPr>
          <w:rFonts w:hint="eastAsia" w:ascii="Times New Roman" w:hAnsi="Times New Roman" w:eastAsia="仿宋_GB2312"/>
          <w:sz w:val="32"/>
          <w:szCs w:val="32"/>
          <w:lang w:val="en-US" w:eastAsia="zh-CN"/>
        </w:rPr>
        <w:t>行政事业单位养老支出</w:t>
      </w:r>
      <w:r>
        <w:rPr>
          <w:rFonts w:hint="eastAsia" w:ascii="Times New Roman" w:hAnsi="Times New Roman" w:eastAsia="仿宋_GB2312"/>
          <w:sz w:val="32"/>
          <w:szCs w:val="32"/>
          <w:lang w:eastAsia="zh-CN"/>
        </w:rPr>
        <w:t>（款）机关事业单位职业年金缴费支出（项）</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年初预算为</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万元，支出决算为</w:t>
      </w:r>
      <w:r>
        <w:rPr>
          <w:rFonts w:hint="eastAsia" w:ascii="Times New Roman" w:hAnsi="Times New Roman" w:eastAsia="仿宋_GB2312"/>
          <w:sz w:val="32"/>
          <w:szCs w:val="32"/>
          <w:lang w:val="en-US" w:eastAsia="zh-CN"/>
        </w:rPr>
        <w:t>5.5</w:t>
      </w:r>
      <w:r>
        <w:rPr>
          <w:rFonts w:hint="eastAsia" w:ascii="Times New Roman" w:hAnsi="Times New Roman" w:eastAsia="仿宋_GB2312"/>
          <w:sz w:val="32"/>
          <w:szCs w:val="32"/>
          <w:lang w:eastAsia="zh-CN"/>
        </w:rPr>
        <w:t>万元，完成年初预算的</w:t>
      </w:r>
      <w:r>
        <w:rPr>
          <w:rFonts w:hint="eastAsia" w:ascii="Times New Roman" w:hAnsi="Times New Roman" w:eastAsia="仿宋_GB2312"/>
          <w:sz w:val="32"/>
          <w:szCs w:val="32"/>
          <w:lang w:val="en-US" w:eastAsia="zh-CN"/>
        </w:rPr>
        <w:t>110</w:t>
      </w:r>
      <w:r>
        <w:rPr>
          <w:rFonts w:hint="eastAsia" w:ascii="Times New Roman" w:hAnsi="Times New Roman" w:eastAsia="仿宋_GB2312"/>
          <w:sz w:val="32"/>
          <w:szCs w:val="32"/>
          <w:lang w:eastAsia="zh-CN"/>
        </w:rPr>
        <w:t>%。决算数大于年初预算数的主要原因是</w:t>
      </w:r>
      <w:r>
        <w:rPr>
          <w:rFonts w:hint="eastAsia" w:ascii="Times New Roman" w:hAnsi="Times New Roman" w:eastAsia="仿宋_GB2312"/>
          <w:sz w:val="32"/>
          <w:szCs w:val="32"/>
          <w:lang w:val="en-US" w:eastAsia="zh-CN"/>
        </w:rPr>
        <w:t>本单位年度内有新增人员，导致此项经费有所增加</w:t>
      </w:r>
      <w:r>
        <w:rPr>
          <w:rFonts w:hint="eastAsia" w:ascii="Times New Roman" w:hAnsi="Times New Roman" w:eastAsia="仿宋_GB2312"/>
          <w:sz w:val="32"/>
          <w:szCs w:val="32"/>
          <w:lang w:eastAsia="zh-CN"/>
        </w:rPr>
        <w:t>。</w:t>
      </w:r>
    </w:p>
    <w:p>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卫生健康支出</w:t>
      </w:r>
      <w:r>
        <w:rPr>
          <w:rFonts w:hint="eastAsia" w:ascii="Times New Roman" w:hAnsi="Times New Roman" w:eastAsia="仿宋_GB2312"/>
          <w:sz w:val="32"/>
          <w:szCs w:val="32"/>
          <w:lang w:eastAsia="zh-CN"/>
        </w:rPr>
        <w:t>（类）</w:t>
      </w:r>
      <w:r>
        <w:rPr>
          <w:rFonts w:hint="eastAsia" w:ascii="Times New Roman" w:hAnsi="Times New Roman" w:eastAsia="仿宋_GB2312"/>
          <w:sz w:val="32"/>
          <w:szCs w:val="32"/>
          <w:lang w:val="en-US" w:eastAsia="zh-CN"/>
        </w:rPr>
        <w:t>行政事业单位医疗</w:t>
      </w:r>
      <w:r>
        <w:rPr>
          <w:rFonts w:hint="eastAsia" w:ascii="Times New Roman" w:hAnsi="Times New Roman" w:eastAsia="仿宋_GB2312"/>
          <w:sz w:val="32"/>
          <w:szCs w:val="32"/>
          <w:lang w:eastAsia="zh-CN"/>
        </w:rPr>
        <w:t>（款）</w:t>
      </w:r>
      <w:r>
        <w:rPr>
          <w:rFonts w:hint="eastAsia" w:ascii="Times New Roman" w:hAnsi="Times New Roman" w:eastAsia="仿宋_GB2312"/>
          <w:sz w:val="32"/>
          <w:szCs w:val="32"/>
          <w:lang w:val="en-US" w:eastAsia="zh-CN"/>
        </w:rPr>
        <w:t>行政单位医疗</w:t>
      </w:r>
      <w:r>
        <w:rPr>
          <w:rFonts w:hint="eastAsia" w:ascii="Times New Roman" w:hAnsi="Times New Roman" w:eastAsia="仿宋_GB2312"/>
          <w:sz w:val="32"/>
          <w:szCs w:val="32"/>
          <w:lang w:eastAsia="zh-CN"/>
        </w:rPr>
        <w:t>（项）</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28"/>
          <w:szCs w:val="28"/>
          <w:lang w:eastAsia="zh-CN"/>
        </w:rPr>
      </w:pPr>
      <w:r>
        <w:rPr>
          <w:rFonts w:hint="eastAsia" w:ascii="Times New Roman" w:hAnsi="Times New Roman" w:eastAsia="仿宋_GB2312"/>
          <w:sz w:val="32"/>
          <w:szCs w:val="32"/>
          <w:lang w:eastAsia="zh-CN"/>
        </w:rPr>
        <w:t>年初预算为</w:t>
      </w:r>
      <w:r>
        <w:rPr>
          <w:rFonts w:hint="eastAsia" w:ascii="Times New Roman" w:hAnsi="Times New Roman" w:eastAsia="仿宋_GB2312"/>
          <w:sz w:val="32"/>
          <w:szCs w:val="32"/>
          <w:lang w:val="en-US" w:eastAsia="zh-CN"/>
        </w:rPr>
        <w:t>13.45</w:t>
      </w:r>
      <w:r>
        <w:rPr>
          <w:rFonts w:hint="eastAsia" w:ascii="Times New Roman" w:hAnsi="Times New Roman" w:eastAsia="仿宋_GB2312"/>
          <w:sz w:val="32"/>
          <w:szCs w:val="32"/>
          <w:lang w:eastAsia="zh-CN"/>
        </w:rPr>
        <w:t>万元，支出决算为</w:t>
      </w:r>
      <w:r>
        <w:rPr>
          <w:rFonts w:hint="eastAsia" w:ascii="Times New Roman" w:hAnsi="Times New Roman" w:eastAsia="仿宋_GB2312"/>
          <w:sz w:val="32"/>
          <w:szCs w:val="32"/>
          <w:lang w:val="en-US" w:eastAsia="zh-CN"/>
        </w:rPr>
        <w:t>15.4</w:t>
      </w:r>
      <w:r>
        <w:rPr>
          <w:rFonts w:hint="eastAsia" w:ascii="Times New Roman" w:hAnsi="Times New Roman" w:eastAsia="仿宋_GB2312"/>
          <w:sz w:val="32"/>
          <w:szCs w:val="32"/>
          <w:lang w:eastAsia="zh-CN"/>
        </w:rPr>
        <w:t>万元，完成年初预算的</w:t>
      </w:r>
      <w:r>
        <w:rPr>
          <w:rFonts w:hint="eastAsia" w:ascii="Times New Roman" w:hAnsi="Times New Roman" w:eastAsia="仿宋_GB2312"/>
          <w:sz w:val="32"/>
          <w:szCs w:val="32"/>
          <w:lang w:val="en-US" w:eastAsia="zh-CN"/>
        </w:rPr>
        <w:t>114.5</w:t>
      </w:r>
      <w:r>
        <w:rPr>
          <w:rFonts w:hint="eastAsia" w:ascii="Times New Roman" w:hAnsi="Times New Roman" w:eastAsia="仿宋_GB2312"/>
          <w:sz w:val="32"/>
          <w:szCs w:val="32"/>
          <w:lang w:eastAsia="zh-CN"/>
        </w:rPr>
        <w:t>%。决算数大于年初预算数的主要原因是</w:t>
      </w:r>
      <w:r>
        <w:rPr>
          <w:rFonts w:hint="eastAsia" w:ascii="Times New Roman" w:hAnsi="Times New Roman" w:eastAsia="仿宋_GB2312"/>
          <w:sz w:val="32"/>
          <w:szCs w:val="32"/>
          <w:lang w:val="en-US" w:eastAsia="zh-CN"/>
        </w:rPr>
        <w:t>本单位年度内有新增人员，导致此项经费有所增加</w:t>
      </w:r>
      <w:r>
        <w:rPr>
          <w:rFonts w:hint="eastAsia" w:ascii="Times New Roman" w:hAnsi="Times New Roman" w:eastAsia="仿宋_GB2312"/>
          <w:sz w:val="32"/>
          <w:szCs w:val="32"/>
          <w:lang w:eastAsia="zh-CN"/>
        </w:rPr>
        <w:t>。</w:t>
      </w:r>
    </w:p>
    <w:p>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316.62</w:t>
      </w:r>
      <w:r>
        <w:rPr>
          <w:rFonts w:hint="eastAsia" w:ascii="Times New Roman" w:hAnsi="Times New Roman" w:eastAsia="仿宋_GB2312"/>
          <w:sz w:val="32"/>
          <w:szCs w:val="32"/>
        </w:rPr>
        <w:t>万元，其中：</w:t>
      </w:r>
    </w:p>
    <w:p>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人员经费</w:t>
      </w:r>
      <w:r>
        <w:rPr>
          <w:rFonts w:hint="eastAsia" w:ascii="Times New Roman" w:hAnsi="Times New Roman" w:eastAsia="仿宋_GB2312"/>
          <w:sz w:val="32"/>
          <w:szCs w:val="32"/>
          <w:lang w:val="en-US" w:eastAsia="zh-CN"/>
        </w:rPr>
        <w:t>248.72</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78.55</w:t>
      </w:r>
      <w:r>
        <w:rPr>
          <w:rFonts w:hint="eastAsia" w:ascii="Times New Roman" w:hAnsi="Times New Roman" w:eastAsia="仿宋_GB2312"/>
          <w:sz w:val="32"/>
          <w:szCs w:val="32"/>
        </w:rPr>
        <w:t>%,主要包括基本工资、津贴补贴、奖金、伙食补助费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绩效工资、 机关事业单位基本养老保险缴费、职业年金缴费、其他社会保障缴费、 住房公积金、生活补助等</w:t>
      </w:r>
      <w:r>
        <w:rPr>
          <w:rFonts w:hint="eastAsia" w:ascii="Times New Roman" w:hAnsi="Times New Roman" w:eastAsia="仿宋_GB2312"/>
          <w:sz w:val="32"/>
          <w:szCs w:val="32"/>
          <w:lang w:eastAsia="zh-CN"/>
        </w:rPr>
        <w:t>。</w:t>
      </w:r>
    </w:p>
    <w:p>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公用经费</w:t>
      </w:r>
      <w:r>
        <w:rPr>
          <w:rFonts w:hint="eastAsia" w:ascii="Times New Roman" w:hAnsi="Times New Roman" w:eastAsia="仿宋_GB2312"/>
          <w:sz w:val="32"/>
          <w:szCs w:val="32"/>
          <w:lang w:val="en-US" w:eastAsia="zh-CN"/>
        </w:rPr>
        <w:t>67.9</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21.45</w:t>
      </w:r>
      <w:r>
        <w:rPr>
          <w:rFonts w:hint="eastAsia" w:ascii="Times New Roman" w:hAnsi="Times New Roman" w:eastAsia="仿宋_GB2312"/>
          <w:sz w:val="32"/>
          <w:szCs w:val="32"/>
        </w:rPr>
        <w:t>%，主要包括办公费、印刷费、</w:t>
      </w:r>
      <w:r>
        <w:rPr>
          <w:rFonts w:hint="eastAsia" w:ascii="Times New Roman" w:hAnsi="Times New Roman" w:eastAsia="仿宋_GB2312"/>
          <w:sz w:val="32"/>
          <w:szCs w:val="32"/>
          <w:lang w:val="en-US" w:eastAsia="zh-CN"/>
        </w:rPr>
        <w:t>水</w:t>
      </w:r>
      <w:r>
        <w:rPr>
          <w:rFonts w:hint="eastAsia" w:ascii="Times New Roman" w:hAnsi="Times New Roman" w:eastAsia="仿宋_GB2312"/>
          <w:sz w:val="32"/>
          <w:szCs w:val="32"/>
        </w:rPr>
        <w:t>费、</w:t>
      </w:r>
      <w:r>
        <w:rPr>
          <w:rFonts w:hint="eastAsia" w:ascii="Times New Roman" w:hAnsi="Times New Roman" w:eastAsia="仿宋_GB2312"/>
          <w:sz w:val="32"/>
          <w:szCs w:val="32"/>
          <w:lang w:val="en-US" w:eastAsia="zh-CN"/>
        </w:rPr>
        <w:t>电</w:t>
      </w:r>
      <w:r>
        <w:rPr>
          <w:rFonts w:hint="eastAsia" w:ascii="Times New Roman" w:hAnsi="Times New Roman" w:eastAsia="仿宋_GB2312"/>
          <w:sz w:val="32"/>
          <w:szCs w:val="32"/>
        </w:rPr>
        <w:t>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邮电费、差旅费、维护费、劳务费、工会经费、其他交通费等</w:t>
      </w:r>
      <w:r>
        <w:rPr>
          <w:rFonts w:hint="eastAsia" w:ascii="Times New Roman" w:hAnsi="Times New Roman" w:eastAsia="仿宋_GB2312"/>
          <w:sz w:val="32"/>
          <w:szCs w:val="32"/>
        </w:rPr>
        <w:t>。</w:t>
      </w:r>
    </w:p>
    <w:p>
      <w:pPr>
        <w:pStyle w:val="18"/>
        <w:keepNext w:val="0"/>
        <w:keepLines w:val="0"/>
        <w:pageBreakBefore w:val="0"/>
        <w:widowControl w:val="0"/>
        <w:numPr>
          <w:ilvl w:val="0"/>
          <w:numId w:val="2"/>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财政拨款三公经费支出决算情况说明</w:t>
      </w:r>
    </w:p>
    <w:p>
      <w:pPr>
        <w:pStyle w:val="18"/>
        <w:keepNext w:val="0"/>
        <w:keepLines w:val="0"/>
        <w:pageBreakBefore w:val="0"/>
        <w:widowControl w:val="0"/>
        <w:numPr>
          <w:ilvl w:val="0"/>
          <w:numId w:val="0"/>
        </w:numPr>
        <w:kinsoku/>
        <w:wordWrap/>
        <w:overflowPunct/>
        <w:topLinePunct w:val="0"/>
        <w:bidi w:val="0"/>
        <w:snapToGrid/>
        <w:spacing w:line="600" w:lineRule="exact"/>
        <w:textAlignment w:val="auto"/>
        <w:rPr>
          <w:rFonts w:hint="eastAsia" w:ascii="楷体" w:hAnsi="楷体" w:eastAsia="楷体" w:cs="楷体"/>
          <w:b/>
          <w:bCs w:val="0"/>
          <w:sz w:val="32"/>
          <w:szCs w:val="32"/>
        </w:rPr>
      </w:pPr>
      <w:r>
        <w:rPr>
          <w:rFonts w:hint="eastAsia" w:ascii="楷体" w:hAnsi="楷体" w:eastAsia="楷体" w:cs="楷体"/>
          <w:b/>
          <w:bCs w:val="0"/>
          <w:sz w:val="32"/>
          <w:szCs w:val="32"/>
          <w:lang w:val="en-US" w:eastAsia="zh-CN"/>
        </w:rPr>
        <w:t xml:space="preserve">   </w:t>
      </w:r>
      <w:r>
        <w:rPr>
          <w:rFonts w:hint="eastAsia" w:ascii="楷体" w:hAnsi="楷体" w:eastAsia="楷体" w:cs="楷体"/>
          <w:b/>
          <w:bCs w:val="0"/>
          <w:sz w:val="32"/>
          <w:szCs w:val="32"/>
        </w:rPr>
        <w:t>（一）“三公”经费财政拨款支出决算总体情况说明</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6.3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8.57</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136</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rPr>
        <w:t>与上年相</w:t>
      </w:r>
      <w:r>
        <w:rPr>
          <w:rFonts w:hint="eastAsia" w:ascii="Times New Roman" w:hAnsi="Times New Roman" w:eastAsia="仿宋_GB2312"/>
          <w:sz w:val="32"/>
          <w:szCs w:val="32"/>
          <w:lang w:eastAsia="zh-CN"/>
        </w:rPr>
        <w:t>比减少</w:t>
      </w:r>
      <w:r>
        <w:rPr>
          <w:rFonts w:hint="eastAsia" w:ascii="Times New Roman" w:hAnsi="Times New Roman" w:eastAsia="仿宋_GB2312"/>
          <w:sz w:val="32"/>
          <w:szCs w:val="32"/>
          <w:lang w:val="en-US" w:eastAsia="zh-CN"/>
        </w:rPr>
        <w:t>0.11</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1.2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减少的主要原因为：压缩开支、厉行节约。</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因公出国（境）费支出预算为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6.3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8.57</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136</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0.11</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1.2</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减少的主要原因为：压缩开支、厉行节约。</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公务用车购置费支出预算为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公务用车运行维护费支出预算为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元。</w:t>
      </w:r>
    </w:p>
    <w:p>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年度“三公”经费财政拨款支出决算中，公务接待费支出决算</w:t>
      </w:r>
      <w:r>
        <w:rPr>
          <w:rFonts w:hint="eastAsia" w:ascii="Times New Roman" w:hAnsi="Times New Roman" w:eastAsia="仿宋_GB2312"/>
          <w:sz w:val="32"/>
          <w:szCs w:val="32"/>
          <w:lang w:val="en-US" w:eastAsia="zh-CN"/>
        </w:rPr>
        <w:t>8.57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8.57</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108</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462</w:t>
      </w:r>
      <w:r>
        <w:rPr>
          <w:rFonts w:hint="eastAsia" w:ascii="Times New Roman" w:hAnsi="Times New Roman" w:eastAsia="仿宋_GB2312"/>
          <w:sz w:val="32"/>
          <w:szCs w:val="32"/>
        </w:rPr>
        <w:t>人次，主要是</w:t>
      </w:r>
      <w:r>
        <w:rPr>
          <w:rFonts w:hint="eastAsia" w:ascii="Times New Roman" w:hAnsi="Times New Roman" w:eastAsia="仿宋_GB2312"/>
          <w:sz w:val="32"/>
          <w:szCs w:val="32"/>
          <w:lang w:val="en-US" w:eastAsia="zh-CN"/>
        </w:rPr>
        <w:t>上级领导来本县督查、其他县区来本县学习交流以及中央、省、市媒体记者来道采访等</w:t>
      </w:r>
      <w:r>
        <w:rPr>
          <w:rFonts w:hint="eastAsia" w:ascii="Times New Roman" w:hAnsi="Times New Roman" w:eastAsia="仿宋_GB2312"/>
          <w:sz w:val="32"/>
          <w:szCs w:val="32"/>
        </w:rPr>
        <w:t>发生的接待支出。</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万元。公务用车运行维护费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pPr>
        <w:pStyle w:val="18"/>
        <w:rPr>
          <w:rFonts w:hint="eastAsia" w:ascii="Times New Roman" w:hAnsi="Times New Roman" w:eastAsia="仿宋_GB2312"/>
          <w:sz w:val="32"/>
          <w:szCs w:val="32"/>
          <w:lang w:val="en-US" w:eastAsia="zh-CN"/>
        </w:rPr>
      </w:pPr>
      <w:r>
        <w:rPr>
          <w:rFonts w:hint="eastAsia" w:ascii="Times New Roman" w:hAnsi="Times New Roman" w:eastAsia="仿宋_GB2312"/>
          <w:sz w:val="30"/>
          <w:szCs w:val="30"/>
          <w:lang w:val="en-US" w:eastAsia="zh-CN"/>
        </w:rPr>
        <w:t xml:space="preserve">    </w:t>
      </w: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年度政府性基金预算财政拨款收入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8"/>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val="en-US" w:eastAsia="zh-CN"/>
        </w:rPr>
        <w:t xml:space="preserve">    </w:t>
      </w:r>
      <w:r>
        <w:rPr>
          <w:rFonts w:hint="eastAsia" w:ascii="Times New Roman" w:hAnsi="Times New Roman" w:eastAsia="仿宋_GB2312"/>
          <w:b/>
          <w:color w:val="auto"/>
          <w:sz w:val="32"/>
          <w:szCs w:val="32"/>
        </w:rPr>
        <w:t>九、关于机关运行经费支出说明</w:t>
      </w:r>
    </w:p>
    <w:p>
      <w:pPr>
        <w:pStyle w:val="18"/>
        <w:rPr>
          <w:rFonts w:hint="eastAsia" w:ascii="Times New Roman" w:hAnsi="Times New Roman" w:eastAsia="仿宋_GB2312"/>
          <w:sz w:val="32"/>
          <w:szCs w:val="32"/>
        </w:rPr>
      </w:pPr>
      <w:r>
        <w:rPr>
          <w:rFonts w:hint="eastAsia" w:ascii="Times New Roman" w:hAnsi="Times New Roman" w:eastAsia="仿宋_GB2312"/>
          <w:sz w:val="30"/>
          <w:szCs w:val="30"/>
          <w:lang w:val="en-US" w:eastAsia="zh-CN"/>
        </w:rPr>
        <w:t xml:space="preserve">   </w:t>
      </w: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67.9</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比上年决算数</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14.7</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lang w:val="en-US" w:eastAsia="zh-CN"/>
        </w:rPr>
        <w:t>18</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压缩开支、厉行节约。</w:t>
      </w:r>
    </w:p>
    <w:p>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pPr>
        <w:pStyle w:val="18"/>
        <w:rPr>
          <w:rFonts w:hint="eastAsia" w:ascii="Times New Roman" w:hAnsi="Times New Roman" w:eastAsia="仿宋_GB2312"/>
          <w:sz w:val="32"/>
          <w:szCs w:val="32"/>
        </w:rPr>
      </w:pPr>
      <w:r>
        <w:rPr>
          <w:rFonts w:hint="eastAsia" w:ascii="Times New Roman" w:hAnsi="Times New Roman" w:eastAsia="仿宋_GB2312"/>
          <w:sz w:val="30"/>
          <w:szCs w:val="30"/>
          <w:lang w:val="en-US" w:eastAsia="zh-CN"/>
        </w:rPr>
        <w:t xml:space="preserve">   </w:t>
      </w: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年本部门开支培训费</w:t>
      </w:r>
      <w:r>
        <w:rPr>
          <w:rFonts w:hint="eastAsia" w:ascii="Times New Roman" w:hAnsi="Times New Roman" w:eastAsia="仿宋_GB2312"/>
          <w:sz w:val="32"/>
          <w:szCs w:val="32"/>
          <w:lang w:val="en-US" w:eastAsia="zh-CN"/>
        </w:rPr>
        <w:t>0.5</w:t>
      </w:r>
      <w:r>
        <w:rPr>
          <w:rFonts w:hint="eastAsia" w:ascii="Times New Roman" w:hAnsi="Times New Roman" w:eastAsia="仿宋_GB2312"/>
          <w:sz w:val="32"/>
          <w:szCs w:val="32"/>
        </w:rPr>
        <w:t>万元，用于</w:t>
      </w:r>
      <w:r>
        <w:rPr>
          <w:rFonts w:hint="eastAsia" w:ascii="Times New Roman" w:hAnsi="Times New Roman" w:eastAsia="仿宋_GB2312"/>
          <w:sz w:val="32"/>
          <w:szCs w:val="32"/>
          <w:lang w:val="en-US" w:eastAsia="zh-CN"/>
        </w:rPr>
        <w:t>2024年新闻宣传干部培训等</w:t>
      </w:r>
      <w:r>
        <w:rPr>
          <w:rFonts w:hint="eastAsia" w:ascii="Times New Roman" w:hAnsi="Times New Roman" w:eastAsia="仿宋_GB2312"/>
          <w:sz w:val="32"/>
          <w:szCs w:val="32"/>
        </w:rPr>
        <w:t>，人数</w:t>
      </w:r>
      <w:r>
        <w:rPr>
          <w:rFonts w:hint="eastAsia" w:ascii="Times New Roman" w:hAnsi="Times New Roman" w:eastAsia="仿宋_GB2312"/>
          <w:sz w:val="32"/>
          <w:szCs w:val="32"/>
          <w:lang w:val="en-US" w:eastAsia="zh-CN"/>
        </w:rPr>
        <w:t>40余</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val="en-US" w:eastAsia="zh-CN"/>
        </w:rPr>
        <w:t>2024年全县新闻宣传干部培训费</w:t>
      </w:r>
      <w:r>
        <w:rPr>
          <w:rFonts w:hint="eastAsia" w:ascii="Times New Roman" w:hAnsi="Times New Roman" w:eastAsia="仿宋_GB2312"/>
          <w:sz w:val="32"/>
          <w:szCs w:val="32"/>
        </w:rPr>
        <w:t>；</w:t>
      </w:r>
    </w:p>
    <w:p>
      <w:pPr>
        <w:pStyle w:val="18"/>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eastAsia="zh-CN"/>
        </w:rPr>
        <w:t>授予中小企业合同金额</w:t>
      </w:r>
      <w:r>
        <w:rPr>
          <w:rFonts w:hint="eastAsia" w:ascii="Times New Roman" w:hAnsi="Times New Roman" w:eastAsia="仿宋_GB2312"/>
          <w:sz w:val="32"/>
          <w:szCs w:val="32"/>
        </w:rPr>
        <w:t>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%。货物采购授予中小企业合同金额占货物支出金额的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%，工程采购授予中小企业合同金额占工程支出金额的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%，服务采购授予中小企业合同金额占服务支出金额的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截至</w:t>
      </w:r>
      <w:r>
        <w:rPr>
          <w:rFonts w:hint="eastAsia" w:ascii="Times New Roman" w:hAnsi="Times New Roman" w:eastAsia="仿宋_GB2312"/>
          <w:sz w:val="32"/>
          <w:szCs w:val="32"/>
          <w:lang w:eastAsia="zh-CN"/>
        </w:rPr>
        <w:t>2024</w:t>
      </w:r>
      <w:r>
        <w:rPr>
          <w:rFonts w:hint="eastAsia" w:ascii="Times New Roman" w:hAnsi="Times New Roman" w:eastAsia="仿宋_GB2312"/>
          <w:sz w:val="32"/>
          <w:szCs w:val="32"/>
        </w:rPr>
        <w:t>年12月31日，</w:t>
      </w:r>
      <w:r>
        <w:rPr>
          <w:rFonts w:hint="eastAsia" w:ascii="Times New Roman" w:hAnsi="Times New Roman" w:eastAsia="仿宋_GB2312"/>
          <w:sz w:val="32"/>
          <w:szCs w:val="32"/>
          <w:lang w:eastAsia="zh-CN"/>
        </w:rPr>
        <w:t>部门（单位）</w:t>
      </w:r>
      <w:r>
        <w:rPr>
          <w:rFonts w:hint="eastAsia" w:ascii="Times New Roman" w:hAnsi="Times New Roman" w:eastAsia="仿宋_GB2312"/>
          <w:sz w:val="32"/>
          <w:szCs w:val="32"/>
        </w:rPr>
        <w:t>共有车辆</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辆，其中</w:t>
      </w:r>
      <w:r>
        <w:rPr>
          <w:rFonts w:hint="eastAsia" w:ascii="Times New Roman" w:hAnsi="Times New Roman" w:eastAsia="仿宋_GB2312"/>
          <w:sz w:val="32"/>
          <w:szCs w:val="32"/>
          <w:lang w:eastAsia="zh-CN"/>
        </w:rPr>
        <w:t>，副部（省）级及以上领导用车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主要</w:t>
      </w:r>
      <w:r>
        <w:rPr>
          <w:rFonts w:hint="eastAsia" w:ascii="Times New Roman" w:hAnsi="Times New Roman" w:eastAsia="仿宋_GB2312"/>
          <w:sz w:val="32"/>
          <w:szCs w:val="32"/>
          <w:lang w:eastAsia="zh-CN"/>
        </w:rPr>
        <w:t>负责人</w:t>
      </w:r>
      <w:r>
        <w:rPr>
          <w:rFonts w:hint="eastAsia" w:ascii="Times New Roman" w:hAnsi="Times New Roman" w:eastAsia="仿宋_GB2312"/>
          <w:sz w:val="32"/>
          <w:szCs w:val="32"/>
        </w:rPr>
        <w:t>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机要通信用车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辆、应急保障用车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辆、执法执勤用车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辆、特种专业技术用车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r>
        <w:rPr>
          <w:rFonts w:hint="eastAsia" w:ascii="Times New Roman" w:hAnsi="Times New Roman" w:eastAsia="仿宋_GB2312"/>
          <w:sz w:val="32"/>
          <w:szCs w:val="32"/>
          <w:lang w:eastAsia="zh-CN"/>
        </w:rPr>
        <w:t>离退休干部服务用车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辆、其他用车</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辆；单位价值100万元以上设备</w:t>
      </w:r>
      <w:r>
        <w:rPr>
          <w:rFonts w:hint="eastAsia" w:ascii="Times New Roman" w:hAnsi="Times New Roman" w:eastAsia="仿宋_GB2312"/>
          <w:sz w:val="32"/>
          <w:szCs w:val="32"/>
          <w:lang w:eastAsia="zh-CN"/>
        </w:rPr>
        <w:t>（不含车辆）</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台（套）。</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2024</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pStyle w:val="18"/>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本单位将绩效管理工作作为预算安排的前置条件，全面实施绩效管理，完善预算绩效管理流程，扩大预算绩效管理范围，加强评价结果运用，努力盘活存量、用好增量，提高财政资源配置效率和使用效益，其主要体现以下三方面：一是加强预算编制绩效管理；二是完善项目绩效管理责任；三是积极推进项目绩效评价。</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adjustRightInd w:val="0"/>
        <w:snapToGrid w:val="0"/>
        <w:spacing w:line="600" w:lineRule="exact"/>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理论武装走深走实。县委常委会第一议题学习22次，学习内容99项；县委理论学习中心组集体学习11次，共计32个专题94项内容。为党员干部配发《习近平关于中国式现代化论述摘编》等理论书籍8类8000余册。开展党的二十届三中全会精神及习近平总书记重要讲话和指示精神“九进九讲”宣讲1000余场次。胡锦文荣获省市“爱我国防”主题演讲比赛一等奖。</w:t>
      </w:r>
    </w:p>
    <w:p>
      <w:pPr>
        <w:adjustRightInd w:val="0"/>
        <w:snapToGrid w:val="0"/>
        <w:spacing w:line="600" w:lineRule="exact"/>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意识形态平安平稳。修订或新建《关于进一步加强对研讨班、报告会、论坛、讲座管理的通知》等10余个工作制度，县委常委会专题研究意识形态工作2次，县委书记参与处置网络舆情3个。结合县委巡察开展2轮意识形态专项检查，反馈问题110余个，全面完成省委巡视意识形态专项检查反馈意见整改。及时协调处置“孙小萍案”等典型案例6起，整理编发《舆情专报》329期，发出交办函842个，办理网民留言1294条。</w:t>
      </w:r>
    </w:p>
    <w:p>
      <w:pPr>
        <w:adjustRightInd w:val="0"/>
        <w:snapToGrid w:val="0"/>
        <w:spacing w:line="600" w:lineRule="exact"/>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3.新闻外宣有声有色。策划《直击民“声”》等6个主题系列报道，中央媒体上稿410余篇（条），其中，央视新闻联播头条报道道县2次，《国家荣光——陈树湘》《湖湘一万年》分别在CCTV-1、CCTV4播出。“官媒+自媒”合作模式取得较好成效，国家非遗道州龙船赛事阅读量达10.9亿+，点赞量7000万+。主次街道门头广告和户外广告全面规范管理，重点路段、重点场所公益广告全面提质。全力构建网络宣传矩阵，制作发布H5、动漫、微视频、数据新闻、直播报道等融媒体产品540余篇（条）。</w:t>
      </w:r>
    </w:p>
    <w:p>
      <w:pPr>
        <w:adjustRightInd w:val="0"/>
        <w:snapToGrid w:val="0"/>
        <w:spacing w:line="600" w:lineRule="exact"/>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4.精神文明入脑入心。成功入选全国文明城市参评城市并完成中央文明城市测评组实地明察和暗访测评。积极推荐推介榜样，累计推选出中国好人2人、湖南好人11人，永州好人11人，省市县新时代好少年52人。着力打造“忠诚正道”文明实践品牌，《“忠诚正道”红色宣讲润心田》入选全国文明实践中心全覆盖建设创新案例、全国精品案例展示、全省首届新时代文明实践典型案例，道县“忠诚正道”微宣讲获评2024年度“雷锋家乡学雷锋”文明实践品牌项目A类项目。</w:t>
      </w:r>
    </w:p>
    <w:p>
      <w:pPr>
        <w:adjustRightInd w:val="0"/>
        <w:snapToGrid w:val="0"/>
        <w:spacing w:line="600" w:lineRule="exact"/>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5.文旅融合出圈出彩。持续开展“光影铸魂”等5大文化惠民活动，成功举办道县春晚、追光演唱会、中国龙舟公开赛和国家非遗道州龙船赛、“村BA”篮球赛、周敦颐遗迹遗址地政协协商协作会议、南岭联盟篮球邀请赛等大型文旅活动，国家非遗道州龙船赛成功挑战吉尼斯世界纪录。舞蹈《龙腾潇湘》获第八届湖南艺术节群众文化活动金奖，王建文获“三湘群星奖”。道州龙船雕刻和道州调子戏等两个非遗传承工作室成功揭牌，周敦颐廉洁文化展馆实现全国首创，梅花镇贵头村入选湖南省“四个一百”省级乡村旅游精品村名单，清塘镇楼田村入选第六批湖南省乡村旅游重点村名单，营江街道芒头寨非遗特色村入选2024年湖南省非遗村镇示范点名单。</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adjustRightInd w:val="0"/>
        <w:snapToGrid w:val="0"/>
        <w:spacing w:line="600" w:lineRule="exact"/>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1、预算绩效管理机制有待进一步完善，需进一步结合工作实际完善资金管理文件办法等。</w:t>
      </w:r>
    </w:p>
    <w:p>
      <w:pPr>
        <w:adjustRightInd w:val="0"/>
        <w:snapToGrid w:val="0"/>
        <w:spacing w:line="600" w:lineRule="exact"/>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2、绩效目标设定不够细化，绩效目标的科学性、合理性以及量化可考核性有待进一步加强。</w:t>
      </w:r>
    </w:p>
    <w:p>
      <w:pPr>
        <w:adjustRightInd w:val="0"/>
        <w:snapToGrid w:val="0"/>
        <w:spacing w:line="600" w:lineRule="exact"/>
        <w:ind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3、内控制度执行有待进一步规范。</w:t>
      </w:r>
    </w:p>
    <w:p>
      <w:pPr>
        <w:adjustRightInd w:val="0"/>
        <w:snapToGrid w:val="0"/>
        <w:spacing w:line="600" w:lineRule="exact"/>
        <w:ind w:firstLine="320" w:firstLineChars="1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  4、存在预算资金不够细，支出与预算不够专的问题。</w:t>
      </w:r>
    </w:p>
    <w:p>
      <w:pPr>
        <w:pStyle w:val="18"/>
        <w:jc w:val="both"/>
        <w:rPr>
          <w:sz w:val="72"/>
          <w:szCs w:val="72"/>
        </w:rPr>
      </w:pPr>
    </w:p>
    <w:p>
      <w:pPr>
        <w:pStyle w:val="18"/>
        <w:jc w:val="both"/>
        <w:rPr>
          <w:sz w:val="72"/>
          <w:szCs w:val="72"/>
        </w:rPr>
      </w:pPr>
    </w:p>
    <w:p>
      <w:pPr>
        <w:pStyle w:val="18"/>
        <w:jc w:val="center"/>
        <w:rPr>
          <w:sz w:val="72"/>
          <w:szCs w:val="72"/>
        </w:rPr>
      </w:pPr>
    </w:p>
    <w:p>
      <w:pPr>
        <w:pStyle w:val="18"/>
        <w:jc w:val="both"/>
        <w:rPr>
          <w:rFonts w:hint="eastAsia" w:ascii="方正小标宋_GBK" w:hAnsi="方正小标宋_GBK" w:eastAsia="方正小标宋_GBK" w:cs="方正小标宋_GBK"/>
          <w:sz w:val="72"/>
          <w:szCs w:val="72"/>
        </w:rPr>
      </w:pPr>
    </w:p>
    <w:p>
      <w:pPr>
        <w:pStyle w:val="18"/>
        <w:jc w:val="both"/>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br w:type="textWrapping"/>
      </w:r>
    </w:p>
    <w:p>
      <w:pPr>
        <w:pStyle w:val="18"/>
        <w:jc w:val="both"/>
        <w:rPr>
          <w:rFonts w:hint="eastAsia" w:ascii="方正小标宋_GBK" w:hAnsi="方正小标宋_GBK" w:eastAsia="方正小标宋_GBK" w:cs="方正小标宋_GBK"/>
          <w:sz w:val="72"/>
          <w:szCs w:val="72"/>
        </w:rPr>
      </w:pPr>
    </w:p>
    <w:p>
      <w:pPr>
        <w:pStyle w:val="18"/>
        <w:jc w:val="center"/>
        <w:rPr>
          <w:rFonts w:hint="eastAsia" w:ascii="方正小标宋_GBK" w:hAnsi="方正小标宋_GBK" w:eastAsia="方正小标宋_GBK" w:cs="方正小标宋_GBK"/>
          <w:sz w:val="72"/>
          <w:szCs w:val="72"/>
        </w:rPr>
      </w:pPr>
    </w:p>
    <w:p>
      <w:pPr>
        <w:pStyle w:val="18"/>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pPr>
        <w:jc w:val="center"/>
        <w:rPr>
          <w:rFonts w:hint="eastAsia" w:ascii="方正小标宋_GBK" w:hAnsi="方正小标宋_GBK" w:eastAsia="方正小标宋_GBK" w:cs="方正小标宋_GBK"/>
          <w:color w:val="000000"/>
          <w:kern w:val="0"/>
          <w:sz w:val="70"/>
          <w:szCs w:val="70"/>
        </w:rPr>
      </w:pPr>
    </w:p>
    <w:p>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一、财政拨款收入：指单位本年度从同级财政部门取得的各类财政拨款。</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ab/>
      </w:r>
      <w:r>
        <w:rPr>
          <w:rFonts w:hint="eastAsia" w:cs="黑体" w:asciiTheme="minorEastAsia" w:hAnsiTheme="minorEastAsia" w:eastAsiaTheme="minorEastAsia"/>
          <w:color w:val="000000"/>
          <w:kern w:val="0"/>
          <w:sz w:val="32"/>
          <w:szCs w:val="32"/>
          <w:lang w:val="en-US" w:eastAsia="zh-CN" w:bidi="ar-SA"/>
        </w:rPr>
        <w:t>二、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三、事业收入：指事业单位开展专业业务活动及其辅助活动取得的收入，事业单位收到的财政专户实际核拨的教育收费等资金在此反映。</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textAlignment w:val="auto"/>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ab/>
      </w:r>
      <w:r>
        <w:rPr>
          <w:rFonts w:hint="eastAsia" w:cs="黑体" w:asciiTheme="minorEastAsia" w:hAnsiTheme="minorEastAsia" w:eastAsiaTheme="minorEastAsia"/>
          <w:color w:val="000000"/>
          <w:kern w:val="0"/>
          <w:sz w:val="32"/>
          <w:szCs w:val="32"/>
          <w:lang w:val="en-US" w:eastAsia="zh-CN" w:bidi="ar-SA"/>
        </w:rPr>
        <w:t xml:space="preserve">   四、经营收入：指事业单位在专业业务活动及其辅助活动之外开展非独立核算经营活动取得的收入。</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五、附属单位上缴收入：指事业单位附属独立核算单位按照有关规定上缴的收入。</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六、其他收入：指单位取得的除上述“财政拨款收入”、“事业收入”、“经营收入”等以外的各项收入。</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七、使用非财政拨款结余：指事业单位使用非财政拨款结余（原事业基金）弥补当年收支差额的数额。</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八、年初结转和结余：指单位上年结转本年使用的基本支出结转、项目支出结转和结余和经营结余。</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九、结余分配：指事业单位按规定对非财政拨款结余资金提取的专用基金、缴纳的所得税和转入非财政拨款结余等。</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ab/>
      </w:r>
      <w:r>
        <w:rPr>
          <w:rFonts w:hint="eastAsia" w:cs="黑体" w:asciiTheme="minorEastAsia" w:hAnsiTheme="minorEastAsia" w:eastAsiaTheme="minorEastAsia"/>
          <w:color w:val="000000"/>
          <w:kern w:val="0"/>
          <w:sz w:val="32"/>
          <w:szCs w:val="32"/>
          <w:lang w:val="en-US" w:eastAsia="zh-CN" w:bidi="ar-SA"/>
        </w:rPr>
        <w:t>十、年末结转和结余资金：指本年度或以前年度预算安排、因客观条件发生变化无法按原计划实施，需要延迟到以后年度按有关规定继续使用的资金。</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十一、基本支出：指为保障机构正常运转、完成日常工作任务而发生的支出，包括人员经费和公用经费。</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ab/>
      </w:r>
      <w:r>
        <w:rPr>
          <w:rFonts w:hint="eastAsia" w:cs="黑体" w:asciiTheme="minorEastAsia" w:hAnsiTheme="minorEastAsia" w:eastAsiaTheme="minorEastAsia"/>
          <w:color w:val="000000"/>
          <w:kern w:val="0"/>
          <w:sz w:val="32"/>
          <w:szCs w:val="32"/>
          <w:lang w:val="en-US" w:eastAsia="zh-CN" w:bidi="ar-SA"/>
        </w:rPr>
        <w:t>十二、项目支出：指在为完成特定的工作任务和事业发展目标所发生的支出。</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960" w:firstLineChars="300"/>
        <w:textAlignment w:val="auto"/>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十三、上缴上级支出：指事业单位按照财政部门和主管部门的规定上缴上级单位的支出。</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ab/>
      </w:r>
      <w:r>
        <w:rPr>
          <w:rFonts w:hint="eastAsia" w:cs="黑体" w:asciiTheme="minorEastAsia" w:hAnsiTheme="minorEastAsia" w:eastAsiaTheme="minorEastAsia"/>
          <w:color w:val="000000"/>
          <w:kern w:val="0"/>
          <w:sz w:val="32"/>
          <w:szCs w:val="32"/>
          <w:lang w:val="en-US" w:eastAsia="zh-CN" w:bidi="ar-SA"/>
        </w:rPr>
        <w:t>十四、经营支出：指事业单位在专业业务活动及其辅助活动之外开展非独立核算经营活动发生的支出。</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ab/>
      </w:r>
      <w:r>
        <w:rPr>
          <w:rFonts w:hint="eastAsia" w:cs="黑体" w:asciiTheme="minorEastAsia" w:hAnsiTheme="minorEastAsia" w:eastAsiaTheme="minorEastAsia"/>
          <w:color w:val="000000"/>
          <w:kern w:val="0"/>
          <w:sz w:val="32"/>
          <w:szCs w:val="32"/>
          <w:lang w:val="en-US" w:eastAsia="zh-CN" w:bidi="ar-SA"/>
        </w:rPr>
        <w:t>十五、对附属单位补助支出：指事业单位用财政拨款收入之外的收入对附属单位补助发生的支出。</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ab/>
      </w:r>
      <w:r>
        <w:rPr>
          <w:rFonts w:hint="eastAsia" w:cs="黑体" w:asciiTheme="minorEastAsia" w:hAnsiTheme="minorEastAsia" w:eastAsiaTheme="minorEastAsia"/>
          <w:color w:val="000000"/>
          <w:kern w:val="0"/>
          <w:sz w:val="32"/>
          <w:szCs w:val="32"/>
          <w:lang w:val="en-US" w:eastAsia="zh-CN" w:bidi="ar-SA"/>
        </w:rPr>
        <w:t>十六、“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ab/>
      </w:r>
      <w:r>
        <w:rPr>
          <w:rFonts w:hint="eastAsia" w:cs="黑体" w:asciiTheme="minorEastAsia" w:hAnsiTheme="minorEastAsia" w:eastAsiaTheme="minorEastAsia"/>
          <w:color w:val="000000"/>
          <w:kern w:val="0"/>
          <w:sz w:val="32"/>
          <w:szCs w:val="32"/>
          <w:lang w:val="en-US" w:eastAsia="zh-CN" w:bidi="ar-SA"/>
        </w:rPr>
        <w:t>十七、上级补助收入：指事业单位从主管部门和上级单位取得的非财政补助收入。</w:t>
      </w: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lang w:val="en-US" w:eastAsia="zh-CN"/>
        </w:rPr>
      </w:pP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lang w:val="en-US" w:eastAsia="zh-CN"/>
        </w:rPr>
      </w:pP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lang w:val="en-US" w:eastAsia="zh-CN"/>
        </w:rPr>
      </w:pPr>
    </w:p>
    <w:p>
      <w:pPr>
        <w:pStyle w:val="18"/>
        <w:keepNext w:val="0"/>
        <w:keepLines w:val="0"/>
        <w:pageBreakBefore w:val="0"/>
        <w:widowControl w:val="0"/>
        <w:kinsoku/>
        <w:wordWrap/>
        <w:overflowPunct/>
        <w:topLinePunct w:val="0"/>
        <w:autoSpaceDE w:val="0"/>
        <w:autoSpaceDN w:val="0"/>
        <w:bidi w:val="0"/>
        <w:adjustRightInd w:val="0"/>
        <w:snapToGrid/>
        <w:spacing w:line="580" w:lineRule="exact"/>
        <w:ind w:firstLine="560" w:firstLineChars="200"/>
        <w:textAlignment w:val="auto"/>
        <w:rPr>
          <w:rFonts w:hint="eastAsia" w:ascii="Times New Roman" w:hAnsi="Times New Roman" w:eastAsia="仿宋_GB2312"/>
          <w:sz w:val="28"/>
          <w:szCs w:val="28"/>
          <w:lang w:val="en-US" w:eastAsia="zh-CN"/>
        </w:rPr>
      </w:pPr>
    </w:p>
    <w:p>
      <w:pPr>
        <w:pStyle w:val="6"/>
        <w:jc w:val="right"/>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 xml:space="preserve"> </w:t>
      </w:r>
    </w:p>
    <w:p>
      <w:pPr>
        <w:pStyle w:val="18"/>
        <w:jc w:val="center"/>
        <w:rPr>
          <w:sz w:val="72"/>
          <w:szCs w:val="72"/>
        </w:rPr>
      </w:pPr>
    </w:p>
    <w:p>
      <w:pPr>
        <w:pStyle w:val="18"/>
        <w:jc w:val="center"/>
        <w:rPr>
          <w:sz w:val="72"/>
          <w:szCs w:val="72"/>
        </w:rPr>
      </w:pPr>
    </w:p>
    <w:p>
      <w:pPr>
        <w:rPr>
          <w:sz w:val="72"/>
          <w:szCs w:val="72"/>
        </w:rPr>
      </w:pPr>
      <w:r>
        <w:rPr>
          <w:sz w:val="72"/>
          <w:szCs w:val="72"/>
        </w:rPr>
        <w:br w:type="page"/>
      </w:r>
    </w:p>
    <w:p>
      <w:pPr>
        <w:pStyle w:val="18"/>
        <w:jc w:val="center"/>
        <w:rPr>
          <w:rFonts w:hint="eastAsia" w:ascii="方正小标宋_GBK" w:hAnsi="方正小标宋_GBK" w:eastAsia="方正小标宋_GBK" w:cs="方正小标宋_GBK"/>
          <w:sz w:val="72"/>
          <w:szCs w:val="72"/>
        </w:rPr>
      </w:pPr>
    </w:p>
    <w:p>
      <w:pPr>
        <w:pStyle w:val="18"/>
        <w:jc w:val="center"/>
        <w:rPr>
          <w:rFonts w:hint="eastAsia" w:ascii="方正小标宋_GBK" w:hAnsi="方正小标宋_GBK" w:eastAsia="方正小标宋_GBK" w:cs="方正小标宋_GBK"/>
          <w:sz w:val="72"/>
          <w:szCs w:val="72"/>
        </w:rPr>
      </w:pPr>
    </w:p>
    <w:p>
      <w:pPr>
        <w:pStyle w:val="18"/>
        <w:jc w:val="center"/>
        <w:rPr>
          <w:rFonts w:hint="eastAsia" w:ascii="方正小标宋_GBK" w:hAnsi="方正小标宋_GBK" w:eastAsia="方正小标宋_GBK" w:cs="方正小标宋_GBK"/>
          <w:sz w:val="72"/>
          <w:szCs w:val="72"/>
        </w:rPr>
      </w:pPr>
    </w:p>
    <w:p>
      <w:pPr>
        <w:pStyle w:val="18"/>
        <w:jc w:val="center"/>
        <w:rPr>
          <w:rFonts w:hint="eastAsia" w:ascii="方正小标宋_GBK" w:hAnsi="方正小标宋_GBK" w:eastAsia="方正小标宋_GBK" w:cs="方正小标宋_GBK"/>
          <w:sz w:val="72"/>
          <w:szCs w:val="72"/>
        </w:rPr>
      </w:pPr>
    </w:p>
    <w:p>
      <w:pPr>
        <w:pStyle w:val="18"/>
        <w:jc w:val="center"/>
        <w:rPr>
          <w:rFonts w:hint="eastAsia" w:ascii="方正小标宋_GBK" w:hAnsi="方正小标宋_GBK" w:eastAsia="方正小标宋_GBK" w:cs="方正小标宋_GBK"/>
          <w:sz w:val="72"/>
          <w:szCs w:val="72"/>
        </w:rPr>
      </w:pPr>
    </w:p>
    <w:p>
      <w:pPr>
        <w:pStyle w:val="18"/>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pPr>
        <w:pStyle w:val="18"/>
        <w:jc w:val="center"/>
        <w:rPr>
          <w:rFonts w:hint="eastAsia" w:ascii="方正小标宋_GBK" w:hAnsi="方正小标宋_GBK" w:eastAsia="方正小标宋_GBK" w:cs="方正小标宋_GBK"/>
          <w:sz w:val="70"/>
          <w:szCs w:val="70"/>
        </w:rPr>
      </w:pPr>
    </w:p>
    <w:p>
      <w:pPr>
        <w:pStyle w:val="18"/>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pPr>
        <w:rPr>
          <w:sz w:val="72"/>
          <w:szCs w:val="72"/>
        </w:rPr>
      </w:pPr>
      <w:r>
        <w:rPr>
          <w:sz w:val="72"/>
          <w:szCs w:val="72"/>
        </w:rPr>
        <w:br w:type="page"/>
      </w:r>
    </w:p>
    <w:p>
      <w:pPr>
        <w:pStyle w:val="3"/>
        <w:bidi w:val="0"/>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rPr>
        <w:t>202</w:t>
      </w:r>
      <w:r>
        <w:rPr>
          <w:rFonts w:hint="eastAsia" w:ascii="方正小标宋简体" w:hAnsi="方正小标宋简体" w:eastAsia="方正小标宋简体" w:cs="方正小标宋简体"/>
          <w:lang w:val="en-US" w:eastAsia="zh-CN"/>
        </w:rPr>
        <w:t>4</w:t>
      </w:r>
      <w:r>
        <w:rPr>
          <w:rFonts w:hint="eastAsia" w:ascii="方正小标宋简体" w:hAnsi="方正小标宋简体" w:eastAsia="方正小标宋简体" w:cs="方正小标宋简体"/>
        </w:rPr>
        <w:t>年道县</w:t>
      </w:r>
      <w:r>
        <w:rPr>
          <w:rFonts w:hint="eastAsia" w:ascii="方正小标宋简体" w:hAnsi="方正小标宋简体" w:cs="方正小标宋简体"/>
          <w:lang w:eastAsia="zh-CN"/>
        </w:rPr>
        <w:t>县委</w:t>
      </w:r>
      <w:r>
        <w:rPr>
          <w:rFonts w:hint="eastAsia" w:ascii="方正小标宋简体" w:hAnsi="方正小标宋简体" w:eastAsia="方正小标宋简体" w:cs="方正小标宋简体"/>
        </w:rPr>
        <w:t>宣传部</w:t>
      </w:r>
    </w:p>
    <w:p>
      <w:pPr>
        <w:pStyle w:val="3"/>
        <w:bidi w:val="0"/>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rPr>
        <w:t>整体支出绩效评价报告</w:t>
      </w:r>
    </w:p>
    <w:p>
      <w:pPr>
        <w:pStyle w:val="19"/>
        <w:spacing w:line="560" w:lineRule="exact"/>
        <w:ind w:firstLine="960" w:firstLineChars="3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 部门概况</w:t>
      </w:r>
    </w:p>
    <w:p>
      <w:pPr>
        <w:pStyle w:val="19"/>
        <w:spacing w:line="560" w:lineRule="exact"/>
        <w:ind w:firstLine="56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（一）部门基本情况</w:t>
      </w:r>
      <w:r>
        <w:rPr>
          <w:rFonts w:hint="eastAsia" w:ascii="仿宋_GB2312" w:hAnsi="仿宋_GB2312" w:eastAsia="仿宋_GB2312" w:cs="仿宋_GB2312"/>
          <w:sz w:val="32"/>
          <w:szCs w:val="32"/>
        </w:rPr>
        <w:t>：</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1．机构和人员情况：办公室、意识形态工作室、新闻室、</w:t>
      </w:r>
      <w:r>
        <w:rPr>
          <w:rFonts w:hint="eastAsia" w:ascii="仿宋_GB2312" w:hAnsi="仿宋_GB2312" w:eastAsia="仿宋_GB2312" w:cs="仿宋_GB2312"/>
          <w:sz w:val="32"/>
          <w:szCs w:val="32"/>
          <w:lang w:val="en-US" w:eastAsia="zh-CN"/>
        </w:rPr>
        <w:t>理教与文艺室、精神文明建设室</w:t>
      </w:r>
      <w:r>
        <w:rPr>
          <w:rFonts w:hint="eastAsia" w:ascii="仿宋_GB2312" w:hAnsi="仿宋_GB2312" w:eastAsia="仿宋_GB2312" w:cs="仿宋_GB2312"/>
          <w:sz w:val="32"/>
          <w:szCs w:val="32"/>
        </w:rPr>
        <w:t>、新闻出版与版权室</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个职能部室。行政编制</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人，事业编</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人，工勤编制1人。现实有在职人数1</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人，退休</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2．根据道办发【2002】48号《中共道县县委宣传部职能配置、内设机构和人员编制方案》文件规定，本单位主要工作职责是：负责全县理论武装，对内、对外宣传，精神文明建设，社会舆论引导，文化事业发展，</w:t>
      </w:r>
      <w:r>
        <w:rPr>
          <w:rFonts w:hint="eastAsia" w:ascii="仿宋_GB2312" w:hAnsi="仿宋_GB2312" w:eastAsia="仿宋_GB2312" w:cs="仿宋_GB2312"/>
          <w:sz w:val="32"/>
          <w:szCs w:val="32"/>
          <w:lang w:eastAsia="zh-CN"/>
        </w:rPr>
        <w:t>新时达文明实践</w:t>
      </w:r>
      <w:r>
        <w:rPr>
          <w:rFonts w:hint="eastAsia" w:ascii="仿宋_GB2312" w:hAnsi="仿宋_GB2312" w:eastAsia="仿宋_GB2312" w:cs="仿宋_GB2312"/>
          <w:sz w:val="32"/>
          <w:szCs w:val="32"/>
        </w:rPr>
        <w:t>，网络宣传管理，</w:t>
      </w:r>
      <w:r>
        <w:rPr>
          <w:rFonts w:hint="eastAsia" w:ascii="仿宋_GB2312" w:hAnsi="仿宋_GB2312" w:eastAsia="仿宋_GB2312" w:cs="仿宋_GB2312"/>
          <w:sz w:val="32"/>
          <w:szCs w:val="32"/>
          <w:lang w:val="en-US" w:eastAsia="zh-CN"/>
        </w:rPr>
        <w:t>新闻出版、扫黄打非、</w:t>
      </w:r>
      <w:r>
        <w:rPr>
          <w:rFonts w:hint="eastAsia" w:ascii="仿宋_GB2312" w:hAnsi="仿宋_GB2312" w:eastAsia="仿宋_GB2312" w:cs="仿宋_GB2312"/>
          <w:sz w:val="32"/>
          <w:szCs w:val="32"/>
        </w:rPr>
        <w:t>政工干部职评及有关宣传干部管理工作。</w:t>
      </w:r>
    </w:p>
    <w:p>
      <w:pPr>
        <w:adjustRightInd w:val="0"/>
        <w:snapToGrid w:val="0"/>
        <w:spacing w:line="600" w:lineRule="exact"/>
        <w:ind w:firstLine="640"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（二）部门资金来源情况</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年本单位县级财政拨款</w:t>
      </w:r>
      <w:bookmarkStart w:id="3" w:name="OLE_LINK1"/>
      <w:r>
        <w:rPr>
          <w:rFonts w:hint="eastAsia" w:ascii="仿宋_GB2312" w:hAnsi="仿宋_GB2312" w:eastAsia="仿宋_GB2312" w:cs="仿宋_GB2312"/>
          <w:sz w:val="32"/>
          <w:szCs w:val="32"/>
          <w:lang w:val="en-US" w:eastAsia="zh-CN"/>
        </w:rPr>
        <w:t>1438.2</w:t>
      </w:r>
      <w:bookmarkEnd w:id="3"/>
      <w:r>
        <w:rPr>
          <w:rFonts w:hint="eastAsia" w:ascii="仿宋_GB2312" w:hAnsi="仿宋_GB2312" w:eastAsia="仿宋_GB2312" w:cs="仿宋_GB2312"/>
          <w:sz w:val="32"/>
          <w:szCs w:val="32"/>
        </w:rPr>
        <w:t>万元，具体内容如下:</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县级财政拨款</w:t>
      </w:r>
      <w:r>
        <w:rPr>
          <w:rFonts w:hint="eastAsia" w:ascii="仿宋_GB2312" w:hAnsi="仿宋_GB2312" w:eastAsia="仿宋_GB2312" w:cs="仿宋_GB2312"/>
          <w:sz w:val="32"/>
          <w:szCs w:val="32"/>
          <w:lang w:val="en-US" w:eastAsia="zh-CN"/>
        </w:rPr>
        <w:t>1438.2</w:t>
      </w:r>
      <w:r>
        <w:rPr>
          <w:rFonts w:hint="eastAsia" w:ascii="仿宋_GB2312" w:hAnsi="仿宋_GB2312" w:eastAsia="仿宋_GB2312" w:cs="仿宋_GB2312"/>
          <w:sz w:val="32"/>
          <w:szCs w:val="32"/>
        </w:rPr>
        <w:t>万元，占本年全部收入，主要用于发放干部职工工资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机关运转</w:t>
      </w:r>
      <w:r>
        <w:rPr>
          <w:rFonts w:hint="eastAsia" w:ascii="仿宋_GB2312" w:hAnsi="仿宋_GB2312" w:eastAsia="仿宋_GB2312" w:cs="仿宋_GB2312"/>
          <w:sz w:val="32"/>
          <w:szCs w:val="32"/>
          <w:lang w:val="en-US" w:eastAsia="zh-CN"/>
        </w:rPr>
        <w:t>以及各项</w:t>
      </w:r>
      <w:r>
        <w:rPr>
          <w:rFonts w:hint="eastAsia" w:ascii="仿宋_GB2312" w:hAnsi="仿宋_GB2312" w:eastAsia="仿宋_GB2312" w:cs="仿宋_GB2312"/>
          <w:sz w:val="32"/>
          <w:szCs w:val="32"/>
        </w:rPr>
        <w:t>专项经费等。</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二、部门整体支出使用情况</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本单位202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年总支出</w:t>
      </w:r>
      <w:r>
        <w:rPr>
          <w:rFonts w:hint="eastAsia" w:ascii="仿宋_GB2312" w:hAnsi="仿宋_GB2312" w:eastAsia="仿宋_GB2312" w:cs="仿宋_GB2312"/>
          <w:sz w:val="32"/>
          <w:szCs w:val="32"/>
          <w:lang w:val="en-US" w:eastAsia="zh-CN"/>
        </w:rPr>
        <w:t>1438.2</w:t>
      </w:r>
      <w:r>
        <w:rPr>
          <w:rFonts w:hint="eastAsia" w:ascii="仿宋_GB2312" w:hAnsi="仿宋_GB2312" w:eastAsia="仿宋_GB2312" w:cs="仿宋_GB2312"/>
          <w:sz w:val="32"/>
          <w:szCs w:val="32"/>
        </w:rPr>
        <w:t>万元，具体使用情况如下：</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1、基本支出：</w:t>
      </w:r>
      <w:r>
        <w:rPr>
          <w:rFonts w:hint="eastAsia" w:ascii="仿宋_GB2312" w:hAnsi="仿宋_GB2312" w:eastAsia="仿宋_GB2312" w:cs="仿宋_GB2312"/>
          <w:sz w:val="32"/>
          <w:szCs w:val="32"/>
          <w:lang w:val="en-US" w:eastAsia="zh-CN"/>
        </w:rPr>
        <w:t>316.69</w:t>
      </w:r>
      <w:r>
        <w:rPr>
          <w:rFonts w:hint="eastAsia" w:ascii="仿宋_GB2312" w:hAnsi="仿宋_GB2312" w:eastAsia="仿宋_GB2312" w:cs="仿宋_GB2312"/>
          <w:sz w:val="32"/>
          <w:szCs w:val="32"/>
        </w:rPr>
        <w:t>万元，其中包括人员经费</w:t>
      </w:r>
      <w:r>
        <w:rPr>
          <w:rFonts w:hint="eastAsia" w:ascii="仿宋_GB2312" w:hAnsi="仿宋_GB2312" w:eastAsia="仿宋_GB2312" w:cs="仿宋_GB2312"/>
          <w:sz w:val="32"/>
          <w:szCs w:val="32"/>
          <w:lang w:val="en-US" w:eastAsia="zh-CN"/>
        </w:rPr>
        <w:t>248.72</w:t>
      </w:r>
      <w:r>
        <w:rPr>
          <w:rFonts w:hint="eastAsia" w:ascii="仿宋_GB2312" w:hAnsi="仿宋_GB2312" w:eastAsia="仿宋_GB2312" w:cs="仿宋_GB2312"/>
          <w:sz w:val="32"/>
          <w:szCs w:val="32"/>
        </w:rPr>
        <w:t>万元，日常公用经费</w:t>
      </w:r>
      <w:r>
        <w:rPr>
          <w:rFonts w:hint="eastAsia" w:ascii="仿宋_GB2312" w:hAnsi="仿宋_GB2312" w:eastAsia="仿宋_GB2312" w:cs="仿宋_GB2312"/>
          <w:sz w:val="32"/>
          <w:szCs w:val="32"/>
          <w:lang w:val="en-US" w:eastAsia="zh-CN"/>
        </w:rPr>
        <w:t>67.97</w:t>
      </w:r>
      <w:r>
        <w:rPr>
          <w:rFonts w:hint="eastAsia" w:ascii="仿宋_GB2312" w:hAnsi="仿宋_GB2312" w:eastAsia="仿宋_GB2312" w:cs="仿宋_GB2312"/>
          <w:sz w:val="32"/>
          <w:szCs w:val="32"/>
        </w:rPr>
        <w:t>万元。</w:t>
      </w:r>
    </w:p>
    <w:p>
      <w:pPr>
        <w:adjustRightInd w:val="0"/>
        <w:snapToGrid w:val="0"/>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2、项目支出：</w:t>
      </w:r>
      <w:r>
        <w:rPr>
          <w:rFonts w:hint="eastAsia" w:ascii="仿宋_GB2312" w:hAnsi="仿宋_GB2312" w:eastAsia="仿宋_GB2312" w:cs="仿宋_GB2312"/>
          <w:sz w:val="32"/>
          <w:szCs w:val="32"/>
          <w:lang w:val="en-US" w:eastAsia="zh-CN"/>
        </w:rPr>
        <w:t>1121.51</w:t>
      </w:r>
      <w:r>
        <w:rPr>
          <w:rFonts w:hint="eastAsia" w:ascii="仿宋_GB2312" w:hAnsi="仿宋_GB2312" w:eastAsia="仿宋_GB2312" w:cs="仿宋_GB2312"/>
          <w:sz w:val="32"/>
          <w:szCs w:val="32"/>
        </w:rPr>
        <w:t>万元。</w:t>
      </w:r>
    </w:p>
    <w:p>
      <w:pPr>
        <w:adjustRightInd w:val="0"/>
        <w:snapToGrid w:val="0"/>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3、机关运行经费情况：202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年决算安排机关运行经费</w:t>
      </w:r>
      <w:r>
        <w:rPr>
          <w:rFonts w:hint="eastAsia" w:ascii="仿宋_GB2312" w:hAnsi="仿宋_GB2312" w:eastAsia="仿宋_GB2312" w:cs="仿宋_GB2312"/>
          <w:sz w:val="32"/>
          <w:szCs w:val="32"/>
          <w:lang w:val="en-US" w:eastAsia="zh-CN"/>
        </w:rPr>
        <w:t>67.97</w:t>
      </w:r>
      <w:r>
        <w:rPr>
          <w:rFonts w:hint="eastAsia" w:ascii="仿宋_GB2312" w:hAnsi="仿宋_GB2312" w:eastAsia="仿宋_GB2312" w:cs="仿宋_GB2312"/>
          <w:sz w:val="32"/>
          <w:szCs w:val="32"/>
        </w:rPr>
        <w:t>万元，主要包括办公费</w:t>
      </w:r>
      <w:r>
        <w:rPr>
          <w:rFonts w:hint="eastAsia" w:ascii="仿宋_GB2312" w:hAnsi="仿宋_GB2312" w:eastAsia="仿宋_GB2312" w:cs="仿宋_GB2312"/>
          <w:sz w:val="32"/>
          <w:szCs w:val="32"/>
          <w:lang w:val="en-US" w:eastAsia="zh-CN"/>
        </w:rPr>
        <w:t>13.75</w:t>
      </w:r>
      <w:r>
        <w:rPr>
          <w:rFonts w:hint="eastAsia" w:ascii="仿宋_GB2312" w:hAnsi="仿宋_GB2312" w:eastAsia="仿宋_GB2312" w:cs="仿宋_GB2312"/>
          <w:sz w:val="32"/>
          <w:szCs w:val="32"/>
        </w:rPr>
        <w:t>万元 、印刷费</w:t>
      </w:r>
      <w:r>
        <w:rPr>
          <w:rFonts w:hint="eastAsia" w:ascii="仿宋_GB2312" w:hAnsi="仿宋_GB2312" w:eastAsia="仿宋_GB2312" w:cs="仿宋_GB2312"/>
          <w:sz w:val="32"/>
          <w:szCs w:val="32"/>
          <w:lang w:val="en-US" w:eastAsia="zh-CN"/>
        </w:rPr>
        <w:t>3.73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水电费0.91万元、</w:t>
      </w:r>
      <w:r>
        <w:rPr>
          <w:rFonts w:hint="eastAsia" w:ascii="仿宋_GB2312" w:hAnsi="仿宋_GB2312" w:eastAsia="仿宋_GB2312" w:cs="仿宋_GB2312"/>
          <w:sz w:val="32"/>
          <w:szCs w:val="32"/>
        </w:rPr>
        <w:t>邮电费</w:t>
      </w:r>
      <w:r>
        <w:rPr>
          <w:rFonts w:hint="eastAsia" w:ascii="仿宋_GB2312" w:hAnsi="仿宋_GB2312" w:eastAsia="仿宋_GB2312" w:cs="仿宋_GB2312"/>
          <w:sz w:val="32"/>
          <w:szCs w:val="32"/>
          <w:lang w:val="en-US" w:eastAsia="zh-CN"/>
        </w:rPr>
        <w:t>0.1</w:t>
      </w:r>
      <w:r>
        <w:rPr>
          <w:rFonts w:hint="eastAsia" w:ascii="仿宋_GB2312" w:hAnsi="仿宋_GB2312" w:eastAsia="仿宋_GB2312" w:cs="仿宋_GB2312"/>
          <w:sz w:val="32"/>
          <w:szCs w:val="32"/>
        </w:rPr>
        <w:t>万元、差旅费</w:t>
      </w:r>
      <w:r>
        <w:rPr>
          <w:rFonts w:hint="eastAsia" w:ascii="仿宋_GB2312" w:hAnsi="仿宋_GB2312" w:eastAsia="仿宋_GB2312" w:cs="仿宋_GB2312"/>
          <w:sz w:val="32"/>
          <w:szCs w:val="32"/>
          <w:lang w:val="en-US" w:eastAsia="zh-CN"/>
        </w:rPr>
        <w:t>4.98</w:t>
      </w:r>
      <w:r>
        <w:rPr>
          <w:rFonts w:hint="eastAsia" w:ascii="仿宋_GB2312" w:hAnsi="仿宋_GB2312" w:eastAsia="仿宋_GB2312" w:cs="仿宋_GB2312"/>
          <w:sz w:val="32"/>
          <w:szCs w:val="32"/>
        </w:rPr>
        <w:t>万元、培训费</w:t>
      </w:r>
      <w:r>
        <w:rPr>
          <w:rFonts w:hint="eastAsia" w:ascii="仿宋_GB2312" w:hAnsi="仿宋_GB2312" w:eastAsia="仿宋_GB2312" w:cs="仿宋_GB2312"/>
          <w:sz w:val="32"/>
          <w:szCs w:val="32"/>
          <w:lang w:val="en-US" w:eastAsia="zh-CN"/>
        </w:rPr>
        <w:t>0.51</w:t>
      </w:r>
      <w:r>
        <w:rPr>
          <w:rFonts w:hint="eastAsia" w:ascii="仿宋_GB2312" w:hAnsi="仿宋_GB2312" w:eastAsia="仿宋_GB2312" w:cs="仿宋_GB2312"/>
          <w:sz w:val="32"/>
          <w:szCs w:val="32"/>
        </w:rPr>
        <w:t>万元、公务接待费</w:t>
      </w:r>
      <w:r>
        <w:rPr>
          <w:rFonts w:hint="eastAsia" w:ascii="仿宋_GB2312" w:hAnsi="仿宋_GB2312" w:eastAsia="仿宋_GB2312" w:cs="仿宋_GB2312"/>
          <w:sz w:val="32"/>
          <w:szCs w:val="32"/>
          <w:lang w:val="en-US" w:eastAsia="zh-CN"/>
        </w:rPr>
        <w:t>8.57</w:t>
      </w:r>
      <w:r>
        <w:rPr>
          <w:rFonts w:hint="eastAsia" w:ascii="仿宋_GB2312" w:hAnsi="仿宋_GB2312" w:eastAsia="仿宋_GB2312" w:cs="仿宋_GB2312"/>
          <w:sz w:val="32"/>
          <w:szCs w:val="32"/>
        </w:rPr>
        <w:t>万元、劳务费</w:t>
      </w:r>
      <w:r>
        <w:rPr>
          <w:rFonts w:hint="eastAsia" w:ascii="仿宋_GB2312" w:hAnsi="仿宋_GB2312" w:eastAsia="仿宋_GB2312" w:cs="仿宋_GB2312"/>
          <w:sz w:val="32"/>
          <w:szCs w:val="32"/>
          <w:lang w:val="en-US" w:eastAsia="zh-CN"/>
        </w:rPr>
        <w:t>3.57</w:t>
      </w:r>
      <w:r>
        <w:rPr>
          <w:rFonts w:hint="eastAsia" w:ascii="仿宋_GB2312" w:hAnsi="仿宋_GB2312" w:eastAsia="仿宋_GB2312" w:cs="仿宋_GB2312"/>
          <w:sz w:val="32"/>
          <w:szCs w:val="32"/>
        </w:rPr>
        <w:t>万元，工会经费</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万元、福利费</w:t>
      </w:r>
      <w:r>
        <w:rPr>
          <w:rFonts w:hint="eastAsia" w:ascii="仿宋_GB2312" w:hAnsi="仿宋_GB2312" w:eastAsia="仿宋_GB2312" w:cs="仿宋_GB2312"/>
          <w:sz w:val="32"/>
          <w:szCs w:val="32"/>
          <w:lang w:val="en-US" w:eastAsia="zh-CN"/>
        </w:rPr>
        <w:t>6.18</w:t>
      </w:r>
      <w:r>
        <w:rPr>
          <w:rFonts w:hint="eastAsia" w:ascii="仿宋_GB2312" w:hAnsi="仿宋_GB2312" w:eastAsia="仿宋_GB2312" w:cs="仿宋_GB2312"/>
          <w:sz w:val="32"/>
          <w:szCs w:val="32"/>
        </w:rPr>
        <w:t>万元，其他交通费用</w:t>
      </w:r>
      <w:r>
        <w:rPr>
          <w:rFonts w:hint="eastAsia" w:ascii="仿宋_GB2312" w:hAnsi="仿宋_GB2312" w:eastAsia="仿宋_GB2312" w:cs="仿宋_GB2312"/>
          <w:sz w:val="32"/>
          <w:szCs w:val="32"/>
          <w:lang w:val="en-US" w:eastAsia="zh-CN"/>
        </w:rPr>
        <w:t>6.81</w:t>
      </w:r>
      <w:r>
        <w:rPr>
          <w:rFonts w:hint="eastAsia" w:ascii="仿宋_GB2312" w:hAnsi="仿宋_GB2312" w:eastAsia="仿宋_GB2312" w:cs="仿宋_GB2312"/>
          <w:sz w:val="32"/>
          <w:szCs w:val="32"/>
        </w:rPr>
        <w:t>万元、其他商品服务支出</w:t>
      </w:r>
      <w:r>
        <w:rPr>
          <w:rFonts w:hint="eastAsia" w:ascii="仿宋_GB2312" w:hAnsi="仿宋_GB2312" w:eastAsia="仿宋_GB2312" w:cs="仿宋_GB2312"/>
          <w:sz w:val="32"/>
          <w:szCs w:val="32"/>
          <w:lang w:val="en-US" w:eastAsia="zh-CN"/>
        </w:rPr>
        <w:t>7.86</w:t>
      </w:r>
      <w:r>
        <w:rPr>
          <w:rFonts w:hint="eastAsia" w:ascii="仿宋_GB2312" w:hAnsi="仿宋_GB2312" w:eastAsia="仿宋_GB2312" w:cs="仿宋_GB2312"/>
          <w:sz w:val="32"/>
          <w:szCs w:val="32"/>
        </w:rPr>
        <w:t>万元等日常公用经费。</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年“三公”经费决算</w:t>
      </w:r>
      <w:r>
        <w:rPr>
          <w:rFonts w:hint="eastAsia" w:ascii="仿宋_GB2312" w:hAnsi="仿宋_GB2312" w:eastAsia="仿宋_GB2312" w:cs="仿宋_GB2312"/>
          <w:sz w:val="32"/>
          <w:szCs w:val="32"/>
          <w:lang w:val="en-US" w:eastAsia="zh-CN"/>
        </w:rPr>
        <w:t>8.57</w:t>
      </w:r>
      <w:r>
        <w:rPr>
          <w:rFonts w:hint="eastAsia" w:ascii="仿宋_GB2312" w:hAnsi="仿宋_GB2312" w:eastAsia="仿宋_GB2312" w:cs="仿宋_GB2312"/>
          <w:sz w:val="32"/>
          <w:szCs w:val="32"/>
        </w:rPr>
        <w:t>万元，其中：公务接待费</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57</w:t>
      </w:r>
      <w:r>
        <w:rPr>
          <w:rFonts w:hint="eastAsia" w:ascii="仿宋_GB2312" w:hAnsi="仿宋_GB2312" w:eastAsia="仿宋_GB2312" w:cs="仿宋_GB2312"/>
          <w:sz w:val="32"/>
          <w:szCs w:val="32"/>
        </w:rPr>
        <w:t>万元、无公务用车经费、无因公出国（境）费用；比</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略减少了0.11</w:t>
      </w:r>
      <w:r>
        <w:rPr>
          <w:rFonts w:hint="eastAsia" w:ascii="仿宋_GB2312" w:hAnsi="仿宋_GB2312" w:eastAsia="仿宋_GB2312" w:cs="仿宋_GB2312"/>
          <w:sz w:val="32"/>
          <w:szCs w:val="32"/>
        </w:rPr>
        <w:t>万元，主要</w:t>
      </w:r>
      <w:r>
        <w:rPr>
          <w:rFonts w:hint="eastAsia" w:ascii="仿宋_GB2312" w:hAnsi="仿宋_GB2312" w:eastAsia="仿宋_GB2312" w:cs="仿宋_GB2312"/>
          <w:sz w:val="32"/>
          <w:szCs w:val="32"/>
          <w:lang w:val="en-US" w:eastAsia="zh-CN"/>
        </w:rPr>
        <w:t>厉行节约</w:t>
      </w:r>
      <w:bookmarkStart w:id="4" w:name="_GoBack"/>
      <w:bookmarkEnd w:id="4"/>
      <w:r>
        <w:rPr>
          <w:rFonts w:hint="eastAsia" w:ascii="仿宋_GB2312" w:hAnsi="仿宋_GB2312" w:eastAsia="仿宋_GB2312" w:cs="仿宋_GB2312"/>
          <w:sz w:val="32"/>
          <w:szCs w:val="32"/>
          <w:lang w:val="en-US" w:eastAsia="zh-CN"/>
        </w:rPr>
        <w:t>，减少开支</w:t>
      </w:r>
      <w:r>
        <w:rPr>
          <w:rFonts w:hint="eastAsia" w:ascii="仿宋_GB2312" w:hAnsi="仿宋_GB2312" w:eastAsia="仿宋_GB2312" w:cs="仿宋_GB2312"/>
          <w:sz w:val="32"/>
          <w:szCs w:val="32"/>
        </w:rPr>
        <w:t>。</w:t>
      </w:r>
    </w:p>
    <w:p>
      <w:pPr>
        <w:pStyle w:val="19"/>
        <w:widowControl/>
        <w:spacing w:line="600" w:lineRule="exact"/>
        <w:ind w:left="640" w:firstLine="0" w:firstLineChars="0"/>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三、政府性基金预算支出情况</w:t>
      </w:r>
    </w:p>
    <w:p>
      <w:pPr>
        <w:pStyle w:val="19"/>
        <w:widowControl/>
        <w:spacing w:line="600" w:lineRule="exact"/>
        <w:ind w:left="640"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ascii="仿宋_GB2312" w:hAnsi="仿宋_GB2312" w:eastAsia="仿宋_GB2312" w:cs="仿宋_GB2312"/>
          <w:sz w:val="32"/>
          <w:szCs w:val="32"/>
        </w:rPr>
        <w:t>年度本单位无政府性基金收支</w:t>
      </w:r>
      <w:r>
        <w:rPr>
          <w:rFonts w:hint="eastAsia" w:ascii="仿宋_GB2312" w:hAnsi="仿宋_GB2312" w:eastAsia="仿宋_GB2312" w:cs="仿宋_GB2312"/>
          <w:sz w:val="32"/>
          <w:szCs w:val="32"/>
        </w:rPr>
        <w:t>。</w:t>
      </w:r>
    </w:p>
    <w:p>
      <w:pPr>
        <w:pStyle w:val="19"/>
        <w:widowControl/>
        <w:spacing w:line="600" w:lineRule="exact"/>
        <w:ind w:left="640" w:firstLine="0" w:firstLineChars="0"/>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四、国有资本经营预算支出情况</w:t>
      </w:r>
    </w:p>
    <w:p>
      <w:pPr>
        <w:pStyle w:val="19"/>
        <w:widowControl/>
        <w:spacing w:line="600" w:lineRule="exact"/>
        <w:ind w:left="640"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ascii="仿宋_GB2312" w:hAnsi="仿宋_GB2312" w:eastAsia="仿宋_GB2312" w:cs="仿宋_GB2312"/>
          <w:sz w:val="32"/>
          <w:szCs w:val="32"/>
        </w:rPr>
        <w:t>年度本单位无</w:t>
      </w:r>
      <w:r>
        <w:rPr>
          <w:rFonts w:hint="eastAsia" w:ascii="仿宋_GB2312" w:hAnsi="仿宋_GB2312" w:eastAsia="仿宋_GB2312" w:cs="仿宋_GB2312"/>
          <w:sz w:val="32"/>
          <w:szCs w:val="32"/>
        </w:rPr>
        <w:t>国有资本经营预算</w:t>
      </w:r>
      <w:r>
        <w:rPr>
          <w:rFonts w:ascii="仿宋_GB2312" w:hAnsi="仿宋_GB2312" w:eastAsia="仿宋_GB2312" w:cs="仿宋_GB2312"/>
          <w:sz w:val="32"/>
          <w:szCs w:val="32"/>
        </w:rPr>
        <w:t>收支</w:t>
      </w:r>
      <w:r>
        <w:rPr>
          <w:rFonts w:hint="eastAsia" w:ascii="仿宋_GB2312" w:hAnsi="仿宋_GB2312" w:eastAsia="仿宋_GB2312" w:cs="仿宋_GB2312"/>
          <w:sz w:val="32"/>
          <w:szCs w:val="32"/>
        </w:rPr>
        <w:t>。</w:t>
      </w:r>
    </w:p>
    <w:p>
      <w:pPr>
        <w:pStyle w:val="19"/>
        <w:widowControl/>
        <w:spacing w:line="600" w:lineRule="exact"/>
        <w:ind w:left="640" w:firstLine="0" w:firstLineChars="0"/>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五、社会保险基金预算支出情况</w:t>
      </w:r>
    </w:p>
    <w:p>
      <w:pPr>
        <w:pStyle w:val="19"/>
        <w:widowControl/>
        <w:spacing w:line="600" w:lineRule="exact"/>
        <w:ind w:left="640" w:firstLine="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ascii="仿宋_GB2312" w:hAnsi="仿宋_GB2312" w:eastAsia="仿宋_GB2312" w:cs="仿宋_GB2312"/>
          <w:sz w:val="32"/>
          <w:szCs w:val="32"/>
        </w:rPr>
        <w:t>年度本单位无</w:t>
      </w:r>
      <w:r>
        <w:rPr>
          <w:rFonts w:hint="eastAsia" w:ascii="仿宋_GB2312" w:hAnsi="仿宋_GB2312" w:eastAsia="仿宋_GB2312" w:cs="仿宋_GB2312"/>
          <w:sz w:val="32"/>
          <w:szCs w:val="32"/>
        </w:rPr>
        <w:t>社会保险基金预算</w:t>
      </w:r>
      <w:r>
        <w:rPr>
          <w:rFonts w:ascii="仿宋_GB2312" w:hAnsi="仿宋_GB2312" w:eastAsia="仿宋_GB2312" w:cs="仿宋_GB2312"/>
          <w:sz w:val="32"/>
          <w:szCs w:val="32"/>
        </w:rPr>
        <w:t>收支</w:t>
      </w:r>
      <w:r>
        <w:rPr>
          <w:rFonts w:hint="eastAsia" w:ascii="仿宋_GB2312" w:hAnsi="仿宋_GB2312" w:eastAsia="仿宋_GB2312" w:cs="仿宋_GB2312"/>
          <w:sz w:val="32"/>
          <w:szCs w:val="32"/>
        </w:rPr>
        <w:t>。</w:t>
      </w:r>
    </w:p>
    <w:p>
      <w:pPr>
        <w:pStyle w:val="19"/>
        <w:widowControl/>
        <w:spacing w:line="600" w:lineRule="exact"/>
        <w:ind w:left="640" w:firstLine="0" w:firstLineChars="0"/>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六、部门整体支出绩效情况</w:t>
      </w:r>
    </w:p>
    <w:p>
      <w:pPr>
        <w:adjustRightInd w:val="0"/>
        <w:snapToGrid w:val="0"/>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1.理论武装走深走实。</w:t>
      </w:r>
      <w:r>
        <w:rPr>
          <w:rFonts w:hint="eastAsia" w:ascii="仿宋_GB2312" w:hAnsi="仿宋_GB2312" w:eastAsia="仿宋_GB2312" w:cs="仿宋_GB2312"/>
          <w:sz w:val="32"/>
          <w:szCs w:val="32"/>
          <w:lang w:val="en-US" w:eastAsia="zh-CN"/>
        </w:rPr>
        <w:t>县委常委会第一议题学习22次，学习内容99项；县委理论学习中心组集体学习11次，共计32个专题94项内容。为党员干部配发《习近平关于中国式现代化论述摘编》等理论书籍8类8000余册。开展党的二十届三中全会精神及习近平总书记重要讲话和指示精神“九进九讲”宣讲1000余场次。胡锦文荣获省市“爱我国防”主题演讲比赛一等奖。</w:t>
      </w:r>
    </w:p>
    <w:p>
      <w:pPr>
        <w:adjustRightInd w:val="0"/>
        <w:snapToGrid w:val="0"/>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2.意识形态平安平稳。</w:t>
      </w:r>
      <w:r>
        <w:rPr>
          <w:rFonts w:hint="eastAsia" w:ascii="仿宋_GB2312" w:hAnsi="仿宋_GB2312" w:eastAsia="仿宋_GB2312" w:cs="仿宋_GB2312"/>
          <w:sz w:val="32"/>
          <w:szCs w:val="32"/>
          <w:lang w:val="en-US" w:eastAsia="zh-CN"/>
        </w:rPr>
        <w:t>修订或新建《关于进一步加强对研讨班、报告会、论坛、讲座管理的通知》等10余个工作制度，县委常委会专题研究意识形态工作2次，县委书记参与处置网络舆情3个。结合县委巡察开展2轮意识形态专项检查，反馈问题110余个，全面完成省委巡视意识形态专项检查反馈意见整改。及时协调处置“孙小萍案”等典型案例6起，整理编发《舆情专报》329期，发出交办函842个，办理网民留言1294条。</w:t>
      </w:r>
    </w:p>
    <w:p>
      <w:pPr>
        <w:adjustRightInd w:val="0"/>
        <w:snapToGrid w:val="0"/>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3.新闻外宣有声有色。</w:t>
      </w:r>
      <w:r>
        <w:rPr>
          <w:rFonts w:hint="eastAsia" w:ascii="仿宋_GB2312" w:hAnsi="仿宋_GB2312" w:eastAsia="仿宋_GB2312" w:cs="仿宋_GB2312"/>
          <w:sz w:val="32"/>
          <w:szCs w:val="32"/>
          <w:lang w:val="en-US" w:eastAsia="zh-CN"/>
        </w:rPr>
        <w:t>策划《直击民“声”》等6个主题系列报道，中央媒体上稿410余篇（条），其中，央视新闻联播头条报道道县2次，《国家荣光——陈树湘》《湖湘一万年》分别在CCTV-1、CCTV4播出。“官媒+自媒”合作模式取得较好成效，国家非遗道州龙船赛事阅读量达10.9亿+，点赞量7000万+。主次街道门头广告和户外广告全面规范管理，重点路段、重点场所公益广告全面提质。全力构建网络宣传矩阵，制作发布H5、动漫、微视频、数据新闻、直播报道等融媒体产品540余篇（条）。</w:t>
      </w:r>
    </w:p>
    <w:p>
      <w:pPr>
        <w:adjustRightInd w:val="0"/>
        <w:snapToGrid w:val="0"/>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4.精神文明入脑入心。</w:t>
      </w:r>
      <w:r>
        <w:rPr>
          <w:rFonts w:hint="eastAsia" w:ascii="仿宋_GB2312" w:hAnsi="仿宋_GB2312" w:eastAsia="仿宋_GB2312" w:cs="仿宋_GB2312"/>
          <w:sz w:val="32"/>
          <w:szCs w:val="32"/>
          <w:lang w:val="en-US" w:eastAsia="zh-CN"/>
        </w:rPr>
        <w:t>成功入选全国文明城市参评城市并完成中央文明城市测评组实地明察和暗访测评。积极推荐推介榜样，累计推选出中国好人2人、湖南好人11人，永州好人11人，省市县新时代好少年52人。着力打造“忠诚正道”文明实践品牌，《“忠诚正道”红色宣讲润心田》入选全国文明实践中心全覆盖建设创新案例、全国精品案例展示、全省首届新时代文明实践典型案例，道县“忠诚正道”微宣讲获评2024年度“雷锋家乡学雷锋”文明实践品牌项目A类项目。</w:t>
      </w:r>
    </w:p>
    <w:p>
      <w:pPr>
        <w:adjustRightInd w:val="0"/>
        <w:snapToGrid w:val="0"/>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5.文旅融合出圈出彩。</w:t>
      </w:r>
      <w:r>
        <w:rPr>
          <w:rFonts w:hint="eastAsia" w:ascii="仿宋_GB2312" w:hAnsi="仿宋_GB2312" w:eastAsia="仿宋_GB2312" w:cs="仿宋_GB2312"/>
          <w:sz w:val="32"/>
          <w:szCs w:val="32"/>
          <w:lang w:val="en-US" w:eastAsia="zh-CN"/>
        </w:rPr>
        <w:t>持续开展“光影铸魂”等5大文化惠民活动，成功举办道县春晚、追光演唱会、中国龙舟公开赛和国家非遗道州龙船赛、“村BA”篮球赛、周敦颐遗迹遗址地政协协商协作会议、南岭联盟篮球邀请赛等大型文旅活动，国家非遗道州龙船赛成功挑战吉尼斯世界纪录。舞蹈《龙腾潇湘》获第八届湖南艺术节群众文化活动金奖，王建文获“三湘群星奖”。道州龙船雕刻和道州调子戏等两个非遗传承工作室成功揭牌，周敦颐廉洁文化展馆实现全国首创，梅花镇贵头村入选湖南省“四个一百”省级乡村旅游精品村名单，清塘镇楼田村入选第六批湖南省乡村旅游重点村名单，营江街道芒头寨非遗特色村入选2024年湖南省非遗村镇示范点名单。</w:t>
      </w:r>
    </w:p>
    <w:p>
      <w:pPr>
        <w:pStyle w:val="19"/>
        <w:widowControl/>
        <w:spacing w:line="600" w:lineRule="exact"/>
        <w:ind w:left="640" w:firstLine="0" w:firstLineChars="0"/>
        <w:jc w:val="lef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七、</w:t>
      </w:r>
      <w:r>
        <w:rPr>
          <w:rFonts w:ascii="仿宋_GB2312" w:hAnsi="仿宋_GB2312" w:eastAsia="仿宋_GB2312" w:cs="仿宋_GB2312"/>
          <w:b/>
          <w:bCs/>
          <w:sz w:val="32"/>
          <w:szCs w:val="32"/>
        </w:rPr>
        <w:t>存在的问题及原因分析</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预算绩效管理机制有待进一步完善</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需进一步结合工作实际完善资金管理文件办法等</w:t>
      </w:r>
      <w:r>
        <w:rPr>
          <w:rFonts w:hint="eastAsia" w:ascii="仿宋_GB2312" w:hAnsi="仿宋_GB2312" w:eastAsia="仿宋_GB2312" w:cs="仿宋_GB2312"/>
          <w:sz w:val="32"/>
          <w:szCs w:val="32"/>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绩效目标设定不够细化</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绩效目标的科学性、合理性以及量化可考核性有待进一步加强</w:t>
      </w:r>
      <w:r>
        <w:rPr>
          <w:rFonts w:hint="eastAsia" w:ascii="仿宋_GB2312" w:hAnsi="仿宋_GB2312" w:eastAsia="仿宋_GB2312" w:cs="仿宋_GB2312"/>
          <w:sz w:val="32"/>
          <w:szCs w:val="32"/>
        </w:rPr>
        <w:t>。</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内控制度执行有待进一步规范</w:t>
      </w:r>
      <w:r>
        <w:rPr>
          <w:rFonts w:hint="eastAsia" w:ascii="仿宋_GB2312" w:hAnsi="仿宋_GB2312" w:eastAsia="仿宋_GB2312" w:cs="仿宋_GB2312"/>
          <w:sz w:val="32"/>
          <w:szCs w:val="32"/>
        </w:rPr>
        <w:t>。</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4、存在预算资金不够细，支出与预算不够专的问题。</w:t>
      </w:r>
    </w:p>
    <w:p>
      <w:pPr>
        <w:pStyle w:val="19"/>
        <w:widowControl/>
        <w:spacing w:line="600" w:lineRule="exact"/>
        <w:ind w:left="640" w:firstLine="0" w:firstLineChars="0"/>
        <w:jc w:val="left"/>
        <w:rPr>
          <w:rFonts w:hint="eastAsia" w:ascii="仿宋_GB2312" w:hAnsi="仿宋_GB2312" w:eastAsia="仿宋_GB2312" w:cs="仿宋_GB2312"/>
          <w:b/>
          <w:bCs/>
          <w:sz w:val="32"/>
          <w:szCs w:val="32"/>
        </w:rPr>
      </w:pPr>
      <w:r>
        <w:rPr>
          <w:rFonts w:ascii="仿宋_GB2312" w:hAnsi="仿宋_GB2312" w:eastAsia="仿宋_GB2312" w:cs="仿宋_GB2312"/>
          <w:b/>
          <w:bCs/>
          <w:sz w:val="32"/>
          <w:szCs w:val="32"/>
        </w:rPr>
        <w:t>八、下一步改进措施</w:t>
      </w:r>
    </w:p>
    <w:p>
      <w:pPr>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（一）规范账务处理，提高财务信息质量 。</w:t>
      </w:r>
    </w:p>
    <w:p>
      <w:pPr>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lang w:val="en-US" w:eastAsia="zh-CN"/>
        </w:rPr>
        <w:t xml:space="preserve">    </w:t>
      </w:r>
      <w:r>
        <w:rPr>
          <w:rFonts w:hint="eastAsia" w:ascii="仿宋_GB2312" w:hAnsi="仿宋_GB2312" w:eastAsia="仿宋_GB2312" w:cs="仿宋_GB2312"/>
          <w:color w:val="010101"/>
          <w:kern w:val="0"/>
          <w:sz w:val="32"/>
          <w:szCs w:val="32"/>
        </w:rPr>
        <w:t>严格按照《会计法》、《行政单位会计制度》、《行政单位财务规则》等规定执行财务核算，并结合实际情况，完整、准确地披露相关信息，做到决算与预算相衔接。</w:t>
      </w:r>
    </w:p>
    <w:p>
      <w:pPr>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（二）落实管理制度，进一步加强接待管理。</w:t>
      </w:r>
    </w:p>
    <w:p>
      <w:pPr>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按照《道县党政机关公务接待管理实施细则》的加强接待管理工作，对被接待单位人员要及时索取接待函对存在的问题。</w:t>
      </w:r>
    </w:p>
    <w:p>
      <w:pPr>
        <w:adjustRightInd w:val="0"/>
        <w:snapToGrid w:val="0"/>
        <w:spacing w:line="600" w:lineRule="exact"/>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（三）加强会计机构队伍建设</w:t>
      </w:r>
    </w:p>
    <w:p>
      <w:pPr>
        <w:adjustRightInd w:val="0"/>
        <w:snapToGrid w:val="0"/>
        <w:spacing w:line="600" w:lineRule="exact"/>
        <w:ind w:firstLine="64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按照《中华人民共和国会计法》要求建立会计机关，配备齐会计人员，做到不相容岗位分设，加强会计监督。</w:t>
      </w:r>
    </w:p>
    <w:p>
      <w:pPr>
        <w:pStyle w:val="19"/>
        <w:widowControl/>
        <w:spacing w:line="600" w:lineRule="exact"/>
        <w:ind w:left="640" w:firstLine="0" w:firstLineChars="0"/>
        <w:jc w:val="left"/>
        <w:rPr>
          <w:rFonts w:hint="eastAsia" w:ascii="仿宋_GB2312" w:hAnsi="仿宋_GB2312" w:eastAsia="仿宋_GB2312" w:cs="仿宋_GB2312"/>
          <w:bCs/>
          <w:sz w:val="32"/>
          <w:szCs w:val="32"/>
        </w:rPr>
      </w:pPr>
      <w:r>
        <w:rPr>
          <w:rFonts w:hint="eastAsia" w:ascii="仿宋_GB2312" w:hAnsi="仿宋_GB2312" w:eastAsia="仿宋_GB2312" w:cs="仿宋_GB2312"/>
          <w:b/>
          <w:bCs/>
          <w:sz w:val="32"/>
          <w:szCs w:val="32"/>
        </w:rPr>
        <w:t>九、绩效自评结果拟应用和公开情况</w:t>
      </w:r>
    </w:p>
    <w:p>
      <w:pPr>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按照要求将部门整体支出自评结果在部门门户网站进行公开，优化支出结构、完善相关办法、改进预算管理。强化结果应用，建立完善评价结果与预算调整、改进管理、完善政策挂钩机制。</w:t>
      </w:r>
    </w:p>
    <w:p>
      <w:pPr>
        <w:ind w:firstLine="640"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十、其他需要说明的情况</w:t>
      </w:r>
    </w:p>
    <w:p>
      <w:pPr>
        <w:ind w:firstLine="640" w:firstLineChars="200"/>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无。</w:t>
      </w:r>
    </w:p>
    <w:p>
      <w:pPr>
        <w:adjustRightInd w:val="0"/>
        <w:snapToGrid w:val="0"/>
        <w:spacing w:line="600" w:lineRule="exact"/>
        <w:ind w:firstLine="640" w:firstLineChars="200"/>
        <w:rPr>
          <w:rFonts w:hint="eastAsia" w:ascii="仿宋_GB2312" w:hAnsi="仿宋_GB2312" w:eastAsia="仿宋_GB2312" w:cs="仿宋_GB2312"/>
          <w:color w:val="010101"/>
          <w:kern w:val="0"/>
          <w:sz w:val="32"/>
          <w:szCs w:val="32"/>
        </w:rPr>
      </w:pPr>
    </w:p>
    <w:p>
      <w:pPr>
        <w:pStyle w:val="6"/>
        <w:rPr>
          <w:rFonts w:hint="eastAsia" w:ascii="仿宋_GB2312" w:hAnsi="仿宋_GB2312" w:eastAsia="仿宋_GB2312" w:cs="仿宋_GB2312"/>
          <w:color w:val="010101"/>
          <w:kern w:val="0"/>
          <w:sz w:val="28"/>
          <w:szCs w:val="28"/>
        </w:rPr>
      </w:pPr>
      <w:r>
        <w:rPr>
          <w:rFonts w:hint="eastAsia" w:ascii="仿宋_GB2312" w:hAnsi="仿宋_GB2312" w:eastAsia="仿宋_GB2312" w:cs="仿宋_GB2312"/>
          <w:color w:val="010101"/>
          <w:kern w:val="0"/>
          <w:sz w:val="28"/>
          <w:szCs w:val="28"/>
        </w:rPr>
        <w:t xml:space="preserve">                                       </w:t>
      </w:r>
    </w:p>
    <w:p>
      <w:pPr>
        <w:pStyle w:val="18"/>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pPr>
        <w:spacing w:line="560" w:lineRule="exact"/>
        <w:ind w:firstLine="640" w:firstLineChars="200"/>
        <w:jc w:val="right"/>
        <w:rPr>
          <w:rFonts w:hint="eastAsia" w:ascii="仿宋_GB2312" w:hAnsi="仿宋_GB2312" w:eastAsia="仿宋_GB2312" w:cs="仿宋_GB2312"/>
          <w:color w:val="010101"/>
          <w:kern w:val="0"/>
          <w:sz w:val="32"/>
          <w:szCs w:val="32"/>
        </w:rPr>
      </w:pPr>
      <w:r>
        <w:rPr>
          <w:rFonts w:hint="eastAsia" w:ascii="仿宋_GB2312" w:hAnsi="仿宋_GB2312" w:eastAsia="仿宋_GB2312" w:cs="仿宋_GB2312"/>
          <w:color w:val="010101"/>
          <w:kern w:val="0"/>
          <w:sz w:val="32"/>
          <w:szCs w:val="32"/>
        </w:rPr>
        <w:t xml:space="preserve"> 道县县委宣传部</w:t>
      </w:r>
    </w:p>
    <w:p>
      <w:pPr>
        <w:pStyle w:val="6"/>
        <w:jc w:val="right"/>
        <w:rPr>
          <w:sz w:val="72"/>
          <w:szCs w:val="72"/>
        </w:rPr>
      </w:pPr>
      <w:r>
        <w:rPr>
          <w:rFonts w:hint="eastAsia" w:ascii="仿宋_GB2312" w:hAnsi="仿宋_GB2312" w:eastAsia="仿宋_GB2312" w:cs="仿宋_GB2312"/>
          <w:color w:val="010101"/>
          <w:kern w:val="0"/>
          <w:sz w:val="32"/>
          <w:szCs w:val="32"/>
        </w:rPr>
        <w:t xml:space="preserve">                                   </w:t>
      </w:r>
      <w:r>
        <w:rPr>
          <w:rFonts w:hint="eastAsia" w:ascii="仿宋_GB2312" w:hAnsi="仿宋_GB2312" w:eastAsia="仿宋_GB2312" w:cs="仿宋_GB2312"/>
          <w:color w:val="010101"/>
          <w:kern w:val="0"/>
          <w:sz w:val="32"/>
          <w:szCs w:val="32"/>
          <w:lang w:val="en-US" w:eastAsia="zh-CN"/>
        </w:rPr>
        <w:t xml:space="preserve"> </w:t>
      </w:r>
      <w:r>
        <w:rPr>
          <w:rFonts w:hint="eastAsia" w:ascii="仿宋_GB2312" w:hAnsi="仿宋_GB2312" w:eastAsia="仿宋_GB2312" w:cs="仿宋_GB2312"/>
          <w:color w:val="010101"/>
          <w:kern w:val="0"/>
          <w:sz w:val="32"/>
          <w:szCs w:val="32"/>
        </w:rPr>
        <w:t xml:space="preserve"> 202</w:t>
      </w:r>
      <w:r>
        <w:rPr>
          <w:rFonts w:hint="eastAsia" w:ascii="仿宋_GB2312" w:hAnsi="仿宋_GB2312" w:eastAsia="仿宋_GB2312" w:cs="仿宋_GB2312"/>
          <w:color w:val="010101"/>
          <w:kern w:val="0"/>
          <w:sz w:val="32"/>
          <w:szCs w:val="32"/>
          <w:lang w:val="en-US" w:eastAsia="zh-CN"/>
        </w:rPr>
        <w:t>5</w:t>
      </w:r>
      <w:r>
        <w:rPr>
          <w:rFonts w:hint="eastAsia" w:ascii="仿宋_GB2312" w:hAnsi="仿宋_GB2312" w:eastAsia="仿宋_GB2312" w:cs="仿宋_GB2312"/>
          <w:color w:val="010101"/>
          <w:kern w:val="0"/>
          <w:sz w:val="32"/>
          <w:szCs w:val="32"/>
        </w:rPr>
        <w:t>年</w:t>
      </w:r>
      <w:r>
        <w:rPr>
          <w:rFonts w:hint="eastAsia" w:ascii="仿宋_GB2312" w:hAnsi="仿宋_GB2312" w:eastAsia="仿宋_GB2312" w:cs="仿宋_GB2312"/>
          <w:color w:val="010101"/>
          <w:kern w:val="0"/>
          <w:sz w:val="32"/>
          <w:szCs w:val="32"/>
          <w:lang w:val="en-US" w:eastAsia="zh-CN"/>
        </w:rPr>
        <w:t>6</w:t>
      </w:r>
      <w:r>
        <w:rPr>
          <w:rFonts w:hint="eastAsia" w:ascii="仿宋_GB2312" w:hAnsi="仿宋_GB2312" w:eastAsia="仿宋_GB2312" w:cs="仿宋_GB2312"/>
          <w:color w:val="010101"/>
          <w:kern w:val="0"/>
          <w:sz w:val="32"/>
          <w:szCs w:val="32"/>
        </w:rPr>
        <w:t>月</w:t>
      </w:r>
      <w:r>
        <w:rPr>
          <w:rFonts w:hint="eastAsia" w:ascii="仿宋_GB2312" w:hAnsi="仿宋_GB2312" w:eastAsia="仿宋_GB2312" w:cs="仿宋_GB2312"/>
          <w:color w:val="010101"/>
          <w:kern w:val="0"/>
          <w:sz w:val="32"/>
          <w:szCs w:val="32"/>
          <w:lang w:val="en-US" w:eastAsia="zh-CN"/>
        </w:rPr>
        <w:t>18</w:t>
      </w:r>
      <w:r>
        <w:rPr>
          <w:rFonts w:hint="eastAsia" w:ascii="仿宋_GB2312" w:hAnsi="仿宋_GB2312" w:eastAsia="仿宋_GB2312" w:cs="仿宋_GB2312"/>
          <w:color w:val="010101"/>
          <w:kern w:val="0"/>
          <w:sz w:val="32"/>
          <w:szCs w:val="32"/>
        </w:rPr>
        <w:t>日</w:t>
      </w:r>
    </w:p>
    <w:p>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EFF" w:usb1="C000247B" w:usb2="00000009" w:usb3="00000000" w:csb0="200001FF" w:csb1="00000000"/>
  </w:font>
  <w:font w:name="方正小标宋简体">
    <w:altName w:val="Arial Unicode MS"/>
    <w:panose1 w:val="02000000000000000000"/>
    <w:charset w:val="86"/>
    <w:family w:val="auto"/>
    <w:pitch w:val="default"/>
    <w:sig w:usb0="00000000" w:usb1="00000000" w:usb2="00000012" w:usb3="00000000" w:csb0="00040001" w:csb1="00000000"/>
  </w:font>
  <w:font w:name="楷体">
    <w:panose1 w:val="02010609060101010101"/>
    <w:charset w:val="86"/>
    <w:family w:val="auto"/>
    <w:pitch w:val="default"/>
    <w:sig w:usb0="800002BF" w:usb1="38CF7CFA" w:usb2="00000016" w:usb3="00000000" w:csb0="00040001" w:csb1="00000000"/>
  </w:font>
  <w:font w:name="方正小标宋_GBK">
    <w:altName w:val="Arial Unicode MS"/>
    <w:panose1 w:val="02000000000000000000"/>
    <w:charset w:val="86"/>
    <w:family w:val="script"/>
    <w:pitch w:val="default"/>
    <w:sig w:usb0="00000000" w:usb1="00000000" w:usb2="00082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6CE87AD"/>
    <w:multiLevelType w:val="singleLevel"/>
    <w:tmpl w:val="66CE87AD"/>
    <w:lvl w:ilvl="0" w:tentative="0">
      <w:start w:val="7"/>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2453A"/>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82674"/>
    <w:rsid w:val="074344D9"/>
    <w:rsid w:val="0AE21F26"/>
    <w:rsid w:val="127305C6"/>
    <w:rsid w:val="13EE1E50"/>
    <w:rsid w:val="1A6E09C8"/>
    <w:rsid w:val="1C1A4C3F"/>
    <w:rsid w:val="1D97DEFF"/>
    <w:rsid w:val="1DFF72E5"/>
    <w:rsid w:val="1EFC6F07"/>
    <w:rsid w:val="1FD75501"/>
    <w:rsid w:val="26294778"/>
    <w:rsid w:val="2C9B2694"/>
    <w:rsid w:val="2FDF85B8"/>
    <w:rsid w:val="2FFFEE04"/>
    <w:rsid w:val="30EE455A"/>
    <w:rsid w:val="342E091C"/>
    <w:rsid w:val="34DF85B0"/>
    <w:rsid w:val="379375CF"/>
    <w:rsid w:val="37B86DAE"/>
    <w:rsid w:val="3B631E1E"/>
    <w:rsid w:val="3B8F36BC"/>
    <w:rsid w:val="3EC21A80"/>
    <w:rsid w:val="3F0B7581"/>
    <w:rsid w:val="41AE5A8F"/>
    <w:rsid w:val="491FF225"/>
    <w:rsid w:val="4A0770B6"/>
    <w:rsid w:val="4AB47FDA"/>
    <w:rsid w:val="4D4B4E2A"/>
    <w:rsid w:val="4D4D3798"/>
    <w:rsid w:val="4FFD214C"/>
    <w:rsid w:val="528E1C04"/>
    <w:rsid w:val="5777D4F5"/>
    <w:rsid w:val="59DD8326"/>
    <w:rsid w:val="5DEF592A"/>
    <w:rsid w:val="5FC6BB1E"/>
    <w:rsid w:val="5FF720F1"/>
    <w:rsid w:val="6579522E"/>
    <w:rsid w:val="65DA7C41"/>
    <w:rsid w:val="67FF5C0B"/>
    <w:rsid w:val="6EFC0924"/>
    <w:rsid w:val="6FB74722"/>
    <w:rsid w:val="6FEF8B7E"/>
    <w:rsid w:val="71A6591B"/>
    <w:rsid w:val="737D59BA"/>
    <w:rsid w:val="77C37683"/>
    <w:rsid w:val="79FF515B"/>
    <w:rsid w:val="7A621F64"/>
    <w:rsid w:val="7C844F03"/>
    <w:rsid w:val="7E991F00"/>
    <w:rsid w:val="7E9E1962"/>
    <w:rsid w:val="7E9F11B4"/>
    <w:rsid w:val="7F37EC1E"/>
    <w:rsid w:val="7F7DCD9D"/>
    <w:rsid w:val="7F840EB9"/>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qFormat="1" w:unhideWhenUsed="0"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line="700" w:lineRule="exact"/>
      <w:jc w:val="center"/>
      <w:outlineLvl w:val="0"/>
    </w:pPr>
    <w:rPr>
      <w:rFonts w:ascii="Calibri" w:hAnsi="Calibri" w:eastAsia="方正小标宋简体"/>
      <w:kern w:val="44"/>
      <w:sz w:val="44"/>
    </w:rPr>
  </w:style>
  <w:style w:type="character" w:default="1" w:styleId="12">
    <w:name w:val="Default Paragraph Font"/>
    <w:unhideWhenUsed/>
    <w:qFormat/>
    <w:uiPriority w:val="1"/>
  </w:style>
  <w:style w:type="table" w:default="1" w:styleId="13">
    <w:name w:val="Normal Table"/>
    <w:unhideWhenUsed/>
    <w:qFormat/>
    <w:uiPriority w:val="99"/>
    <w:tblPr>
      <w:tblLayout w:type="fixed"/>
      <w:tblCellMar>
        <w:top w:w="0" w:type="dxa"/>
        <w:left w:w="108" w:type="dxa"/>
        <w:bottom w:w="0" w:type="dxa"/>
        <w:right w:w="108" w:type="dxa"/>
      </w:tblCellMar>
    </w:tblPr>
  </w:style>
  <w:style w:type="paragraph" w:styleId="2">
    <w:name w:val="Normal Indent"/>
    <w:basedOn w:val="1"/>
    <w:unhideWhenUsed/>
    <w:qFormat/>
    <w:uiPriority w:val="99"/>
    <w:pPr>
      <w:ind w:firstLine="420"/>
    </w:pPr>
    <w:rPr>
      <w:szCs w:val="20"/>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endnote text"/>
    <w:basedOn w:val="1"/>
    <w:semiHidden/>
    <w:qFormat/>
    <w:uiPriority w:val="99"/>
  </w:style>
  <w:style w:type="paragraph" w:styleId="7">
    <w:name w:val="Balloon Text"/>
    <w:basedOn w:val="1"/>
    <w:link w:val="20"/>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5"/>
    <w:semiHidden/>
    <w:qFormat/>
    <w:uiPriority w:val="0"/>
    <w:pPr>
      <w:snapToGrid w:val="0"/>
      <w:jc w:val="left"/>
    </w:pPr>
    <w:rPr>
      <w:sz w:val="18"/>
      <w:szCs w:val="18"/>
    </w:rPr>
  </w:style>
  <w:style w:type="paragraph" w:styleId="11">
    <w:name w:val="Normal (Web)"/>
    <w:basedOn w:val="1"/>
    <w:next w:val="8"/>
    <w:unhideWhenUsed/>
    <w:qFormat/>
    <w:uiPriority w:val="99"/>
    <w:pPr>
      <w:widowControl/>
      <w:spacing w:before="100" w:beforeAutospacing="1" w:after="100" w:afterAutospacing="1"/>
      <w:jc w:val="left"/>
    </w:pPr>
    <w:rPr>
      <w:rFonts w:ascii="宋体" w:hAnsi="宋体" w:cs="宋体"/>
      <w:kern w:val="0"/>
      <w:sz w:val="24"/>
      <w:szCs w:val="24"/>
    </w:rPr>
  </w:style>
  <w:style w:type="paragraph" w:customStyle="1" w:styleId="14">
    <w:name w:val="BodyText1I2"/>
    <w:basedOn w:val="15"/>
    <w:qFormat/>
    <w:uiPriority w:val="0"/>
    <w:pPr>
      <w:ind w:firstLine="420" w:firstLineChars="200"/>
    </w:pPr>
    <w:rPr>
      <w:rFonts w:ascii="Calibri" w:hAnsi="Calibri" w:eastAsia="宋体" w:cs="Times New Roman"/>
    </w:rPr>
  </w:style>
  <w:style w:type="paragraph" w:customStyle="1" w:styleId="15">
    <w:name w:val="BodyTextIndent"/>
    <w:basedOn w:val="1"/>
    <w:qFormat/>
    <w:uiPriority w:val="0"/>
    <w:pPr>
      <w:spacing w:after="120"/>
      <w:ind w:left="420" w:leftChars="200"/>
    </w:pPr>
    <w:rPr>
      <w:rFonts w:ascii="Times New Roman" w:hAnsi="Times New Roman" w:eastAsia="宋体" w:cs="Times New Roman"/>
    </w:rPr>
  </w:style>
  <w:style w:type="character" w:customStyle="1" w:styleId="16">
    <w:name w:val="页眉 Char"/>
    <w:basedOn w:val="12"/>
    <w:link w:val="9"/>
    <w:qFormat/>
    <w:uiPriority w:val="99"/>
    <w:rPr>
      <w:sz w:val="18"/>
      <w:szCs w:val="18"/>
    </w:rPr>
  </w:style>
  <w:style w:type="character" w:customStyle="1" w:styleId="17">
    <w:name w:val="页脚 Char"/>
    <w:basedOn w:val="12"/>
    <w:link w:val="8"/>
    <w:qFormat/>
    <w:uiPriority w:val="99"/>
    <w:rPr>
      <w:sz w:val="18"/>
      <w:szCs w:val="18"/>
    </w:rPr>
  </w:style>
  <w:style w:type="paragraph" w:customStyle="1" w:styleId="18">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customStyle="1" w:styleId="19">
    <w:name w:val="List Paragraph"/>
    <w:basedOn w:val="1"/>
    <w:qFormat/>
    <w:uiPriority w:val="34"/>
    <w:pPr>
      <w:ind w:firstLine="420" w:firstLineChars="200"/>
    </w:pPr>
  </w:style>
  <w:style w:type="character" w:customStyle="1" w:styleId="20">
    <w:name w:val="批注框文本 Char"/>
    <w:basedOn w:val="12"/>
    <w:link w:val="7"/>
    <w:semiHidden/>
    <w:qFormat/>
    <w:uiPriority w:val="99"/>
    <w:rPr>
      <w:sz w:val="18"/>
      <w:szCs w:val="18"/>
    </w:rPr>
  </w:style>
  <w:style w:type="character" w:customStyle="1" w:styleId="21">
    <w:name w:val="font01"/>
    <w:basedOn w:val="12"/>
    <w:qFormat/>
    <w:uiPriority w:val="0"/>
    <w:rPr>
      <w:rFonts w:hint="eastAsia" w:ascii="宋体" w:hAnsi="宋体" w:eastAsia="宋体" w:cs="宋体"/>
      <w:color w:val="000000"/>
      <w:sz w:val="22"/>
      <w:szCs w:val="22"/>
      <w:u w:val="none"/>
    </w:rPr>
  </w:style>
  <w:style w:type="character" w:customStyle="1" w:styleId="22">
    <w:name w:val="font21"/>
    <w:basedOn w:val="12"/>
    <w:qFormat/>
    <w:uiPriority w:val="0"/>
    <w:rPr>
      <w:rFonts w:hint="eastAsia" w:ascii="宋体" w:hAnsi="宋体" w:eastAsia="宋体" w:cs="宋体"/>
      <w:color w:val="000000"/>
      <w:sz w:val="24"/>
      <w:szCs w:val="24"/>
      <w:u w:val="none"/>
    </w:rPr>
  </w:style>
  <w:style w:type="character" w:customStyle="1" w:styleId="23">
    <w:name w:val="font11"/>
    <w:basedOn w:val="12"/>
    <w:qFormat/>
    <w:uiPriority w:val="0"/>
    <w:rPr>
      <w:rFonts w:hint="eastAsia" w:ascii="宋体" w:hAnsi="宋体" w:eastAsia="宋体" w:cs="宋体"/>
      <w:color w:val="000000"/>
      <w:sz w:val="24"/>
      <w:szCs w:val="24"/>
      <w:u w:val="none"/>
    </w:rPr>
  </w:style>
  <w:style w:type="paragraph" w:customStyle="1" w:styleId="24">
    <w:name w:val="Footnote Text"/>
    <w:basedOn w:val="1"/>
    <w:next w:val="5"/>
    <w:semiHidden/>
    <w:qFormat/>
    <w:uiPriority w:val="0"/>
    <w:pPr>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1067</Words>
  <Characters>1133</Characters>
  <Lines>63</Lines>
  <Paragraphs>18</Paragraphs>
  <ScaleCrop>false</ScaleCrop>
  <LinksUpToDate>false</LinksUpToDate>
  <CharactersWithSpaces>1225</CharactersWithSpaces>
  <Application>WPS Office_10.1.0.6159_F1E327BC-269C-435d-A152-05C5408002CA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user</cp:lastModifiedBy>
  <cp:lastPrinted>2024-08-08T10:20:00Z</cp:lastPrinted>
  <dcterms:modified xsi:type="dcterms:W3CDTF">2025-12-04T03:43:55Z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2052-10.1.0.6159</vt:lpwstr>
  </property>
  <property fmtid="{D5CDD505-2E9C-101B-9397-08002B2CF9AE}" pid="3" name="KSOTemplateDocerSaveRecord">
    <vt:lpwstr>eyJoZGlkIjoiNmU1ZGFmNmY4OTQ0OTAxYTcyNjFhODBmODkyY2MyZjAiLCJ1c2VySWQiOiI0Mzg2MTMzNDkifQ==</vt:lpwstr>
  </property>
  <property fmtid="{D5CDD505-2E9C-101B-9397-08002B2CF9AE}" pid="4" name="ICV">
    <vt:lpwstr>63D1700D048B4125BD01B6A6429532E2</vt:lpwstr>
  </property>
</Properties>
</file>