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lang w:eastAsia="zh-CN"/>
        </w:rPr>
        <w:t>2024年</w:t>
      </w:r>
      <w:r>
        <w:rPr>
          <w:rFonts w:hint="eastAsia"/>
          <w:sz w:val="84"/>
          <w:szCs w:val="84"/>
        </w:rPr>
        <w:t>度</w:t>
      </w:r>
    </w:p>
    <w:p>
      <w:pPr>
        <w:pStyle w:val="11"/>
        <w:jc w:val="center"/>
        <w:rPr>
          <w:sz w:val="84"/>
          <w:szCs w:val="84"/>
        </w:rPr>
      </w:pPr>
      <w:r>
        <w:rPr>
          <w:rFonts w:hint="eastAsia"/>
          <w:sz w:val="84"/>
          <w:szCs w:val="84"/>
        </w:rPr>
        <w:t>道县图书馆部门决算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第一部分XX单位概况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2024年</w:t>
      </w:r>
      <w:r>
        <w:rPr>
          <w:rFonts w:hint="eastAsia" w:hAnsi="仿宋_GB2312"/>
          <w:b/>
          <w:sz w:val="28"/>
          <w:szCs w:val="28"/>
        </w:rPr>
        <w:t>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2024年</w:t>
      </w:r>
      <w:r>
        <w:rPr>
          <w:rFonts w:hint="eastAsia" w:hAnsi="仿宋_GB2312"/>
          <w:b/>
          <w:sz w:val="28"/>
          <w:szCs w:val="28"/>
        </w:rPr>
        <w:t>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lang w:eastAsia="zh-CN"/>
        </w:rPr>
        <w:t>2024年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道县图书馆单位概况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numId w:val="0"/>
        </w:numPr>
        <w:ind w:leftChars="200" w:firstLine="320" w:firstLineChars="100"/>
        <w:jc w:val="left"/>
        <w:rPr>
          <w:rFonts w:ascii="黑体" w:hAnsi="黑体" w:eastAsia="黑体"/>
          <w:sz w:val="32"/>
          <w:szCs w:val="32"/>
        </w:rPr>
      </w:pPr>
      <w:bookmarkStart w:id="5" w:name="_GoBack"/>
      <w:bookmarkEnd w:id="5"/>
      <w:r>
        <w:rPr>
          <w:rFonts w:hint="eastAsia" w:ascii="黑体" w:hAnsi="黑体" w:eastAsia="黑体"/>
          <w:sz w:val="32"/>
          <w:szCs w:val="32"/>
          <w:lang w:eastAsia="zh-CN"/>
        </w:rPr>
        <w:t>一、</w:t>
      </w:r>
      <w:r>
        <w:rPr>
          <w:rFonts w:ascii="黑体" w:hAnsi="黑体" w:eastAsia="黑体"/>
          <w:sz w:val="32"/>
          <w:szCs w:val="32"/>
        </w:rPr>
        <w:t>部门职责</w:t>
      </w:r>
    </w:p>
    <w:p>
      <w:pPr>
        <w:autoSpaceDE w:val="0"/>
        <w:autoSpaceDN w:val="0"/>
        <w:adjustRightInd w:val="0"/>
        <w:spacing w:line="500" w:lineRule="exact"/>
        <w:ind w:firstLine="640" w:firstLineChars="200"/>
        <w:jc w:val="left"/>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1、保存借阅资料，促进社会经济文化发展。</w:t>
      </w:r>
    </w:p>
    <w:p>
      <w:pPr>
        <w:autoSpaceDE w:val="0"/>
        <w:autoSpaceDN w:val="0"/>
        <w:adjustRightInd w:val="0"/>
        <w:spacing w:line="500" w:lineRule="exact"/>
        <w:ind w:firstLine="640" w:firstLineChars="200"/>
        <w:jc w:val="left"/>
        <w:rPr>
          <w:rFonts w:hint="eastAsia" w:ascii="仿宋_GB2312" w:hAnsi="仿宋_GB2312" w:cs="仿宋_GB2312"/>
          <w:color w:val="000000"/>
          <w:kern w:val="0"/>
          <w:sz w:val="32"/>
          <w:szCs w:val="32"/>
        </w:rPr>
      </w:pPr>
      <w:r>
        <w:rPr>
          <w:rFonts w:hint="eastAsia" w:ascii="仿宋_GB2312" w:hAnsi="仿宋_GB2312" w:cs="仿宋_GB2312"/>
          <w:color w:val="000000"/>
          <w:kern w:val="0"/>
          <w:sz w:val="32"/>
          <w:szCs w:val="32"/>
        </w:rPr>
        <w:t>2、采编与储藏，图书资料借阅，知识培训与社会教育。</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jc w:val="left"/>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道县图书馆</w:t>
      </w:r>
      <w:r>
        <w:rPr>
          <w:rFonts w:hint="eastAsia" w:asciiTheme="minorEastAsia" w:hAnsiTheme="minorEastAsia"/>
          <w:bCs/>
          <w:kern w:val="0"/>
          <w:sz w:val="32"/>
          <w:szCs w:val="32"/>
        </w:rPr>
        <w:t>单位内设机构包括：办公室、财务室、业务辅导与参考咨询室、外借室、阅览室、少儿借阅室、电子阅览室、多媒体室</w:t>
      </w:r>
      <w:r>
        <w:rPr>
          <w:rFonts w:hint="eastAsia" w:asciiTheme="minorEastAsia" w:hAnsiTheme="minorEastAsia"/>
          <w:bCs/>
          <w:kern w:val="0"/>
          <w:sz w:val="32"/>
          <w:szCs w:val="32"/>
          <w:lang w:eastAsia="zh-CN"/>
        </w:rPr>
        <w:t>。</w:t>
      </w:r>
    </w:p>
    <w:p>
      <w:pPr>
        <w:ind w:firstLine="640" w:firstLineChars="200"/>
        <w:jc w:val="left"/>
        <w:rPr>
          <w:rFonts w:hint="eastAsia" w:ascii="黑体" w:hAnsi="黑体" w:eastAsiaTheme="minorEastAsia"/>
          <w:sz w:val="28"/>
          <w:szCs w:val="28"/>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道县图书馆</w:t>
      </w:r>
      <w:r>
        <w:rPr>
          <w:rFonts w:hint="eastAsia" w:asciiTheme="minorEastAsia" w:hAnsiTheme="minorEastAsia"/>
          <w:bCs/>
          <w:kern w:val="0"/>
          <w:sz w:val="32"/>
          <w:szCs w:val="32"/>
        </w:rPr>
        <w:t>单位</w:t>
      </w:r>
      <w:r>
        <w:rPr>
          <w:rFonts w:hint="eastAsia" w:asciiTheme="minorEastAsia" w:hAnsiTheme="minorEastAsia"/>
          <w:bCs/>
          <w:kern w:val="0"/>
          <w:sz w:val="32"/>
          <w:szCs w:val="32"/>
          <w:lang w:eastAsia="zh-CN"/>
        </w:rPr>
        <w:t>2024年</w:t>
      </w:r>
      <w:r>
        <w:rPr>
          <w:rFonts w:hint="eastAsia" w:asciiTheme="minorEastAsia" w:hAnsiTheme="minorEastAsia"/>
          <w:bCs/>
          <w:kern w:val="0"/>
          <w:sz w:val="32"/>
          <w:szCs w:val="32"/>
        </w:rPr>
        <w:t>部门决算汇总公开单位构成包括：</w:t>
      </w:r>
      <w:r>
        <w:rPr>
          <w:rFonts w:hint="eastAsia" w:asciiTheme="minorEastAsia" w:hAnsiTheme="minorEastAsia"/>
          <w:bCs/>
          <w:kern w:val="0"/>
          <w:sz w:val="32"/>
          <w:szCs w:val="32"/>
          <w:lang w:eastAsia="zh-CN"/>
        </w:rPr>
        <w:t>只有道县图书馆</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rFonts w:hint="eastAsia" w:ascii="黑体" w:eastAsia="黑体" w:cs="黑体" w:hAnsiTheme="minorHAnsi"/>
          <w:color w:val="000000"/>
          <w:kern w:val="0"/>
          <w:sz w:val="84"/>
          <w:szCs w:val="84"/>
          <w:lang w:val="en-US" w:eastAsia="zh-CN" w:bidi="ar-SA"/>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143.81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173.49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173.49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fixed"/>
        <w:tblCellMar>
          <w:top w:w="0" w:type="dxa"/>
          <w:left w:w="0" w:type="dxa"/>
          <w:bottom w:w="0" w:type="dxa"/>
          <w:right w:w="0" w:type="dxa"/>
        </w:tblCellMar>
      </w:tblPr>
      <w:tblGrid>
        <w:gridCol w:w="986"/>
        <w:gridCol w:w="44"/>
        <w:gridCol w:w="74"/>
        <w:gridCol w:w="704"/>
        <w:gridCol w:w="222"/>
        <w:gridCol w:w="1335"/>
        <w:gridCol w:w="354"/>
        <w:gridCol w:w="935"/>
        <w:gridCol w:w="433"/>
        <w:gridCol w:w="1238"/>
        <w:gridCol w:w="441"/>
        <w:gridCol w:w="1230"/>
        <w:gridCol w:w="449"/>
        <w:gridCol w:w="1222"/>
        <w:gridCol w:w="457"/>
        <w:gridCol w:w="1214"/>
        <w:gridCol w:w="465"/>
        <w:gridCol w:w="1206"/>
        <w:gridCol w:w="1102"/>
        <w:gridCol w:w="1275"/>
      </w:tblGrid>
      <w:tr>
        <w:tblPrEx>
          <w:tblCellMar>
            <w:top w:w="0" w:type="dxa"/>
            <w:left w:w="0" w:type="dxa"/>
            <w:bottom w:w="0" w:type="dxa"/>
            <w:right w:w="0" w:type="dxa"/>
          </w:tblCellMar>
        </w:tblPrEx>
        <w:trPr>
          <w:trHeight w:val="435" w:hRule="atLeast"/>
        </w:trPr>
        <w:tc>
          <w:tcPr>
            <w:tcW w:w="15386" w:type="dxa"/>
            <w:gridSpan w:val="2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6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8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65" w:type="dxa"/>
            <w:gridSpan w:val="6"/>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8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61" w:type="dxa"/>
            <w:gridSpan w:val="3"/>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4"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1" w:type="dxa"/>
            <w:gridSpan w:val="3"/>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8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365"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28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365" w:type="dxa"/>
            <w:gridSpan w:val="6"/>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173.49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173.49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2070104</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图书馆</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143.81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143.81</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15.79</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33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289"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2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1275" w:type="dxa"/>
          <w:trHeight w:val="435" w:hRule="atLeast"/>
        </w:trPr>
        <w:tc>
          <w:tcPr>
            <w:tcW w:w="1411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1275" w:type="dxa"/>
          <w:trHeight w:val="285" w:hRule="atLeast"/>
        </w:trPr>
        <w:tc>
          <w:tcPr>
            <w:tcW w:w="1808"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1275" w:type="dxa"/>
          <w:trHeight w:val="285" w:hRule="atLeast"/>
        </w:trPr>
        <w:tc>
          <w:tcPr>
            <w:tcW w:w="1808"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75" w:type="dxa"/>
          <w:trHeight w:val="450" w:hRule="atLeast"/>
        </w:trPr>
        <w:tc>
          <w:tcPr>
            <w:tcW w:w="371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6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1275" w:type="dxa"/>
          <w:trHeight w:val="450" w:hRule="atLeast"/>
        </w:trPr>
        <w:tc>
          <w:tcPr>
            <w:tcW w:w="2030" w:type="dxa"/>
            <w:gridSpan w:val="5"/>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689"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203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371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36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gridAfter w:val="1"/>
          <w:wAfter w:w="1275" w:type="dxa"/>
          <w:trHeight w:val="450" w:hRule="atLeast"/>
        </w:trPr>
        <w:tc>
          <w:tcPr>
            <w:tcW w:w="3719"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173.49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131.09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42.40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101.41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101.41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2070104</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图书馆</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143.81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101.41</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42.40</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733" w:type="dxa"/>
            <w:gridSpan w:val="6"/>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36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gridAfter w:val="1"/>
          <w:wAfter w:w="1275" w:type="dxa"/>
          <w:trHeight w:val="630" w:hRule="atLeast"/>
        </w:trPr>
        <w:tc>
          <w:tcPr>
            <w:tcW w:w="1411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143.81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143.81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15.79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173.49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5648" w:type="dxa"/>
        <w:jc w:val="center"/>
        <w:tblLayout w:type="autofit"/>
        <w:tblCellMar>
          <w:top w:w="0" w:type="dxa"/>
          <w:left w:w="108" w:type="dxa"/>
          <w:bottom w:w="0" w:type="dxa"/>
          <w:right w:w="108" w:type="dxa"/>
        </w:tblCellMar>
      </w:tblPr>
      <w:tblGrid>
        <w:gridCol w:w="697"/>
        <w:gridCol w:w="604"/>
        <w:gridCol w:w="794"/>
        <w:gridCol w:w="592"/>
        <w:gridCol w:w="1876"/>
        <w:gridCol w:w="981"/>
        <w:gridCol w:w="427"/>
        <w:gridCol w:w="635"/>
        <w:gridCol w:w="2129"/>
        <w:gridCol w:w="69"/>
        <w:gridCol w:w="954"/>
        <w:gridCol w:w="954"/>
        <w:gridCol w:w="1379"/>
        <w:gridCol w:w="2630"/>
        <w:gridCol w:w="195"/>
        <w:gridCol w:w="732"/>
      </w:tblGrid>
      <w:tr>
        <w:tblPrEx>
          <w:tblCellMar>
            <w:top w:w="0" w:type="dxa"/>
            <w:left w:w="108" w:type="dxa"/>
            <w:bottom w:w="0" w:type="dxa"/>
            <w:right w:w="108" w:type="dxa"/>
          </w:tblCellMar>
        </w:tblPrEx>
        <w:trPr>
          <w:gridBefore w:val="1"/>
          <w:gridAfter w:val="1"/>
          <w:wBefore w:w="697" w:type="dxa"/>
          <w:wAfter w:w="732" w:type="dxa"/>
          <w:trHeight w:val="405" w:hRule="atLeast"/>
          <w:jc w:val="center"/>
        </w:trPr>
        <w:tc>
          <w:tcPr>
            <w:tcW w:w="5274" w:type="dxa"/>
            <w:gridSpan w:val="6"/>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8"/>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gridBefore w:val="1"/>
          <w:gridAfter w:val="1"/>
          <w:wBefore w:w="697" w:type="dxa"/>
          <w:wAfter w:w="732" w:type="dxa"/>
          <w:trHeight w:val="495" w:hRule="atLeast"/>
          <w:jc w:val="center"/>
        </w:trPr>
        <w:tc>
          <w:tcPr>
            <w:tcW w:w="1990"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gridSpan w:val="2"/>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gridBefore w:val="1"/>
          <w:gridAfter w:val="1"/>
          <w:wBefore w:w="697" w:type="dxa"/>
          <w:wAfter w:w="732" w:type="dxa"/>
          <w:trHeight w:val="360" w:hRule="atLeast"/>
          <w:jc w:val="center"/>
        </w:trPr>
        <w:tc>
          <w:tcPr>
            <w:tcW w:w="199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99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5274"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5274"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173.49</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131.09</w:t>
            </w:r>
          </w:p>
        </w:tc>
        <w:tc>
          <w:tcPr>
            <w:tcW w:w="282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42.40</w:t>
            </w: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143.81</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101.41</w:t>
            </w:r>
          </w:p>
        </w:tc>
        <w:tc>
          <w:tcPr>
            <w:tcW w:w="282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42.40</w:t>
            </w: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143.81</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101.41</w:t>
            </w:r>
          </w:p>
        </w:tc>
        <w:tc>
          <w:tcPr>
            <w:tcW w:w="282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42.40</w:t>
            </w: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2070104</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图书馆</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143.81</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101.41</w:t>
            </w:r>
          </w:p>
        </w:tc>
        <w:tc>
          <w:tcPr>
            <w:tcW w:w="2825" w:type="dxa"/>
            <w:gridSpan w:val="2"/>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42.40</w:t>
            </w: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450" w:hRule="atLeast"/>
          <w:jc w:val="center"/>
        </w:trPr>
        <w:tc>
          <w:tcPr>
            <w:tcW w:w="1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87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8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328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2825" w:type="dxa"/>
            <w:gridSpan w:val="2"/>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gridBefore w:val="1"/>
          <w:gridAfter w:val="1"/>
          <w:wBefore w:w="697" w:type="dxa"/>
          <w:wAfter w:w="732" w:type="dxa"/>
          <w:trHeight w:val="645" w:hRule="atLeast"/>
          <w:jc w:val="center"/>
        </w:trPr>
        <w:tc>
          <w:tcPr>
            <w:tcW w:w="14219" w:type="dxa"/>
            <w:gridSpan w:val="14"/>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tblPrEx>
          <w:tblCellMar>
            <w:top w:w="0" w:type="dxa"/>
            <w:left w:w="108" w:type="dxa"/>
            <w:bottom w:w="0" w:type="dxa"/>
            <w:right w:w="108" w:type="dxa"/>
          </w:tblCellMar>
        </w:tblPrEx>
        <w:trPr>
          <w:trHeight w:val="113" w:hRule="atLeast"/>
          <w:jc w:val="center"/>
        </w:trPr>
        <w:tc>
          <w:tcPr>
            <w:tcW w:w="15648" w:type="dxa"/>
            <w:gridSpan w:val="16"/>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jc w:val="center"/>
        </w:trPr>
        <w:tc>
          <w:tcPr>
            <w:tcW w:w="13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121.09</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44.41</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20.54</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25.12</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15.79</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6.65</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7.24</w:t>
            </w: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4.42</w:t>
            </w: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0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6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2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5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1301"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62"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98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6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2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w:t>
            </w:r>
          </w:p>
        </w:tc>
        <w:tc>
          <w:tcPr>
            <w:tcW w:w="95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09"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92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jc w:val="center"/>
        </w:trPr>
        <w:tc>
          <w:tcPr>
            <w:tcW w:w="456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121.09</w:t>
            </w:r>
          </w:p>
        </w:tc>
        <w:tc>
          <w:tcPr>
            <w:tcW w:w="9177" w:type="dxa"/>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9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284" w:hRule="exact"/>
          <w:jc w:val="center"/>
        </w:trPr>
        <w:tc>
          <w:tcPr>
            <w:tcW w:w="15648" w:type="dxa"/>
            <w:gridSpan w:val="16"/>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rFonts w:hint="eastAsia"/>
          <w:sz w:val="70"/>
          <w:szCs w:val="70"/>
          <w:lang w:eastAsia="zh-CN"/>
        </w:rPr>
        <w:t>2024年</w:t>
      </w:r>
      <w:r>
        <w:rPr>
          <w:rFonts w:hint="eastAsia"/>
          <w:sz w:val="70"/>
          <w:szCs w:val="70"/>
        </w:rPr>
        <w:t>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度收、支总计</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9.72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5.94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项目收支增加。</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度收入合计</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度支出合计</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131.09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75.56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42.40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24.44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度财政拨款收、支总计</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9.72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5.94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项目收支增加。</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9.72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5.94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项目收支增加。</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143.81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82.89</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15.79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9.10</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6.65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住房保障支出7.24万元，占比4.17%</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度财政拨款支出年初预算数为</w:t>
      </w:r>
      <w:r>
        <w:rPr>
          <w:rFonts w:hint="eastAsia" w:asciiTheme="minorEastAsia" w:hAnsiTheme="minorEastAsia" w:eastAsiaTheme="minorEastAsia"/>
          <w:sz w:val="32"/>
          <w:szCs w:val="32"/>
          <w:lang w:val="en-US" w:eastAsia="zh-CN"/>
        </w:rPr>
        <w:t>164.09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173.49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105.73</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1、文化旅游体育与传媒支出(类)文化和旅游（款）图书馆（项）     </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138.97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143.81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103.48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。决算数大于年初预算数的主要原因是工资基数调整导致支出增加。</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2、社会保障和就业支出（类）行政事业单位养老支出（款）机关事业单位基本养老保险缴费支出（项）。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15.79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144.07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卫生健康支出（类）行政事业单位医疗（款）行政单位医疗（项）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111.58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w:t>
      </w:r>
    </w:p>
    <w:p>
      <w:pPr>
        <w:pStyle w:val="11"/>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lang w:eastAsia="zh-CN"/>
        </w:rPr>
        <w:t>住房保障支出</w:t>
      </w:r>
      <w:r>
        <w:rPr>
          <w:rFonts w:hint="eastAsia" w:asciiTheme="minorEastAsia" w:hAnsiTheme="minorEastAsia" w:eastAsiaTheme="minorEastAsia"/>
          <w:sz w:val="32"/>
          <w:szCs w:val="32"/>
          <w:lang w:val="en-US" w:eastAsia="zh-CN"/>
        </w:rPr>
        <w:t>（类）</w:t>
      </w:r>
      <w:r>
        <w:rPr>
          <w:rFonts w:hint="eastAsia" w:asciiTheme="minorEastAsia" w:hAnsiTheme="minorEastAsia" w:eastAsiaTheme="minorEastAsia"/>
          <w:sz w:val="32"/>
          <w:szCs w:val="32"/>
          <w:lang w:eastAsia="zh-CN"/>
        </w:rPr>
        <w:t>住房改革支出</w:t>
      </w:r>
      <w:r>
        <w:rPr>
          <w:rFonts w:hint="eastAsia" w:asciiTheme="minorEastAsia" w:hAnsiTheme="minorEastAsia" w:eastAsiaTheme="minorEastAsia"/>
          <w:sz w:val="32"/>
          <w:szCs w:val="32"/>
          <w:lang w:val="en-US" w:eastAsia="zh-CN"/>
        </w:rPr>
        <w:t>（款）住房公积金（项）</w:t>
      </w:r>
    </w:p>
    <w:p>
      <w:pPr>
        <w:pStyle w:val="11"/>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88.29%。支出决算小于年初预算是缴费工资基数调整。</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度财政拨款基本支出</w:t>
      </w:r>
      <w:r>
        <w:rPr>
          <w:rFonts w:hint="eastAsia" w:asciiTheme="minorEastAsia" w:hAnsiTheme="minorEastAsia" w:eastAsiaTheme="minorEastAsia"/>
          <w:sz w:val="32"/>
          <w:szCs w:val="32"/>
          <w:lang w:val="en-US" w:eastAsia="zh-CN"/>
        </w:rPr>
        <w:t>131.09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121.09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92.37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7.63</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度“三公”经费财政拨款支出决算中，公务接待费支出决算</w:t>
      </w:r>
      <w:r>
        <w:rPr>
          <w:rFonts w:hint="eastAsia" w:asciiTheme="minorEastAsia" w:hAnsiTheme="minorEastAsia" w:eastAsiaTheme="minorEastAsia"/>
          <w:sz w:val="32"/>
          <w:szCs w:val="32"/>
          <w:lang w:val="en-US" w:eastAsia="zh-CN"/>
        </w:rPr>
        <w:t>0.07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0.07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免费开放经验交流等</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流动服务车司机工资及燃油维修费</w:t>
      </w:r>
      <w:r>
        <w:rPr>
          <w:rFonts w:hint="eastAsia" w:asciiTheme="minorEastAsia" w:hAnsiTheme="minorEastAsia"/>
          <w:sz w:val="32"/>
          <w:szCs w:val="32"/>
        </w:rPr>
        <w:t>支出，截止</w:t>
      </w:r>
      <w:r>
        <w:rPr>
          <w:rFonts w:hint="eastAsia" w:asciiTheme="minorEastAsia" w:hAnsiTheme="minorEastAsia"/>
          <w:sz w:val="32"/>
          <w:szCs w:val="32"/>
          <w:lang w:eastAsia="zh-CN"/>
        </w:rPr>
        <w:t>2024年</w:t>
      </w:r>
      <w:r>
        <w:rPr>
          <w:rFonts w:hint="eastAsia" w:asciiTheme="minorEastAsia" w:hAnsiTheme="minorEastAsia"/>
          <w:sz w:val="32"/>
          <w:szCs w:val="32"/>
        </w:rPr>
        <w:t>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度政府性基金预算财政拨款收入0万元；年初结转和结余0万元；支出0万元，其中基本支出0万元，项目支出0万元；年末结转和结余0万元。具体情况如下：本单位无政府性基金收支。</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度机关运行经费支出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与上年持平</w:t>
      </w:r>
      <w:r>
        <w:rPr>
          <w:rFonts w:hint="eastAsia" w:asciiTheme="minorEastAsia" w:hAnsiTheme="minorEastAsia" w:eastAsiaTheme="minorEastAsia"/>
          <w:sz w:val="32"/>
          <w:szCs w:val="32"/>
          <w:lang w:val="en-US" w:eastAsia="zh-CN"/>
        </w:rPr>
        <w:t>。</w:t>
      </w:r>
    </w:p>
    <w:p>
      <w:pPr>
        <w:pStyle w:val="11"/>
        <w:ind w:firstLine="640" w:firstLineChars="200"/>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度政府采购支出总额</w:t>
      </w:r>
      <w:r>
        <w:rPr>
          <w:rFonts w:hint="eastAsia" w:asciiTheme="minorEastAsia" w:hAnsiTheme="minorEastAsia" w:eastAsiaTheme="minorEastAsia"/>
          <w:sz w:val="32"/>
          <w:szCs w:val="32"/>
          <w:lang w:val="en-US" w:eastAsia="zh-CN"/>
        </w:rPr>
        <w:t>42.4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42.4</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42.4</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2024年</w:t>
      </w:r>
      <w:r>
        <w:rPr>
          <w:rFonts w:hint="eastAsia" w:asciiTheme="minorEastAsia" w:hAnsiTheme="minorEastAsia" w:eastAsiaTheme="minorEastAsia"/>
          <w:sz w:val="32"/>
          <w:szCs w:val="32"/>
        </w:rPr>
        <w:t>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ind w:firstLine="640" w:firstLineChars="200"/>
        <w:rPr>
          <w:rFonts w:hAnsi="黑体"/>
          <w:b/>
          <w:sz w:val="32"/>
          <w:szCs w:val="32"/>
        </w:rPr>
      </w:pPr>
      <w:r>
        <w:rPr>
          <w:rFonts w:hint="eastAsia" w:hAnsi="黑体"/>
          <w:b/>
          <w:sz w:val="32"/>
          <w:szCs w:val="32"/>
        </w:rPr>
        <w:t>十三、</w:t>
      </w:r>
      <w:r>
        <w:rPr>
          <w:rFonts w:hint="eastAsia" w:hAnsi="黑体"/>
          <w:b/>
          <w:sz w:val="32"/>
          <w:szCs w:val="32"/>
          <w:lang w:eastAsia="zh-CN"/>
        </w:rPr>
        <w:t>2024年</w:t>
      </w:r>
      <w:r>
        <w:rPr>
          <w:rFonts w:hint="eastAsia" w:hAnsi="黑体"/>
          <w:b/>
          <w:sz w:val="32"/>
          <w:szCs w:val="32"/>
        </w:rPr>
        <w:t>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1"/>
        <w:jc w:val="center"/>
        <w:rPr>
          <w:rFonts w:hint="eastAsia" w:cs="黑体" w:asciiTheme="minorEastAsia" w:hAnsiTheme="minorEastAsia" w:eastAsiaTheme="minorEastAsia"/>
          <w:color w:val="000000"/>
          <w:kern w:val="0"/>
          <w:sz w:val="32"/>
          <w:szCs w:val="32"/>
          <w:lang w:val="en-US" w:eastAsia="zh-CN" w:bidi="ar-SA"/>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1、财政拨款收入：指单位本年度从同级财政部门取得的各类财政</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拨款。</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政补助收入。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公务用车运行维护费及其他费用。</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用。</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对附属单位补助发生的支出。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非独立核算经营活动发生的支出。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7.事业收入：指事业单位开展专业业务活动及其辅助活动取得的</w:t>
      </w:r>
    </w:p>
    <w:p>
      <w:pPr>
        <w:keepNext w:val="0"/>
        <w:keepLines w:val="0"/>
        <w:widowControl/>
        <w:suppressLineNumbers w:val="0"/>
        <w:bidi w:val="0"/>
        <w:jc w:val="left"/>
        <w:rPr>
          <w:rFonts w:hint="eastAsia" w:asciiTheme="minorEastAsia" w:hAnsiTheme="minorEastAsia" w:eastAsiaTheme="minorEastAsia" w:cstheme="minorEastAsia"/>
          <w:sz w:val="32"/>
          <w:szCs w:val="32"/>
        </w:rPr>
      </w:pPr>
      <w:bookmarkStart w:id="3" w:name="28"/>
      <w:bookmarkEnd w:id="3"/>
      <w:r>
        <w:rPr>
          <w:rFonts w:hint="eastAsia" w:asciiTheme="minorEastAsia" w:hAnsiTheme="minorEastAsia" w:eastAsiaTheme="minorEastAsia" w:cstheme="minorEastAsia"/>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非独立核算经营活动取得的收入。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定上缴的收入。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入”、“经营收入”等以外的各项收入。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业基金）弥补当年收支差额的数额。</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项目支出结转和结余和经营结余。</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用基金、缴纳的所得税和转入非财政拨款结余等。</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使用的资金。</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的支出，包括人员经费和公用经费。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的支出。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缴上级单位的支出。</w:t>
      </w:r>
      <w:bookmarkStart w:id="4" w:name="29"/>
      <w:bookmarkEnd w:id="4"/>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pStyle w:val="11"/>
        <w:jc w:val="center"/>
        <w:rPr>
          <w:rFonts w:hint="eastAsia"/>
          <w:sz w:val="72"/>
          <w:szCs w:val="72"/>
          <w:lang w:val="en-US" w:eastAsia="zh-CN"/>
        </w:rPr>
      </w:pPr>
      <w:r>
        <w:rPr>
          <w:rFonts w:hint="eastAsia"/>
          <w:sz w:val="72"/>
          <w:szCs w:val="72"/>
        </w:rPr>
        <w:t>第五部分</w:t>
      </w:r>
    </w:p>
    <w:p>
      <w:pPr>
        <w:pStyle w:val="11"/>
        <w:jc w:val="center"/>
        <w:rPr>
          <w:rFonts w:hint="eastAsia"/>
          <w:sz w:val="72"/>
          <w:szCs w:val="72"/>
        </w:rPr>
      </w:pPr>
      <w:r>
        <w:rPr>
          <w:rFonts w:hint="eastAsia"/>
          <w:sz w:val="72"/>
          <w:szCs w:val="72"/>
        </w:rPr>
        <w:t>附件</w:t>
      </w:r>
    </w:p>
    <w:p>
      <w:pPr>
        <w:widowControl/>
        <w:ind w:firstLine="2240" w:firstLineChars="700"/>
        <w:jc w:val="left"/>
        <w:rPr>
          <w:rFonts w:hint="eastAsia" w:cs="黑体" w:asciiTheme="minorEastAsia" w:hAnsiTheme="minorEastAsia"/>
          <w:b/>
          <w:color w:val="000000"/>
          <w:kern w:val="0"/>
          <w:sz w:val="32"/>
          <w:szCs w:val="32"/>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pStyle w:val="2"/>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2024年道县图书馆</w:t>
      </w:r>
      <w:r>
        <w:rPr>
          <w:rFonts w:hint="eastAsia" w:ascii="方正小标宋简体" w:hAnsi="方正小标宋简体" w:eastAsia="方正小标宋简体" w:cs="方正小标宋简体"/>
          <w:lang w:eastAsia="zh-CN"/>
        </w:rPr>
        <w:t>整体支出</w:t>
      </w:r>
      <w:r>
        <w:rPr>
          <w:rFonts w:hint="eastAsia" w:ascii="方正小标宋简体" w:hAnsi="方正小标宋简体" w:eastAsia="方正小标宋简体" w:cs="方正小标宋简体"/>
        </w:rPr>
        <w:t>绩效自评报告</w:t>
      </w:r>
    </w:p>
    <w:p>
      <w:pPr>
        <w:numPr>
          <w:ilvl w:val="0"/>
          <w:numId w:val="1"/>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基本情况</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人员概括：本单位属财政全额拨款公益性事业单位，核定事业编制7名，现有在职人员10人。其中中级职称3人，初级职称6人，管理人员1人。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1、保存借阅资料，促进社会经济文化发展。</w:t>
      </w:r>
    </w:p>
    <w:p>
      <w:pPr>
        <w:widowControl/>
        <w:shd w:val="clear" w:color="auto" w:fill="FFFFFF"/>
        <w:spacing w:line="351"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333333"/>
          <w:kern w:val="0"/>
          <w:sz w:val="32"/>
          <w:szCs w:val="32"/>
        </w:rPr>
        <w:t>采编与储藏，图书资料借阅，知识培训与社会教育。</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部门（单位）年度整体支出绩效目标，省级专项资金绩效目标、其他项目支出（除省级专项资金以外）绩效目标</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年度总体支出绩效目标：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目标1：本馆今年为了更好地发挥图书馆在公共文化服务体系建设中的作用，继续做好图书馆日常管理、服务工作。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目标2、围绕优化服务、拓展图书馆教育和信息的功能。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目标3、努力开展全民阅读活动，增加全民阅读气氛，提高全民素质。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目标4、做好免费开放工作，免费办理读者借阅证430个，图书流动车送书下乡、进社区50次。</w:t>
      </w:r>
    </w:p>
    <w:p>
      <w:pPr>
        <w:numPr>
          <w:ilvl w:val="0"/>
          <w:numId w:val="1"/>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一般公共预算支出情况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2024年图书馆整体支出173.49万元。一般公共预算财政拨款收入173.49万元。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情况：基本支出131.09万元，其中：基本工资44.41万元;奖金20.54万元;绩效工资25.12万元;基本医疗保险经费6.65万元；养老保险15.79万元;其他社保缴费1.33万元;住房公积金7.24万元。一般商品服务支出10万元：办公费3.2万元，水费0.5万元,电费0.5万元，差旅费0.2万元，公务接待费0.07万元，工会经费4.42万元，其他商品服务支出1.1万元。</w:t>
      </w:r>
    </w:p>
    <w:p>
      <w:pPr>
        <w:widowControl/>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项目支出情况：2024年决算数为42.4万元，其中：图书购置费10万元； “三馆一站免费开放资金”20万元；3个24小时自助图书馆运营资金6万元；图书流动车日常运行维护费用3.4万元;书香道州、世界读书日活动3万元。</w:t>
      </w:r>
    </w:p>
    <w:p>
      <w:pPr>
        <w:numPr>
          <w:ilvl w:val="0"/>
          <w:numId w:val="1"/>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政府性基金预算支出情况</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道县图书馆2024年无政府性基金预算。</w:t>
      </w:r>
    </w:p>
    <w:p>
      <w:pPr>
        <w:numPr>
          <w:ilvl w:val="0"/>
          <w:numId w:val="1"/>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国有资本经营预算支出情况</w:t>
      </w:r>
    </w:p>
    <w:p>
      <w:pPr>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道县图书馆2024年无国有资本经营预算支出。</w:t>
      </w:r>
    </w:p>
    <w:p>
      <w:pPr>
        <w:numPr>
          <w:ilvl w:val="0"/>
          <w:numId w:val="1"/>
        </w:num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社会保险基金预算支出情况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道县图书馆2024年无社会保险基金预算支出。</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六、部门整体支出绩效情况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为了提高本馆工作人员的工作效率和服务水平，为更好地发挥图书馆在公共文化服务体系建设中的作用，本着一切为读者服务的宗旨，围绕优化服务、拓展图书馆教育和信息的功能，从读者服务、业务管理、读书活动、提高人员素质入手等各项工作任务。2023年度主要做了下面几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一）基础业务建设情况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1、免费开放情况。节假日不休，每周免费开放时间达56小时以上。截至2024年10月28日，共接待读者80.88万人次，全年新办读者证430个，图书流通49.1万册次,举办各类阅读推广活动28次。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础设施建设。为读者提供安全舒适的阅读环境和更优质的服务，吸引更多读者走进图书馆、爱上图书馆。3月县图书馆南馆经鉴定为C级危房，属于限制使用级别。5月本馆办公楼屋顶钢结构搭建10余年的雨棚翻新，厕所改造及新增残疾人无障碍厕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图书流动服务情况。充分利用馆藏图书资源和数字资源，送图书服务进乡村、进校园、进军营、进社区、进景区活动，为各类读者提供最优质的上门送读服务深受欢迎。尤其是利用节假日，到景区开展了红色文化、地方文献展，让游客更加全面深入地了解道县这座历史文化名城，以推动道县文旅深度融合，实现文旅资源共享、合作共赢。全年流动服务达50次，服务受益群众达20万余人。</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4、馆藏资源建设。截至目前，道县图书馆共有纸质图书馆62.44万余册，采购新书900册，北京枫林公益基金会为我馆捐赠图书2万册。订购报纸22种，期刊130种，已全部上架供读者借阅。数字资源：新增资源1 TB，资源总量达到7 TB.并且可以通过移动数字阅读平台进行移动阅读。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5.扩大网络宣传。在道县图书馆网站的基础上，今年又推出了道县图书馆微信公众平台，增加了对外宣传推介的名片。让群众能够了解图书馆的动态及馆藏情况，开创了图书馆信息宣传工作的新局面。</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二）各类文化活动开展情况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发挥图书馆的作用，提升影响力，不断满足广大读者丰富的精神文化需求，道县图书馆立足实际，全面周到地为读者提供各类丰富多彩的文化活动15场，服务受益群众达10万余人。一是组织全县各图书分馆管理员开展“两法”专题集中培训活动、“图书馆服务宣传周”、“读者座谈会”、老年人电脑基础知识培训班、全县少儿征文、公益性讲座等活动9场。二是在庆祝建党100周年系列活动中，开展“清扫陈树湘烈士纪念园 缅怀革命先烈”活动、“4.23世界读书日”暨庆祝建党100周年“学党史、颂党恩、猜谜语”线上猜谜活动、“24小时自助图书馆 邀你共庆党的百年华诞”活动。。三积极组织全县少年儿童参加“童心向党 童阅湖南”第40届湖南省主题少儿读书活动、绘画、开展了红色主题图书展等6场，在活动中获得省级个人奖2名。先进的服务手段，多样的服务内容，进一步丰富广大读者文化生活。</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七、存在的问题及原因分析</w:t>
      </w:r>
    </w:p>
    <w:p>
      <w:pPr>
        <w:pStyle w:val="6"/>
        <w:widowControl/>
        <w:spacing w:beforeAutospacing="0" w:afterAutospacing="0" w:line="33"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一是专项资金拨付不及时，资金使用与专项工作运行时间不对口，凸显出账目不规范。</w:t>
      </w:r>
    </w:p>
    <w:p>
      <w:pPr>
        <w:pStyle w:val="6"/>
        <w:widowControl/>
        <w:spacing w:beforeAutospacing="0" w:afterAutospacing="0" w:line="33" w:lineRule="atLeas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二是财政预算安排单项工作经费不足，难于足额保障开展专项工作。</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八、下一步改进措施</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严格按照《会计法》、《行政事业单位会计制度》等规定执行财务核算，结合实际情况，完整、准确披露相关信息，做到决算和预算相结合。</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加强资金的使用管理，让各类资金用到实处。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3、加强队伍建设，抓好绩效评价管理部门的队伍建设和业务指导，培养部门的绩效管理队伍，建立绩效评价的长期机制</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九、绩效自评结果拟应用和公开情况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本年度绩效自评结果为97分。按规定时间内将2024年度专项资金绩效自评报告、整体部门支出绩效自评报告在本部门门户网站公开，并接受社会监督。</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道县图书馆</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月10日</w:t>
      </w:r>
    </w:p>
    <w:p>
      <w:pPr>
        <w:jc w:val="left"/>
        <w:rPr>
          <w:rFonts w:cs="黑体" w:asciiTheme="minorEastAsia" w:hAnsiTheme="minorEastAsia"/>
          <w:color w:val="000000"/>
          <w:kern w:val="0"/>
          <w:sz w:val="32"/>
          <w:szCs w:val="32"/>
        </w:rPr>
      </w:pPr>
    </w:p>
    <w:sectPr>
      <w:pgSz w:w="11906" w:h="16838"/>
      <w:pgMar w:top="720" w:right="1174" w:bottom="720" w:left="117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C677D"/>
    <w:multiLevelType w:val="singleLevel"/>
    <w:tmpl w:val="A66C677D"/>
    <w:lvl w:ilvl="0" w:tentative="0">
      <w:start w:val="1"/>
      <w:numFmt w:val="decimal"/>
      <w:suff w:val="nothing"/>
      <w:lvlText w:val="%1、"/>
      <w:lvlJc w:val="left"/>
      <w:pPr>
        <w:ind w:left="150" w:firstLine="0"/>
      </w:pPr>
    </w:lvl>
  </w:abstractNum>
  <w:abstractNum w:abstractNumId="1">
    <w:nsid w:val="C0302415"/>
    <w:multiLevelType w:val="singleLevel"/>
    <w:tmpl w:val="C0302415"/>
    <w:lvl w:ilvl="0" w:tentative="0">
      <w:start w:val="1"/>
      <w:numFmt w:val="chineseCounting"/>
      <w:suff w:val="nothing"/>
      <w:lvlText w:val="%1、"/>
      <w:lvlJc w:val="left"/>
      <w:rPr>
        <w:rFonts w:hint="eastAsia"/>
      </w:rPr>
    </w:lvl>
  </w:abstractNum>
  <w:abstractNum w:abstractNumId="2">
    <w:nsid w:val="3CACC622"/>
    <w:multiLevelType w:val="singleLevel"/>
    <w:tmpl w:val="3CACC622"/>
    <w:lvl w:ilvl="0" w:tentative="0">
      <w:start w:val="1"/>
      <w:numFmt w:val="decimal"/>
      <w:suff w:val="nothing"/>
      <w:lvlText w:val="%1、"/>
      <w:lvlJc w:val="left"/>
    </w:lvl>
  </w:abstractNum>
  <w:abstractNum w:abstractNumId="3">
    <w:nsid w:val="7ACC0A89"/>
    <w:multiLevelType w:val="singleLevel"/>
    <w:tmpl w:val="7ACC0A89"/>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DM0ZTY2M2MzOTgzMzg4MDJlMmEyZGNhMTdhOG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510C"/>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B7206"/>
    <w:rsid w:val="02B52775"/>
    <w:rsid w:val="033101D6"/>
    <w:rsid w:val="04CA672C"/>
    <w:rsid w:val="06C84383"/>
    <w:rsid w:val="06FC2DC7"/>
    <w:rsid w:val="089B41CC"/>
    <w:rsid w:val="09B93D28"/>
    <w:rsid w:val="09DF1F3F"/>
    <w:rsid w:val="0B372620"/>
    <w:rsid w:val="0BFD702B"/>
    <w:rsid w:val="0E6365CF"/>
    <w:rsid w:val="10A22BBE"/>
    <w:rsid w:val="13622204"/>
    <w:rsid w:val="16897AA8"/>
    <w:rsid w:val="260848BE"/>
    <w:rsid w:val="26EB24EE"/>
    <w:rsid w:val="30515A9D"/>
    <w:rsid w:val="31450A0F"/>
    <w:rsid w:val="319E5031"/>
    <w:rsid w:val="35F20D6E"/>
    <w:rsid w:val="39ED253A"/>
    <w:rsid w:val="3B94781B"/>
    <w:rsid w:val="3CA408E8"/>
    <w:rsid w:val="3E693D35"/>
    <w:rsid w:val="420229E1"/>
    <w:rsid w:val="4EDA665A"/>
    <w:rsid w:val="51D64E9B"/>
    <w:rsid w:val="54030019"/>
    <w:rsid w:val="54B67241"/>
    <w:rsid w:val="55C47E2D"/>
    <w:rsid w:val="59987F3E"/>
    <w:rsid w:val="5F3C2ED6"/>
    <w:rsid w:val="63634020"/>
    <w:rsid w:val="63673E64"/>
    <w:rsid w:val="637B403B"/>
    <w:rsid w:val="644C1922"/>
    <w:rsid w:val="67B50A65"/>
    <w:rsid w:val="6B7A1FEA"/>
    <w:rsid w:val="6D136888"/>
    <w:rsid w:val="6FD125DA"/>
    <w:rsid w:val="70DC62C7"/>
    <w:rsid w:val="74081F82"/>
    <w:rsid w:val="779F6E1B"/>
    <w:rsid w:val="78D42310"/>
    <w:rsid w:val="7BBF08D3"/>
    <w:rsid w:val="7BD5403F"/>
    <w:rsid w:val="7BDE0EB1"/>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1163</Words>
  <Characters>1273</Characters>
  <Lines>69</Lines>
  <Paragraphs>19</Paragraphs>
  <TotalTime>2</TotalTime>
  <ScaleCrop>false</ScaleCrop>
  <LinksUpToDate>false</LinksUpToDate>
  <CharactersWithSpaces>1306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MR</cp:lastModifiedBy>
  <cp:lastPrinted>2022-07-27T12:55:00Z</cp:lastPrinted>
  <dcterms:modified xsi:type="dcterms:W3CDTF">2025-08-28T01:20:02Z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D810A86403C24F0D8F0AF689C3663627</vt:lpwstr>
  </property>
  <property fmtid="{D5CDD505-2E9C-101B-9397-08002B2CF9AE}" pid="4" name="KSOTemplateDocerSaveRecord">
    <vt:lpwstr>eyJoZGlkIjoiYzYxN2RkYTBhNDA4MWUzNzRmMDdiN2FlZjRjZGVhMTQifQ==</vt:lpwstr>
  </property>
</Properties>
</file>