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EAA04">
      <w:pPr>
        <w:jc w:val="center"/>
        <w:rPr>
          <w:rFonts w:hint="eastAsia" w:ascii="新宋体" w:hAnsi="新宋体" w:eastAsia="新宋体" w:cs="新宋体"/>
          <w:b/>
          <w:sz w:val="48"/>
          <w:szCs w:val="48"/>
        </w:rPr>
      </w:pPr>
      <w:r>
        <w:rPr>
          <w:rFonts w:hint="eastAsia" w:ascii="新宋体" w:hAnsi="新宋体" w:eastAsia="新宋体" w:cs="新宋体"/>
          <w:b/>
          <w:sz w:val="48"/>
          <w:szCs w:val="48"/>
          <w:lang w:eastAsia="zh-CN"/>
        </w:rPr>
        <w:t>20</w:t>
      </w:r>
      <w:r>
        <w:rPr>
          <w:rFonts w:hint="eastAsia" w:ascii="新宋体" w:hAnsi="新宋体" w:eastAsia="新宋体" w:cs="新宋体"/>
          <w:b/>
          <w:sz w:val="48"/>
          <w:szCs w:val="48"/>
          <w:lang w:val="en-US" w:eastAsia="zh-CN"/>
        </w:rPr>
        <w:t>24</w:t>
      </w:r>
      <w:r>
        <w:rPr>
          <w:rFonts w:hint="eastAsia" w:ascii="新宋体" w:hAnsi="新宋体" w:eastAsia="新宋体" w:cs="新宋体"/>
          <w:b/>
          <w:sz w:val="48"/>
          <w:szCs w:val="48"/>
        </w:rPr>
        <w:t>年道县</w:t>
      </w:r>
      <w:r>
        <w:rPr>
          <w:rFonts w:hint="eastAsia" w:ascii="新宋体" w:hAnsi="新宋体" w:eastAsia="新宋体" w:cs="新宋体"/>
          <w:b/>
          <w:sz w:val="48"/>
          <w:szCs w:val="48"/>
          <w:lang w:eastAsia="zh-CN"/>
        </w:rPr>
        <w:t>林业局</w:t>
      </w:r>
      <w:r>
        <w:rPr>
          <w:rFonts w:hint="eastAsia" w:ascii="新宋体" w:hAnsi="新宋体" w:eastAsia="新宋体" w:cs="新宋体"/>
          <w:b/>
          <w:sz w:val="48"/>
          <w:szCs w:val="48"/>
        </w:rPr>
        <w:t>部门整体</w:t>
      </w:r>
    </w:p>
    <w:p w14:paraId="3333BA35">
      <w:pPr>
        <w:jc w:val="center"/>
        <w:rPr>
          <w:rFonts w:hint="eastAsia" w:ascii="新宋体" w:hAnsi="新宋体" w:eastAsia="新宋体" w:cs="新宋体"/>
          <w:b/>
          <w:sz w:val="48"/>
          <w:szCs w:val="48"/>
        </w:rPr>
      </w:pPr>
      <w:r>
        <w:rPr>
          <w:rFonts w:hint="eastAsia" w:ascii="新宋体" w:hAnsi="新宋体" w:eastAsia="新宋体" w:cs="新宋体"/>
          <w:b/>
          <w:sz w:val="48"/>
          <w:szCs w:val="48"/>
        </w:rPr>
        <w:t>绩效</w:t>
      </w:r>
      <w:r>
        <w:rPr>
          <w:rFonts w:hint="eastAsia" w:ascii="新宋体" w:hAnsi="新宋体" w:eastAsia="新宋体" w:cs="新宋体"/>
          <w:b/>
          <w:sz w:val="48"/>
          <w:szCs w:val="48"/>
          <w:lang w:eastAsia="zh-CN"/>
        </w:rPr>
        <w:t>自</w:t>
      </w:r>
      <w:r>
        <w:rPr>
          <w:rFonts w:hint="eastAsia" w:ascii="新宋体" w:hAnsi="新宋体" w:eastAsia="新宋体" w:cs="新宋体"/>
          <w:b/>
          <w:sz w:val="48"/>
          <w:szCs w:val="48"/>
        </w:rPr>
        <w:t>评报告</w:t>
      </w:r>
    </w:p>
    <w:p w14:paraId="65DDD11D">
      <w:pPr>
        <w:jc w:val="center"/>
        <w:rPr>
          <w:rFonts w:hint="eastAsia" w:ascii="新宋体" w:hAnsi="新宋体" w:eastAsia="新宋体" w:cs="新宋体"/>
          <w:b/>
          <w:sz w:val="48"/>
          <w:szCs w:val="48"/>
        </w:rPr>
      </w:pPr>
    </w:p>
    <w:p w14:paraId="6F182ACA">
      <w:pPr>
        <w:spacing w:line="360" w:lineRule="exact"/>
        <w:jc w:val="center"/>
        <w:rPr>
          <w:rFonts w:hint="eastAsia" w:ascii="新宋体" w:hAnsi="新宋体" w:eastAsia="新宋体" w:cs="新宋体"/>
          <w:b/>
          <w:sz w:val="32"/>
          <w:szCs w:val="32"/>
        </w:rPr>
      </w:pPr>
    </w:p>
    <w:p w14:paraId="5B8D4BE2">
      <w:pPr>
        <w:widowControl/>
        <w:spacing w:line="600" w:lineRule="exact"/>
        <w:ind w:firstLine="630" w:firstLineChars="196"/>
        <w:jc w:val="left"/>
        <w:rPr>
          <w:rFonts w:hint="eastAsia" w:ascii="仿宋" w:hAnsi="仿宋" w:eastAsia="仿宋" w:cs="仿宋"/>
          <w:b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</w:rPr>
        <w:t>一、部门基本概况</w:t>
      </w:r>
    </w:p>
    <w:p w14:paraId="29425012">
      <w:pPr>
        <w:ind w:left="72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(1)、职能职责</w:t>
      </w:r>
    </w:p>
    <w:p w14:paraId="7CADE433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</w:rPr>
        <w:t>《中共道县县委办公室、道县人民政府办公室关于印发《道县机构改革实施方案的通知》（道办发[2019]11号）规定，本单位主要工作职责是：</w:t>
      </w:r>
    </w:p>
    <w:p w14:paraId="027844C7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负责林业及其生态保护修复的监督管理。</w:t>
      </w:r>
    </w:p>
    <w:p w14:paraId="65AC9C67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2、组织林业生态保护修复和造林绿化工作。</w:t>
      </w:r>
    </w:p>
    <w:p w14:paraId="05CD106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3、负责森林、湿地资源的监督管理。</w:t>
      </w:r>
    </w:p>
    <w:p w14:paraId="47E3458F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4、负责监督管理石漠化防治工作。</w:t>
      </w:r>
    </w:p>
    <w:p w14:paraId="11FE9B7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5、负责陆生野生动植物资源监督管理。</w:t>
      </w:r>
    </w:p>
    <w:p w14:paraId="06DC71AB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6、负责监督管理各类自然保护地。</w:t>
      </w:r>
    </w:p>
    <w:p w14:paraId="6B2CBBD0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7、负责推进林业改革相关工作。</w:t>
      </w:r>
    </w:p>
    <w:p w14:paraId="11816463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8、拟订林业资源优化配置及木材利用政策指导生态扶贫相关工作。</w:t>
      </w:r>
    </w:p>
    <w:p w14:paraId="4F5167C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指导国有林场基本建设和发展，组织林木种子、草种种资源普查，组织建立种质资源库，负责良种选育推广，管理林木种苗、草种生产经营行为，监管林木种苗、草种质量。监督管理林业和草原生物种质资源、转基因生物安全、植物新品种保护。</w:t>
      </w:r>
    </w:p>
    <w:p w14:paraId="6083E4F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、负责落实综合防灾减灾规划相关要求，组织编制森林防火防治规划和防护标准并指导实施，指导开展防火巡护、火源管理、防火设施建设等工作。组织指导国有林场林区开展宣传教育、监测预警、督促检查等防火工作。</w:t>
      </w:r>
    </w:p>
    <w:p w14:paraId="23ADA75B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、监督管理林业资金和国有资产，提出林业预算内投资、财政性资金安排建议，按县政府规定权限，审核县级规划内和年度计划内投资项目。</w:t>
      </w:r>
    </w:p>
    <w:p w14:paraId="60C1D94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、负责林业科技、教育和外事工作，指导全县林业人才队伍建设民，组织实施林业技术交流与合作事务，承担湿地、防治荒漠化、濒危野生动植物等国际公约履约工作。</w:t>
      </w:r>
    </w:p>
    <w:p w14:paraId="260D1D8C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、完成县委、县人民政府交办的其他任务。</w:t>
      </w:r>
    </w:p>
    <w:p w14:paraId="7471CCE8">
      <w:pPr>
        <w:widowControl/>
        <w:spacing w:line="600" w:lineRule="exact"/>
        <w:ind w:firstLine="630" w:firstLineChars="196"/>
        <w:jc w:val="lef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二、部门预算单位构成</w:t>
      </w:r>
    </w:p>
    <w:p w14:paraId="15F45BD7">
      <w:pPr>
        <w:widowControl/>
        <w:spacing w:line="600" w:lineRule="exact"/>
        <w:ind w:firstLine="627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道县林业局只有本级，没有其他二级预算单位，纳入202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年部门预算编制范围的只有林业局本级。</w:t>
      </w:r>
    </w:p>
    <w:p w14:paraId="141983C9">
      <w:pPr>
        <w:widowControl/>
        <w:spacing w:line="600" w:lineRule="exact"/>
        <w:ind w:firstLine="630" w:firstLineChars="196"/>
        <w:jc w:val="left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</w:rPr>
        <w:t>三、部门收支总体情况</w:t>
      </w:r>
    </w:p>
    <w:p w14:paraId="0550BDA1">
      <w:pPr>
        <w:widowControl/>
        <w:spacing w:line="600" w:lineRule="exact"/>
        <w:ind w:firstLine="627" w:firstLineChars="196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（一）收入预算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年年初预算数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4716.18</w:t>
      </w:r>
      <w:r>
        <w:rPr>
          <w:rFonts w:hint="eastAsia" w:ascii="仿宋" w:hAnsi="仿宋" w:eastAsia="仿宋" w:cs="仿宋"/>
          <w:sz w:val="32"/>
          <w:szCs w:val="32"/>
        </w:rPr>
        <w:t>万元，其中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sz w:val="32"/>
          <w:szCs w:val="32"/>
        </w:rPr>
        <w:t>一般公共预算拨款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4716.18</w:t>
      </w:r>
      <w:r>
        <w:rPr>
          <w:rFonts w:hint="eastAsia" w:ascii="仿宋" w:hAnsi="仿宋" w:eastAsia="仿宋" w:cs="仿宋"/>
          <w:sz w:val="32"/>
          <w:szCs w:val="32"/>
        </w:rPr>
        <w:t>万元，政府性基金预算拨款0万元，纳入专户管理的非税收入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 w14:paraId="4387730D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四、一般公共预算拨款支出预算</w:t>
      </w:r>
    </w:p>
    <w:p w14:paraId="3E3B5FFA">
      <w:pPr>
        <w:widowControl/>
        <w:spacing w:line="600" w:lineRule="exact"/>
        <w:ind w:firstLine="66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【一】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年一般公共预算拨款收入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4716.18</w:t>
      </w:r>
      <w:r>
        <w:rPr>
          <w:rFonts w:hint="eastAsia" w:ascii="仿宋" w:hAnsi="仿宋" w:eastAsia="仿宋" w:cs="仿宋"/>
          <w:sz w:val="32"/>
          <w:szCs w:val="32"/>
        </w:rPr>
        <w:t>万元，具体安排情况如下：</w:t>
      </w:r>
    </w:p>
    <w:p w14:paraId="6949E37C">
      <w:pPr>
        <w:widowControl/>
        <w:numPr>
          <w:ilvl w:val="0"/>
          <w:numId w:val="1"/>
        </w:numPr>
        <w:spacing w:line="600" w:lineRule="exact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基本支出</w:t>
      </w:r>
      <w:r>
        <w:rPr>
          <w:rFonts w:hint="eastAsia" w:ascii="仿宋" w:hAnsi="仿宋" w:eastAsia="仿宋" w:cs="仿宋"/>
          <w:sz w:val="32"/>
          <w:szCs w:val="32"/>
        </w:rPr>
        <w:t>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年年初预算数为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2918.3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（其中：工资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1994.4万元、人员经费262.94万元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）；任务完成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100%、资金执行率100%。</w:t>
      </w:r>
    </w:p>
    <w:p w14:paraId="008BD4C1">
      <w:pPr>
        <w:widowControl/>
        <w:numPr>
          <w:ilvl w:val="0"/>
          <w:numId w:val="1"/>
        </w:numPr>
        <w:spacing w:line="600" w:lineRule="exact"/>
        <w:ind w:left="0" w:leftChars="0" w:firstLine="643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项目支出：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2024年项目支出2056.58万元；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100 %、资金执行率91.47%。其中：</w:t>
      </w:r>
    </w:p>
    <w:p w14:paraId="7E848D87">
      <w:pPr>
        <w:widowControl/>
        <w:numPr>
          <w:ilvl w:val="0"/>
          <w:numId w:val="2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油茶产业补助资金170万元；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100 %、资金执行率100 %。</w:t>
      </w:r>
    </w:p>
    <w:p w14:paraId="4B4692D4">
      <w:pPr>
        <w:widowControl/>
        <w:numPr>
          <w:ilvl w:val="0"/>
          <w:numId w:val="2"/>
        </w:numPr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育林金转移支付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 71.76%。</w:t>
      </w:r>
    </w:p>
    <w:p w14:paraId="3E55B3EA">
      <w:pPr>
        <w:widowControl/>
        <w:numPr>
          <w:ilvl w:val="0"/>
          <w:numId w:val="2"/>
        </w:numPr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生态效益林补偿资金1054.32万元，任务完成100%，指标2025年下达。资金执行率 0。</w:t>
      </w:r>
    </w:p>
    <w:p w14:paraId="7090390A">
      <w:pPr>
        <w:widowControl/>
        <w:numPr>
          <w:ilvl w:val="0"/>
          <w:numId w:val="2"/>
        </w:numPr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新一轮退耕还林补助资金45万元，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0、资金执行率0。</w:t>
      </w:r>
    </w:p>
    <w:p w14:paraId="69B49A57">
      <w:pPr>
        <w:widowControl/>
        <w:numPr>
          <w:ilvl w:val="0"/>
          <w:numId w:val="2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油茶产业补助资金1090万元，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 100 %。</w:t>
      </w:r>
    </w:p>
    <w:p w14:paraId="29318CD6">
      <w:pPr>
        <w:widowControl/>
        <w:numPr>
          <w:ilvl w:val="0"/>
          <w:numId w:val="2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林长制护林员工资290万元、整合资金120万元，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100 %、资金执行率100 %。</w:t>
      </w:r>
    </w:p>
    <w:p w14:paraId="1A51CBB9">
      <w:pPr>
        <w:widowControl/>
        <w:numPr>
          <w:ilvl w:val="0"/>
          <w:numId w:val="2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林长制工作经费14万元，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100 %、资金执行率100 %。</w:t>
      </w:r>
    </w:p>
    <w:p w14:paraId="7D52E473">
      <w:pPr>
        <w:widowControl/>
        <w:numPr>
          <w:ilvl w:val="0"/>
          <w:numId w:val="2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候鸟保护站建设资金74.9万元，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100%、资金执行率35.1%。</w:t>
      </w:r>
    </w:p>
    <w:p w14:paraId="26A88670">
      <w:pPr>
        <w:widowControl/>
        <w:numPr>
          <w:ilvl w:val="0"/>
          <w:numId w:val="2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森林防火基础建设两年行动补助资金188.11万元，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 100 %。</w:t>
      </w:r>
    </w:p>
    <w:p w14:paraId="53486211">
      <w:pPr>
        <w:widowControl/>
        <w:numPr>
          <w:ilvl w:val="0"/>
          <w:numId w:val="2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生态廊道建设资金150万元，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 100 %。</w:t>
      </w:r>
    </w:p>
    <w:p w14:paraId="42B48193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、其他事项情况</w:t>
      </w:r>
    </w:p>
    <w:p w14:paraId="4419B2EB">
      <w:pPr>
        <w:widowControl/>
        <w:spacing w:line="600" w:lineRule="exact"/>
        <w:ind w:firstLine="66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1、机关运行经费</w:t>
      </w:r>
    </w:p>
    <w:p w14:paraId="3AB4271C">
      <w:pPr>
        <w:widowControl/>
        <w:spacing w:line="600" w:lineRule="exact"/>
        <w:ind w:firstLine="66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年本单位机关运行经费财政拨款预算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262.94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调减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E052D6F">
      <w:pPr>
        <w:widowControl/>
        <w:spacing w:line="600" w:lineRule="exact"/>
        <w:ind w:firstLine="6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2、“三公”经费预算</w:t>
      </w:r>
    </w:p>
    <w:p w14:paraId="10318B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7" w:firstLineChars="196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年“三公”经费预算数为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万元，其中，公务接待费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公务用车购置及运行费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万元（其中，公务用车购置费0万元，公务用车运行费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万元）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因公出国（境）费0万元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年减少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sz w:val="32"/>
          <w:szCs w:val="32"/>
        </w:rPr>
        <w:t>主要是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执行中央八项规定，厉行节约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，调整财政预算所致。</w:t>
      </w:r>
    </w:p>
    <w:p w14:paraId="508D1BF1">
      <w:pPr>
        <w:spacing w:line="600" w:lineRule="exact"/>
        <w:ind w:firstLine="390"/>
        <w:rPr>
          <w:rFonts w:hint="eastAsia" w:ascii="仿宋" w:hAnsi="仿宋" w:eastAsia="仿宋" w:cs="仿宋"/>
          <w:sz w:val="32"/>
          <w:szCs w:val="32"/>
        </w:rPr>
      </w:pPr>
    </w:p>
    <w:p w14:paraId="659D226D">
      <w:pPr>
        <w:spacing w:line="600" w:lineRule="exact"/>
        <w:ind w:firstLine="5760" w:firstLineChars="18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07B97B6">
      <w:pPr>
        <w:spacing w:line="600" w:lineRule="exact"/>
        <w:ind w:firstLine="5760" w:firstLineChars="18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道县林业局</w:t>
      </w:r>
    </w:p>
    <w:p w14:paraId="236F09A8">
      <w:pPr>
        <w:spacing w:line="600" w:lineRule="exact"/>
        <w:ind w:firstLine="5440" w:firstLineChars="17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2025年6月28日</w:t>
      </w:r>
    </w:p>
    <w:p w14:paraId="2C8E71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D4C3A"/>
    <w:multiLevelType w:val="singleLevel"/>
    <w:tmpl w:val="977D4C3A"/>
    <w:lvl w:ilvl="0" w:tentative="0">
      <w:start w:val="1"/>
      <w:numFmt w:val="decimal"/>
      <w:suff w:val="space"/>
      <w:lvlText w:val="%1&gt;"/>
      <w:lvlJc w:val="left"/>
    </w:lvl>
  </w:abstractNum>
  <w:abstractNum w:abstractNumId="1">
    <w:nsid w:val="4D271B71"/>
    <w:multiLevelType w:val="singleLevel"/>
    <w:tmpl w:val="4D271B71"/>
    <w:lvl w:ilvl="0" w:tentative="0">
      <w:start w:val="1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D2BEF"/>
    <w:rsid w:val="4F6E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1326</Words>
  <Characters>1507</Characters>
  <Lines>0</Lines>
  <Paragraphs>0</Paragraphs>
  <TotalTime>0</TotalTime>
  <ScaleCrop>false</ScaleCrop>
  <LinksUpToDate>false</LinksUpToDate>
  <CharactersWithSpaces>1537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2025-08-21T00:21:00Z</dcterms:created>
  <dc:creator>Administrator</dc:creator>
  <cp:lastModifiedBy>柒婼</cp:lastModifiedBy>
  <dcterms:modified xsi:type="dcterms:W3CDTF">2025-12-04T03:12:15Z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8E87BE3DB0684CC4ACF3D80CE55AA435_12</vt:lpwstr>
  </property>
</Properties>
</file>