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道县营江街道办事处</w:t>
      </w:r>
      <w:r>
        <w:rPr>
          <w:rFonts w:hint="eastAsia" w:ascii="方正小标宋_GBK" w:hAnsi="方正小标宋_GBK" w:eastAsia="方正小标宋_GBK" w:cs="方正小标宋_GBK"/>
          <w:sz w:val="84"/>
          <w:szCs w:val="84"/>
        </w:rPr>
        <w:t>部门（单位）部门决算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00" w:lineRule="exact"/>
        <w:jc w:val="center"/>
        <w:rPr>
          <w:rFonts w:hint="eastAsia"/>
          <w:b/>
          <w:sz w:val="36"/>
          <w:szCs w:val="28"/>
        </w:rPr>
      </w:pPr>
    </w:p>
    <w:p>
      <w:pPr>
        <w:pStyle w:val="15"/>
        <w:spacing w:line="500" w:lineRule="exact"/>
        <w:jc w:val="center"/>
        <w:rPr>
          <w:b/>
          <w:sz w:val="36"/>
          <w:szCs w:val="28"/>
        </w:rPr>
      </w:pPr>
      <w:bookmarkStart w:id="3" w:name="_GoBack"/>
      <w:bookmarkEnd w:id="3"/>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道县营江街道办事处</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道县营江街道办事处部门（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before="253" w:line="294" w:lineRule="auto"/>
        <w:ind w:right="137" w:firstLine="960"/>
        <w:rPr>
          <w:rFonts w:ascii="仿宋" w:hAnsi="仿宋" w:eastAsia="仿宋" w:cs="仿宋"/>
          <w:sz w:val="32"/>
          <w:szCs w:val="32"/>
        </w:rPr>
      </w:pPr>
      <w:r>
        <w:rPr>
          <w:rFonts w:ascii="仿宋" w:hAnsi="仿宋" w:eastAsia="仿宋" w:cs="仿宋"/>
          <w:spacing w:val="-5"/>
          <w:sz w:val="32"/>
          <w:szCs w:val="32"/>
        </w:rPr>
        <w:t>（一）执行本级人民代表大会的决议和上级国家行政机关的决定和命</w:t>
      </w:r>
      <w:r>
        <w:rPr>
          <w:rFonts w:ascii="仿宋" w:hAnsi="仿宋" w:eastAsia="仿宋" w:cs="仿宋"/>
          <w:spacing w:val="13"/>
          <w:sz w:val="32"/>
          <w:szCs w:val="32"/>
        </w:rPr>
        <w:t xml:space="preserve"> </w:t>
      </w:r>
      <w:r>
        <w:rPr>
          <w:rFonts w:ascii="仿宋" w:hAnsi="仿宋" w:eastAsia="仿宋" w:cs="仿宋"/>
          <w:spacing w:val="-6"/>
          <w:sz w:val="32"/>
          <w:szCs w:val="32"/>
        </w:rPr>
        <w:t>令，发布决定和命令。</w:t>
      </w:r>
    </w:p>
    <w:p>
      <w:pPr>
        <w:spacing w:before="257" w:line="295" w:lineRule="auto"/>
        <w:ind w:right="139" w:firstLine="960"/>
        <w:rPr>
          <w:rFonts w:ascii="仿宋" w:hAnsi="仿宋" w:eastAsia="仿宋" w:cs="仿宋"/>
          <w:sz w:val="32"/>
          <w:szCs w:val="32"/>
        </w:rPr>
      </w:pPr>
      <w:r>
        <w:rPr>
          <w:rFonts w:ascii="仿宋" w:hAnsi="仿宋" w:eastAsia="仿宋" w:cs="仿宋"/>
          <w:spacing w:val="-5"/>
          <w:sz w:val="32"/>
          <w:szCs w:val="32"/>
        </w:rPr>
        <w:t>（二）执行本行政区域内的经济和社会发展计划，加强公共设施的建</w:t>
      </w:r>
      <w:r>
        <w:rPr>
          <w:rFonts w:ascii="仿宋" w:hAnsi="仿宋" w:eastAsia="仿宋" w:cs="仿宋"/>
          <w:spacing w:val="11"/>
          <w:sz w:val="32"/>
          <w:szCs w:val="32"/>
        </w:rPr>
        <w:t xml:space="preserve"> </w:t>
      </w:r>
      <w:r>
        <w:rPr>
          <w:rFonts w:ascii="仿宋" w:hAnsi="仿宋" w:eastAsia="仿宋" w:cs="仿宋"/>
          <w:spacing w:val="-5"/>
          <w:sz w:val="32"/>
          <w:szCs w:val="32"/>
        </w:rPr>
        <w:t>设和管理，发展各项服务事业。</w:t>
      </w:r>
    </w:p>
    <w:p>
      <w:pPr>
        <w:spacing w:before="252" w:line="221" w:lineRule="auto"/>
        <w:ind w:left="960"/>
        <w:rPr>
          <w:rFonts w:ascii="仿宋" w:hAnsi="仿宋" w:eastAsia="仿宋" w:cs="仿宋"/>
          <w:sz w:val="32"/>
          <w:szCs w:val="32"/>
        </w:rPr>
      </w:pPr>
      <w:r>
        <w:rPr>
          <w:rFonts w:ascii="仿宋" w:hAnsi="仿宋" w:eastAsia="仿宋" w:cs="仿宋"/>
          <w:spacing w:val="-4"/>
          <w:sz w:val="32"/>
          <w:szCs w:val="32"/>
        </w:rPr>
        <w:t>（三）依法管理本级财政、执行本级预算。</w:t>
      </w:r>
    </w:p>
    <w:p>
      <w:pPr>
        <w:spacing w:before="255" w:line="295" w:lineRule="auto"/>
        <w:ind w:left="6" w:right="150" w:firstLine="954"/>
        <w:rPr>
          <w:rFonts w:ascii="仿宋" w:hAnsi="仿宋" w:eastAsia="仿宋" w:cs="仿宋"/>
          <w:sz w:val="32"/>
          <w:szCs w:val="32"/>
        </w:rPr>
      </w:pPr>
      <w:r>
        <w:rPr>
          <w:rFonts w:ascii="仿宋" w:hAnsi="仿宋" w:eastAsia="仿宋" w:cs="仿宋"/>
          <w:spacing w:val="-5"/>
          <w:sz w:val="32"/>
          <w:szCs w:val="32"/>
        </w:rPr>
        <w:t>（四）为农民提供有效的科技、教育、文化、信息、卫生、体育、医</w:t>
      </w:r>
      <w:r>
        <w:rPr>
          <w:rFonts w:ascii="仿宋" w:hAnsi="仿宋" w:eastAsia="仿宋" w:cs="仿宋"/>
          <w:spacing w:val="1"/>
          <w:sz w:val="32"/>
          <w:szCs w:val="32"/>
        </w:rPr>
        <w:t xml:space="preserve"> </w:t>
      </w:r>
      <w:r>
        <w:rPr>
          <w:rFonts w:ascii="仿宋" w:hAnsi="仿宋" w:eastAsia="仿宋" w:cs="仿宋"/>
          <w:spacing w:val="-3"/>
          <w:sz w:val="32"/>
          <w:szCs w:val="32"/>
        </w:rPr>
        <w:t>疗、人才开发、劳动就业、安全生产等方面的服务。</w:t>
      </w:r>
    </w:p>
    <w:p>
      <w:pPr>
        <w:spacing w:before="254" w:line="294" w:lineRule="auto"/>
        <w:ind w:left="3" w:firstLine="957"/>
        <w:rPr>
          <w:rFonts w:ascii="仿宋" w:hAnsi="仿宋" w:eastAsia="仿宋" w:cs="仿宋"/>
          <w:sz w:val="32"/>
          <w:szCs w:val="32"/>
        </w:rPr>
      </w:pPr>
      <w:r>
        <w:rPr>
          <w:rFonts w:ascii="仿宋" w:hAnsi="仿宋" w:eastAsia="仿宋" w:cs="仿宋"/>
          <w:spacing w:val="-4"/>
          <w:sz w:val="32"/>
          <w:szCs w:val="32"/>
        </w:rPr>
        <w:t>（五）保护国有资产和集体所有的财产，保护公民私人所有的合法财</w:t>
      </w:r>
      <w:r>
        <w:rPr>
          <w:rFonts w:ascii="仿宋" w:hAnsi="仿宋" w:eastAsia="仿宋" w:cs="仿宋"/>
          <w:spacing w:val="3"/>
          <w:sz w:val="32"/>
          <w:szCs w:val="32"/>
        </w:rPr>
        <w:t xml:space="preserve"> </w:t>
      </w:r>
      <w:r>
        <w:rPr>
          <w:rFonts w:ascii="仿宋" w:hAnsi="仿宋" w:eastAsia="仿宋" w:cs="仿宋"/>
          <w:spacing w:val="-11"/>
          <w:sz w:val="32"/>
          <w:szCs w:val="32"/>
        </w:rPr>
        <w:t>产、保障公民的人身权利、民主权利和其他权利，</w:t>
      </w:r>
      <w:r>
        <w:rPr>
          <w:rFonts w:ascii="仿宋" w:hAnsi="仿宋" w:eastAsia="仿宋" w:cs="仿宋"/>
          <w:spacing w:val="-96"/>
          <w:sz w:val="32"/>
          <w:szCs w:val="32"/>
        </w:rPr>
        <w:t xml:space="preserve"> </w:t>
      </w:r>
      <w:r>
        <w:rPr>
          <w:rFonts w:ascii="仿宋" w:hAnsi="仿宋" w:eastAsia="仿宋" w:cs="仿宋"/>
          <w:spacing w:val="-12"/>
          <w:sz w:val="32"/>
          <w:szCs w:val="32"/>
        </w:rPr>
        <w:t>保护各种组织的合法权益。</w:t>
      </w:r>
    </w:p>
    <w:p>
      <w:pPr>
        <w:spacing w:before="255" w:line="295" w:lineRule="auto"/>
        <w:ind w:left="42" w:right="142" w:firstLine="918"/>
        <w:rPr>
          <w:rFonts w:ascii="仿宋" w:hAnsi="仿宋" w:eastAsia="仿宋" w:cs="仿宋"/>
          <w:sz w:val="32"/>
          <w:szCs w:val="32"/>
        </w:rPr>
      </w:pPr>
      <w:r>
        <w:rPr>
          <w:rFonts w:ascii="仿宋" w:hAnsi="仿宋" w:eastAsia="仿宋" w:cs="仿宋"/>
          <w:spacing w:val="-5"/>
          <w:sz w:val="32"/>
          <w:szCs w:val="32"/>
        </w:rPr>
        <w:t>（六）开展社会主义民主与法制教育，加强社会治安综合治理，调解</w:t>
      </w:r>
      <w:r>
        <w:rPr>
          <w:rFonts w:ascii="仿宋" w:hAnsi="仿宋" w:eastAsia="仿宋" w:cs="仿宋"/>
          <w:spacing w:val="8"/>
          <w:sz w:val="32"/>
          <w:szCs w:val="32"/>
        </w:rPr>
        <w:t xml:space="preserve"> </w:t>
      </w:r>
      <w:r>
        <w:rPr>
          <w:rFonts w:ascii="仿宋" w:hAnsi="仿宋" w:eastAsia="仿宋" w:cs="仿宋"/>
          <w:spacing w:val="-9"/>
          <w:sz w:val="32"/>
          <w:szCs w:val="32"/>
        </w:rPr>
        <w:t>民事纠纷，维护社会秩序。</w:t>
      </w:r>
    </w:p>
    <w:p>
      <w:pPr>
        <w:spacing w:before="255" w:line="295" w:lineRule="auto"/>
        <w:ind w:right="138" w:firstLine="960"/>
        <w:rPr>
          <w:rFonts w:ascii="仿宋" w:hAnsi="仿宋" w:eastAsia="仿宋" w:cs="仿宋"/>
          <w:sz w:val="32"/>
          <w:szCs w:val="32"/>
        </w:rPr>
      </w:pPr>
      <w:r>
        <w:rPr>
          <w:rFonts w:ascii="仿宋" w:hAnsi="仿宋" w:eastAsia="仿宋" w:cs="仿宋"/>
          <w:spacing w:val="-5"/>
          <w:sz w:val="32"/>
          <w:szCs w:val="32"/>
        </w:rPr>
        <w:t>（七）推行生育</w:t>
      </w:r>
      <w:r>
        <w:rPr>
          <w:rFonts w:hint="eastAsia" w:ascii="仿宋" w:hAnsi="仿宋" w:eastAsia="仿宋" w:cs="仿宋"/>
          <w:spacing w:val="-5"/>
          <w:sz w:val="32"/>
          <w:szCs w:val="32"/>
          <w:lang w:eastAsia="zh-CN"/>
        </w:rPr>
        <w:t>政策</w:t>
      </w:r>
      <w:r>
        <w:rPr>
          <w:rFonts w:ascii="仿宋" w:hAnsi="仿宋" w:eastAsia="仿宋" w:cs="仿宋"/>
          <w:spacing w:val="-5"/>
          <w:sz w:val="32"/>
          <w:szCs w:val="32"/>
        </w:rPr>
        <w:t>，保护妇女、儿童和老人的合法</w:t>
      </w:r>
      <w:r>
        <w:rPr>
          <w:rFonts w:ascii="仿宋" w:hAnsi="仿宋" w:eastAsia="仿宋" w:cs="仿宋"/>
          <w:spacing w:val="-14"/>
          <w:sz w:val="32"/>
          <w:szCs w:val="32"/>
        </w:rPr>
        <w:t>权益。</w:t>
      </w:r>
    </w:p>
    <w:p>
      <w:pPr>
        <w:spacing w:before="251" w:line="296" w:lineRule="auto"/>
        <w:ind w:left="4" w:right="137" w:firstLine="956"/>
        <w:rPr>
          <w:rFonts w:ascii="仿宋" w:hAnsi="仿宋" w:eastAsia="仿宋" w:cs="仿宋"/>
          <w:sz w:val="32"/>
          <w:szCs w:val="32"/>
        </w:rPr>
      </w:pPr>
      <w:r>
        <w:rPr>
          <w:rFonts w:ascii="仿宋" w:hAnsi="仿宋" w:eastAsia="仿宋" w:cs="仿宋"/>
          <w:spacing w:val="-5"/>
          <w:sz w:val="32"/>
          <w:szCs w:val="32"/>
        </w:rPr>
        <w:t>（八）负责民政工作，发展社会福利事业，做好社会保障工作，办理</w:t>
      </w:r>
      <w:r>
        <w:rPr>
          <w:rFonts w:ascii="仿宋" w:hAnsi="仿宋" w:eastAsia="仿宋" w:cs="仿宋"/>
          <w:spacing w:val="13"/>
          <w:sz w:val="32"/>
          <w:szCs w:val="32"/>
        </w:rPr>
        <w:t xml:space="preserve"> </w:t>
      </w:r>
      <w:r>
        <w:rPr>
          <w:rFonts w:ascii="仿宋" w:hAnsi="仿宋" w:eastAsia="仿宋" w:cs="仿宋"/>
          <w:spacing w:val="-11"/>
          <w:sz w:val="32"/>
          <w:szCs w:val="32"/>
        </w:rPr>
        <w:t>兵役事项。</w:t>
      </w:r>
    </w:p>
    <w:p>
      <w:pPr>
        <w:spacing w:before="250" w:line="222" w:lineRule="auto"/>
        <w:ind w:left="960"/>
        <w:rPr>
          <w:rFonts w:ascii="仿宋" w:hAnsi="仿宋" w:eastAsia="仿宋" w:cs="仿宋"/>
          <w:sz w:val="32"/>
          <w:szCs w:val="32"/>
        </w:rPr>
      </w:pPr>
      <w:r>
        <w:rPr>
          <w:rFonts w:ascii="仿宋" w:hAnsi="仿宋" w:eastAsia="仿宋" w:cs="仿宋"/>
          <w:spacing w:val="-4"/>
          <w:sz w:val="32"/>
          <w:szCs w:val="32"/>
        </w:rPr>
        <w:t>（九）承办上级人民政府交办的其他事项。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before="66" w:line="353" w:lineRule="auto"/>
        <w:ind w:firstLine="694" w:firstLineChars="217"/>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spacing w:before="66" w:line="353" w:lineRule="auto"/>
        <w:ind w:firstLine="677" w:firstLineChars="217"/>
        <w:rPr>
          <w:rFonts w:ascii="仿宋" w:hAnsi="仿宋" w:eastAsia="仿宋" w:cs="仿宋"/>
          <w:sz w:val="32"/>
          <w:szCs w:val="32"/>
        </w:rPr>
      </w:pPr>
      <w:r>
        <w:rPr>
          <w:rFonts w:ascii="仿宋" w:hAnsi="仿宋" w:eastAsia="仿宋" w:cs="仿宋"/>
          <w:spacing w:val="-4"/>
          <w:sz w:val="32"/>
          <w:szCs w:val="32"/>
        </w:rPr>
        <w:t>道县</w:t>
      </w:r>
      <w:r>
        <w:rPr>
          <w:rFonts w:hint="eastAsia" w:ascii="仿宋" w:hAnsi="仿宋" w:eastAsia="仿宋" w:cs="仿宋"/>
          <w:spacing w:val="-4"/>
          <w:sz w:val="32"/>
          <w:szCs w:val="32"/>
          <w:lang w:eastAsia="zh-CN"/>
        </w:rPr>
        <w:t>营江</w:t>
      </w:r>
      <w:r>
        <w:rPr>
          <w:rFonts w:ascii="仿宋" w:hAnsi="仿宋" w:eastAsia="仿宋" w:cs="仿宋"/>
          <w:spacing w:val="-4"/>
          <w:sz w:val="32"/>
          <w:szCs w:val="32"/>
        </w:rPr>
        <w:t>街道办事处单位内设机构包括：党政综合办公室、社会治安</w:t>
      </w:r>
      <w:r>
        <w:rPr>
          <w:rFonts w:ascii="仿宋" w:hAnsi="仿宋" w:eastAsia="仿宋" w:cs="仿宋"/>
          <w:spacing w:val="2"/>
          <w:sz w:val="32"/>
          <w:szCs w:val="32"/>
        </w:rPr>
        <w:t xml:space="preserve"> </w:t>
      </w:r>
      <w:r>
        <w:rPr>
          <w:rFonts w:ascii="仿宋" w:hAnsi="仿宋" w:eastAsia="仿宋" w:cs="仿宋"/>
          <w:spacing w:val="-2"/>
          <w:sz w:val="32"/>
          <w:szCs w:val="32"/>
        </w:rPr>
        <w:t>和应急管理办公室、经济发展办公室、社会事务办公室、</w:t>
      </w:r>
      <w:r>
        <w:rPr>
          <w:rFonts w:ascii="仿宋" w:hAnsi="仿宋" w:eastAsia="仿宋" w:cs="仿宋"/>
          <w:spacing w:val="-3"/>
          <w:sz w:val="32"/>
          <w:szCs w:val="32"/>
        </w:rPr>
        <w:t>基层党建办公室、</w:t>
      </w:r>
      <w:r>
        <w:rPr>
          <w:rFonts w:ascii="仿宋" w:hAnsi="仿宋" w:eastAsia="仿宋" w:cs="仿宋"/>
          <w:spacing w:val="-5"/>
          <w:sz w:val="32"/>
          <w:szCs w:val="32"/>
        </w:rPr>
        <w:t>自然资源和生态环境办公室、</w:t>
      </w:r>
      <w:r>
        <w:rPr>
          <w:rFonts w:hint="eastAsia" w:ascii="仿宋" w:hAnsi="仿宋" w:eastAsia="仿宋" w:cs="仿宋"/>
          <w:spacing w:val="-5"/>
          <w:sz w:val="32"/>
          <w:szCs w:val="32"/>
          <w:lang w:eastAsia="zh-CN"/>
        </w:rPr>
        <w:t>街道</w:t>
      </w:r>
      <w:r>
        <w:rPr>
          <w:rFonts w:ascii="仿宋" w:hAnsi="仿宋" w:eastAsia="仿宋" w:cs="仿宋"/>
          <w:spacing w:val="-5"/>
          <w:sz w:val="32"/>
          <w:szCs w:val="32"/>
        </w:rPr>
        <w:t>财政所、退役军</w:t>
      </w:r>
      <w:r>
        <w:rPr>
          <w:rFonts w:ascii="仿宋" w:hAnsi="仿宋" w:eastAsia="仿宋" w:cs="仿宋"/>
          <w:spacing w:val="-6"/>
          <w:sz w:val="32"/>
          <w:szCs w:val="32"/>
        </w:rPr>
        <w:t>人服务站、综合行政执法大</w:t>
      </w:r>
      <w:r>
        <w:rPr>
          <w:rFonts w:ascii="仿宋" w:hAnsi="仿宋" w:eastAsia="仿宋" w:cs="仿宋"/>
          <w:spacing w:val="-3"/>
          <w:sz w:val="32"/>
          <w:szCs w:val="32"/>
        </w:rPr>
        <w:t>队、社会事业综合服务中心、农业综合服务中心、政务（便民）服务中心。</w:t>
      </w:r>
    </w:p>
    <w:p>
      <w:pPr>
        <w:widowControl/>
        <w:spacing w:line="600" w:lineRule="exact"/>
        <w:rPr>
          <w:rFonts w:hint="eastAsia" w:ascii="Times New Roman" w:hAnsi="Times New Roman" w:eastAsia="仿宋_GB2312" w:cs="仿宋_GB2312"/>
          <w:bCs/>
          <w:kern w:val="0"/>
          <w:sz w:val="32"/>
          <w:szCs w:val="32"/>
        </w:rPr>
      </w:pPr>
    </w:p>
    <w:p>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ascii="仿宋" w:hAnsi="仿宋" w:eastAsia="仿宋" w:cs="仿宋"/>
          <w:sz w:val="32"/>
          <w:szCs w:val="32"/>
        </w:rPr>
        <w:t>道县</w:t>
      </w:r>
      <w:r>
        <w:rPr>
          <w:rFonts w:hint="eastAsia" w:ascii="仿宋" w:hAnsi="仿宋" w:eastAsia="仿宋" w:cs="仿宋"/>
          <w:sz w:val="32"/>
          <w:szCs w:val="32"/>
          <w:lang w:eastAsia="zh-CN"/>
        </w:rPr>
        <w:t>营江街道办事处</w:t>
      </w:r>
      <w:r>
        <w:rPr>
          <w:rFonts w:ascii="仿宋" w:hAnsi="仿宋" w:eastAsia="仿宋" w:cs="仿宋"/>
          <w:spacing w:val="-62"/>
          <w:sz w:val="32"/>
          <w:szCs w:val="32"/>
        </w:rPr>
        <w:t xml:space="preserve"> </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年部门决算汇总公开单</w:t>
      </w:r>
      <w:r>
        <w:rPr>
          <w:rFonts w:ascii="仿宋" w:hAnsi="仿宋" w:eastAsia="仿宋" w:cs="仿宋"/>
          <w:spacing w:val="-1"/>
          <w:sz w:val="32"/>
          <w:szCs w:val="32"/>
        </w:rPr>
        <w:t>位构成包括：道</w:t>
      </w:r>
      <w:r>
        <w:rPr>
          <w:rFonts w:ascii="仿宋" w:hAnsi="仿宋" w:eastAsia="仿宋" w:cs="仿宋"/>
          <w:spacing w:val="-6"/>
          <w:sz w:val="32"/>
          <w:szCs w:val="32"/>
        </w:rPr>
        <w:t>县</w:t>
      </w:r>
      <w:r>
        <w:rPr>
          <w:rFonts w:hint="eastAsia" w:ascii="仿宋" w:hAnsi="仿宋" w:eastAsia="仿宋" w:cs="仿宋"/>
          <w:sz w:val="32"/>
          <w:szCs w:val="32"/>
          <w:lang w:eastAsia="zh-CN"/>
        </w:rPr>
        <w:t>营江街道办事处</w:t>
      </w:r>
      <w:r>
        <w:rPr>
          <w:rFonts w:ascii="仿宋" w:hAnsi="仿宋" w:eastAsia="仿宋" w:cs="仿宋"/>
          <w:spacing w:val="-6"/>
          <w:sz w:val="32"/>
          <w:szCs w:val="32"/>
        </w:rPr>
        <w:t>本级。</w:t>
      </w:r>
    </w:p>
    <w:p>
      <w:pPr>
        <w:widowControl/>
        <w:spacing w:line="600" w:lineRule="exac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387" w:type="dxa"/>
        <w:tblInd w:w="0" w:type="dxa"/>
        <w:tblLayout w:type="fixed"/>
        <w:tblCellMar>
          <w:top w:w="0" w:type="dxa"/>
          <w:left w:w="0" w:type="dxa"/>
          <w:bottom w:w="0" w:type="dxa"/>
          <w:right w:w="0" w:type="dxa"/>
        </w:tblCellMar>
      </w:tblPr>
      <w:tblGrid>
        <w:gridCol w:w="289"/>
        <w:gridCol w:w="818"/>
        <w:gridCol w:w="129"/>
        <w:gridCol w:w="240"/>
        <w:gridCol w:w="3126"/>
        <w:gridCol w:w="90"/>
        <w:gridCol w:w="1162"/>
        <w:gridCol w:w="218"/>
        <w:gridCol w:w="1231"/>
        <w:gridCol w:w="104"/>
        <w:gridCol w:w="1345"/>
        <w:gridCol w:w="162"/>
        <w:gridCol w:w="1287"/>
        <w:gridCol w:w="704"/>
        <w:gridCol w:w="745"/>
        <w:gridCol w:w="1246"/>
        <w:gridCol w:w="203"/>
        <w:gridCol w:w="2288"/>
      </w:tblGrid>
      <w:tr>
        <w:tblPrEx>
          <w:tblCellMar>
            <w:top w:w="0" w:type="dxa"/>
            <w:left w:w="0" w:type="dxa"/>
            <w:bottom w:w="0" w:type="dxa"/>
            <w:right w:w="0" w:type="dxa"/>
          </w:tblCellMar>
        </w:tblPrEx>
        <w:trPr>
          <w:trHeight w:val="435" w:hRule="atLeast"/>
        </w:trPr>
        <w:tc>
          <w:tcPr>
            <w:tcW w:w="15387"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3"/>
              <w:gridCol w:w="574"/>
              <w:gridCol w:w="1276"/>
              <w:gridCol w:w="4171"/>
              <w:gridCol w:w="2154"/>
              <w:gridCol w:w="430"/>
              <w:gridCol w:w="896"/>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03" w:type="dxa"/>
                  <w:tcBorders>
                    <w:top w:val="nil"/>
                    <w:left w:val="nil"/>
                    <w:bottom w:val="nil"/>
                    <w:right w:val="nil"/>
                  </w:tcBorders>
                  <w:shd w:val="clear" w:color="auto" w:fill="auto"/>
                  <w:noWrap/>
                  <w:vAlign w:val="center"/>
                </w:tcPr>
                <w:p>
                  <w:pPr>
                    <w:jc w:val="left"/>
                    <w:rPr>
                      <w:rFonts w:hint="eastAsia" w:ascii="黑体" w:hAnsi="宋体" w:eastAsia="黑体" w:cs="黑体"/>
                      <w:b/>
                      <w:bCs/>
                      <w:i w:val="0"/>
                      <w:color w:val="000000"/>
                      <w:sz w:val="24"/>
                      <w:szCs w:val="24"/>
                      <w:u w:val="none"/>
                    </w:rPr>
                  </w:pPr>
                </w:p>
              </w:tc>
              <w:tc>
                <w:tcPr>
                  <w:tcW w:w="574" w:type="dxa"/>
                  <w:tcBorders>
                    <w:top w:val="nil"/>
                    <w:left w:val="nil"/>
                    <w:bottom w:val="nil"/>
                    <w:right w:val="nil"/>
                  </w:tcBorders>
                  <w:shd w:val="clear" w:color="auto" w:fill="auto"/>
                  <w:noWrap/>
                  <w:vAlign w:val="center"/>
                </w:tcPr>
                <w:p>
                  <w:pPr>
                    <w:jc w:val="right"/>
                    <w:rPr>
                      <w:rFonts w:hint="eastAsia" w:ascii="宋体" w:hAnsi="宋体" w:eastAsia="宋体" w:cs="宋体"/>
                      <w:b/>
                      <w:bCs/>
                      <w:i w:val="0"/>
                      <w:color w:val="000000"/>
                      <w:sz w:val="24"/>
                      <w:szCs w:val="24"/>
                      <w:u w:val="none"/>
                    </w:rPr>
                  </w:pPr>
                </w:p>
              </w:tc>
              <w:tc>
                <w:tcPr>
                  <w:tcW w:w="1276" w:type="dxa"/>
                  <w:tcBorders>
                    <w:top w:val="nil"/>
                    <w:left w:val="nil"/>
                    <w:bottom w:val="nil"/>
                    <w:right w:val="nil"/>
                  </w:tcBorders>
                  <w:shd w:val="clear" w:color="auto" w:fill="auto"/>
                  <w:noWrap/>
                  <w:vAlign w:val="center"/>
                </w:tcPr>
                <w:p>
                  <w:pPr>
                    <w:jc w:val="right"/>
                    <w:rPr>
                      <w:rFonts w:hint="eastAsia" w:ascii="宋体" w:hAnsi="宋体" w:eastAsia="宋体" w:cs="宋体"/>
                      <w:b/>
                      <w:bCs/>
                      <w:i w:val="0"/>
                      <w:color w:val="000000"/>
                      <w:sz w:val="24"/>
                      <w:szCs w:val="24"/>
                      <w:u w:val="none"/>
                    </w:rPr>
                  </w:pPr>
                </w:p>
              </w:tc>
              <w:tc>
                <w:tcPr>
                  <w:tcW w:w="4171" w:type="dxa"/>
                  <w:tcBorders>
                    <w:top w:val="nil"/>
                    <w:left w:val="nil"/>
                    <w:bottom w:val="nil"/>
                    <w:right w:val="nil"/>
                  </w:tcBorders>
                  <w:shd w:val="clear" w:color="auto" w:fill="auto"/>
                  <w:noWrap/>
                  <w:vAlign w:val="center"/>
                </w:tcPr>
                <w:p>
                  <w:pPr>
                    <w:jc w:val="right"/>
                    <w:rPr>
                      <w:rFonts w:hint="eastAsia" w:ascii="宋体" w:hAnsi="宋体" w:eastAsia="宋体" w:cs="宋体"/>
                      <w:b/>
                      <w:bCs/>
                      <w:i w:val="0"/>
                      <w:color w:val="000000"/>
                      <w:sz w:val="24"/>
                      <w:szCs w:val="24"/>
                      <w:u w:val="none"/>
                    </w:rPr>
                  </w:pPr>
                </w:p>
              </w:tc>
              <w:tc>
                <w:tcPr>
                  <w:tcW w:w="2584" w:type="dxa"/>
                  <w:gridSpan w:val="2"/>
                  <w:tcBorders>
                    <w:top w:val="nil"/>
                    <w:left w:val="nil"/>
                    <w:bottom w:val="nil"/>
                    <w:right w:val="nil"/>
                  </w:tcBorders>
                  <w:shd w:val="clear" w:color="auto" w:fill="auto"/>
                  <w:noWrap/>
                  <w:vAlign w:val="center"/>
                </w:tcPr>
                <w:p>
                  <w:pPr>
                    <w:jc w:val="right"/>
                    <w:rPr>
                      <w:rFonts w:hint="eastAsia" w:ascii="宋体" w:hAnsi="宋体" w:eastAsia="宋体" w:cs="宋体"/>
                      <w:b/>
                      <w:bCs/>
                      <w:i w:val="0"/>
                      <w:color w:val="000000"/>
                      <w:sz w:val="24"/>
                      <w:szCs w:val="24"/>
                      <w:u w:val="none"/>
                    </w:rPr>
                  </w:pPr>
                </w:p>
              </w:tc>
              <w:tc>
                <w:tcPr>
                  <w:tcW w:w="2790" w:type="dxa"/>
                  <w:gridSpan w:val="2"/>
                  <w:tcBorders>
                    <w:top w:val="nil"/>
                    <w:left w:val="nil"/>
                    <w:bottom w:val="nil"/>
                    <w:right w:val="nil"/>
                  </w:tcBorders>
                  <w:shd w:val="clear" w:color="auto" w:fill="auto"/>
                  <w:noWrap/>
                  <w:vAlign w:val="center"/>
                </w:tcPr>
                <w:p>
                  <w:pPr>
                    <w:jc w:val="right"/>
                    <w:rPr>
                      <w:rFonts w:hint="eastAsia" w:ascii="黑体" w:hAnsi="宋体" w:eastAsia="黑体" w:cs="黑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color w:val="000000"/>
                      <w:sz w:val="32"/>
                      <w:szCs w:val="32"/>
                      <w:u w:val="none"/>
                    </w:rPr>
                  </w:pPr>
                  <w:r>
                    <w:rPr>
                      <w:rFonts w:hint="eastAsia" w:ascii="华文中宋" w:hAnsi="华文中宋" w:eastAsia="华文中宋" w:cs="华文中宋"/>
                      <w:b/>
                      <w:bCs/>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03" w:type="dxa"/>
                  <w:tcBorders>
                    <w:top w:val="nil"/>
                    <w:left w:val="nil"/>
                    <w:bottom w:val="nil"/>
                    <w:right w:val="nil"/>
                  </w:tcBorders>
                  <w:shd w:val="clear" w:color="auto" w:fill="FFFFFF"/>
                  <w:noWrap/>
                  <w:vAlign w:val="center"/>
                </w:tcPr>
                <w:p>
                  <w:pPr>
                    <w:jc w:val="right"/>
                    <w:rPr>
                      <w:rFonts w:hint="eastAsia" w:ascii="宋体" w:hAnsi="宋体" w:eastAsia="宋体" w:cs="宋体"/>
                      <w:b/>
                      <w:bCs/>
                      <w:i w:val="0"/>
                      <w:color w:val="000000"/>
                      <w:sz w:val="24"/>
                      <w:szCs w:val="24"/>
                      <w:u w:val="none"/>
                    </w:rPr>
                  </w:pPr>
                </w:p>
              </w:tc>
              <w:tc>
                <w:tcPr>
                  <w:tcW w:w="574" w:type="dxa"/>
                  <w:tcBorders>
                    <w:top w:val="nil"/>
                    <w:left w:val="nil"/>
                    <w:bottom w:val="nil"/>
                    <w:right w:val="nil"/>
                  </w:tcBorders>
                  <w:shd w:val="clear" w:color="auto" w:fill="FFFFFF"/>
                  <w:noWrap/>
                  <w:vAlign w:val="center"/>
                </w:tcPr>
                <w:p>
                  <w:pPr>
                    <w:jc w:val="right"/>
                    <w:rPr>
                      <w:rFonts w:hint="eastAsia" w:ascii="宋体" w:hAnsi="宋体" w:eastAsia="宋体" w:cs="宋体"/>
                      <w:b/>
                      <w:bCs/>
                      <w:i w:val="0"/>
                      <w:color w:val="000000"/>
                      <w:sz w:val="24"/>
                      <w:szCs w:val="24"/>
                      <w:u w:val="none"/>
                    </w:rPr>
                  </w:pPr>
                </w:p>
              </w:tc>
              <w:tc>
                <w:tcPr>
                  <w:tcW w:w="1276" w:type="dxa"/>
                  <w:tcBorders>
                    <w:top w:val="nil"/>
                    <w:left w:val="nil"/>
                    <w:bottom w:val="nil"/>
                    <w:right w:val="nil"/>
                  </w:tcBorders>
                  <w:shd w:val="clear" w:color="auto" w:fill="FFFFFF"/>
                  <w:noWrap/>
                  <w:vAlign w:val="center"/>
                </w:tcPr>
                <w:p>
                  <w:pPr>
                    <w:jc w:val="right"/>
                    <w:rPr>
                      <w:rFonts w:hint="eastAsia" w:ascii="宋体" w:hAnsi="宋体" w:eastAsia="宋体" w:cs="宋体"/>
                      <w:b/>
                      <w:bCs/>
                      <w:i w:val="0"/>
                      <w:color w:val="000000"/>
                      <w:sz w:val="24"/>
                      <w:szCs w:val="24"/>
                      <w:u w:val="none"/>
                    </w:rPr>
                  </w:pPr>
                </w:p>
              </w:tc>
              <w:tc>
                <w:tcPr>
                  <w:tcW w:w="4171" w:type="dxa"/>
                  <w:tcBorders>
                    <w:top w:val="nil"/>
                    <w:left w:val="nil"/>
                    <w:bottom w:val="nil"/>
                    <w:right w:val="nil"/>
                  </w:tcBorders>
                  <w:shd w:val="clear" w:color="auto" w:fill="FFFFFF"/>
                  <w:noWrap/>
                  <w:vAlign w:val="center"/>
                </w:tcPr>
                <w:p>
                  <w:pPr>
                    <w:jc w:val="right"/>
                    <w:rPr>
                      <w:rFonts w:hint="eastAsia" w:ascii="宋体" w:hAnsi="宋体" w:eastAsia="宋体" w:cs="宋体"/>
                      <w:b/>
                      <w:bCs/>
                      <w:i w:val="0"/>
                      <w:color w:val="000000"/>
                      <w:sz w:val="24"/>
                      <w:szCs w:val="24"/>
                      <w:u w:val="none"/>
                    </w:rPr>
                  </w:pPr>
                </w:p>
              </w:tc>
              <w:tc>
                <w:tcPr>
                  <w:tcW w:w="258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b/>
                      <w:bCs/>
                      <w:i w:val="0"/>
                      <w:color w:val="000000"/>
                      <w:sz w:val="24"/>
                      <w:szCs w:val="24"/>
                      <w:u w:val="none"/>
                    </w:rPr>
                  </w:pPr>
                </w:p>
              </w:tc>
              <w:tc>
                <w:tcPr>
                  <w:tcW w:w="27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部门：道县营江街道办事处</w:t>
                  </w:r>
                </w:p>
              </w:tc>
              <w:tc>
                <w:tcPr>
                  <w:tcW w:w="574" w:type="dxa"/>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color w:val="000000"/>
                      <w:sz w:val="24"/>
                      <w:szCs w:val="24"/>
                      <w:u w:val="none"/>
                    </w:rPr>
                  </w:pPr>
                </w:p>
              </w:tc>
              <w:tc>
                <w:tcPr>
                  <w:tcW w:w="1276" w:type="dxa"/>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color w:val="000000"/>
                      <w:sz w:val="24"/>
                      <w:szCs w:val="24"/>
                      <w:u w:val="none"/>
                    </w:rPr>
                  </w:pPr>
                </w:p>
              </w:tc>
              <w:tc>
                <w:tcPr>
                  <w:tcW w:w="4171" w:type="dxa"/>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color w:val="000000"/>
                      <w:sz w:val="24"/>
                      <w:szCs w:val="24"/>
                      <w:u w:val="none"/>
                    </w:rPr>
                  </w:pPr>
                </w:p>
              </w:tc>
              <w:tc>
                <w:tcPr>
                  <w:tcW w:w="258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color w:val="000000"/>
                      <w:sz w:val="24"/>
                      <w:szCs w:val="24"/>
                      <w:u w:val="none"/>
                    </w:rPr>
                  </w:pPr>
                </w:p>
              </w:tc>
              <w:tc>
                <w:tcPr>
                  <w:tcW w:w="27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585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收入</w:t>
                  </w:r>
                </w:p>
              </w:tc>
              <w:tc>
                <w:tcPr>
                  <w:tcW w:w="765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62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项    目</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行次</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决算数</w:t>
                  </w: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项    目</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行次</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栏    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i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w:t>
                  </w: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栏    次</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i w:val="0"/>
                      <w:color w:val="000000"/>
                      <w:sz w:val="24"/>
                      <w:szCs w:val="24"/>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1599.5</w:t>
                  </w: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一、一般公共服务支出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31</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952.77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二、政府性基金预算财政拨款收入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33</w:t>
                  </w: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二、外交支出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32</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三、国有资本经营预算财政拨款收入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三、国防支出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33</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四、上级补助收入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四、公共安全支出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34</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五、事业收入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五、教育支出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35</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六、经营收入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六、科学技术支出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36</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七、附属单位上缴收入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七、文化旅游体育与传媒支出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37</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八、其他收入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八、社会保障和就业支出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38</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81.83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九、卫生健康支出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39</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40.66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20"/>
                    </w:tabs>
                    <w:jc w:val="left"/>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十、节能环保支出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40</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十一、城乡社区支出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41</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十二、农林水支出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42</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十三、交通运输支出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43</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十四、资源勘探工业信息等支出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44</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十五、商业服务业等支出</w:t>
                  </w:r>
                </w:p>
              </w:tc>
              <w:tc>
                <w:tcPr>
                  <w:tcW w:w="2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45</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十六、金融支出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46</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十七、援助其他地区支出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47</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十八、自然资源海洋气象等支出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48</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十九、住房保障支出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49</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二十、粮油物资储备支出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二十一、国有资本经营预算支出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51</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二十二、灾害防治及应急管理支出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52</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二十三、其他支出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二十四、债务还本支出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54</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二十五、债务付息支出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二十六、抗疫特别国债安排的支出</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56</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sz w:val="22"/>
                      <w:szCs w:val="22"/>
                      <w:u w:val="none"/>
                      <w:lang w:val="en-US" w:eastAsia="zh-CN"/>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sz w:val="22"/>
                      <w:szCs w:val="22"/>
                      <w:u w:val="none"/>
                      <w:lang w:val="en-US" w:eastAsia="zh-CN"/>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sz w:val="22"/>
                      <w:szCs w:val="22"/>
                      <w:u w:val="none"/>
                      <w:lang w:val="en-US" w:eastAsia="zh-CN"/>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i w:val="0"/>
                      <w:color w:val="000000"/>
                      <w:sz w:val="22"/>
                      <w:szCs w:val="22"/>
                      <w:u w:val="none"/>
                      <w:lang w:val="en-US" w:eastAsia="zh-CN"/>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1632.5</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57</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使用非财政拨款结余（含专用结余）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结余分配</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58</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62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年初结转和结余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color w:val="000000"/>
                      <w:sz w:val="22"/>
                      <w:szCs w:val="22"/>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年末结转和结余</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59</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94" w:type="dxa"/>
                <w:trHeight w:val="448" w:hRule="atLeast"/>
              </w:trPr>
              <w:tc>
                <w:tcPr>
                  <w:tcW w:w="4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1632.5</w:t>
                  </w:r>
                </w:p>
              </w:tc>
              <w:tc>
                <w:tcPr>
                  <w:tcW w:w="4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kern w:val="0"/>
                      <w:sz w:val="22"/>
                      <w:szCs w:val="22"/>
                      <w:u w:val="none"/>
                      <w:lang w:val="en-US" w:eastAsia="zh-CN" w:bidi="ar"/>
                    </w:rPr>
                    <w:t>60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注：1.本表反映部门本年度的总收支和年末结转结余情况。</w:t>
                  </w:r>
                </w:p>
                <w:p>
                  <w:pPr>
                    <w:pStyle w:val="9"/>
                    <w:rPr>
                      <w:rFonts w:hint="eastAsia"/>
                      <w:b w:val="0"/>
                      <w:bCs w:val="0"/>
                      <w:lang w:val="en-US" w:eastAsia="zh-CN"/>
                    </w:rPr>
                  </w:pPr>
                </w:p>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b/>
                <w:bCs/>
                <w:color w:val="000000"/>
                <w:sz w:val="32"/>
                <w:szCs w:val="32"/>
              </w:rPr>
            </w:pPr>
            <w:r>
              <w:rPr>
                <w:rFonts w:hint="eastAsia" w:ascii="华文中宋" w:hAnsi="华文中宋" w:eastAsia="华文中宋"/>
                <w:b/>
                <w:bCs/>
                <w:color w:val="000000"/>
                <w:sz w:val="32"/>
                <w:szCs w:val="32"/>
              </w:rPr>
              <w:t>收入决算表</w:t>
            </w:r>
          </w:p>
        </w:tc>
      </w:tr>
      <w:tr>
        <w:tblPrEx>
          <w:tblCellMar>
            <w:top w:w="0" w:type="dxa"/>
            <w:left w:w="0" w:type="dxa"/>
            <w:bottom w:w="0" w:type="dxa"/>
            <w:right w:w="0" w:type="dxa"/>
          </w:tblCellMar>
        </w:tblPrEx>
        <w:trPr>
          <w:trHeight w:val="285" w:hRule="atLeast"/>
        </w:trPr>
        <w:tc>
          <w:tcPr>
            <w:tcW w:w="2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4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eastAsia="zh-CN"/>
              </w:rPr>
              <w:t>道县营江街道办事处</w:t>
            </w:r>
          </w:p>
        </w:tc>
        <w:tc>
          <w:tcPr>
            <w:tcW w:w="34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602"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5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495"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495"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602"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25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2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602"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1632.5</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709"/>
                <w:tab w:val="right" w:pos="1749"/>
              </w:tabs>
              <w:jc w:val="center"/>
              <w:rPr>
                <w:rFonts w:hint="eastAsia" w:ascii="宋体" w:hAnsi="宋体" w:eastAsia="宋体" w:cs="宋体"/>
                <w:sz w:val="24"/>
                <w:szCs w:val="24"/>
              </w:rPr>
            </w:pPr>
            <w:r>
              <w:rPr>
                <w:rFonts w:hint="eastAsia" w:ascii="宋体" w:hAnsi="宋体" w:eastAsia="宋体" w:cs="宋体"/>
                <w:lang w:val="en-US" w:eastAsia="zh-CN"/>
              </w:rPr>
              <w:t>1632.5</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lang w:val="en-US" w:eastAsia="zh-CN"/>
              </w:rPr>
              <w:t>2010301</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368"/>
                <w:tab w:val="right" w:pos="1749"/>
              </w:tabs>
              <w:jc w:val="left"/>
              <w:rPr>
                <w:rFonts w:hint="eastAsia" w:ascii="宋体" w:hAnsi="宋体" w:eastAsia="宋体" w:cs="宋体"/>
                <w:kern w:val="2"/>
                <w:sz w:val="24"/>
                <w:szCs w:val="24"/>
                <w:lang w:val="en-US" w:eastAsia="zh-CN" w:bidi="ar-SA"/>
              </w:rPr>
            </w:pPr>
            <w:r>
              <w:rPr>
                <w:rFonts w:hint="eastAsia" w:ascii="宋体" w:hAnsi="宋体" w:eastAsia="宋体" w:cs="宋体"/>
                <w:lang w:eastAsia="zh-CN"/>
              </w:rPr>
              <w:tab/>
            </w:r>
            <w:r>
              <w:rPr>
                <w:rFonts w:hint="eastAsia" w:ascii="宋体" w:hAnsi="宋体" w:eastAsia="宋体" w:cs="宋体"/>
                <w:lang w:val="en-US" w:eastAsia="zh-CN"/>
              </w:rPr>
              <w:t>775.93</w:t>
            </w:r>
            <w:r>
              <w:rPr>
                <w:rFonts w:hint="eastAsia" w:ascii="宋体" w:hAnsi="宋体" w:eastAsia="宋体" w:cs="宋体"/>
                <w:lang w:eastAsia="zh-CN"/>
              </w:rPr>
              <w:tab/>
            </w:r>
            <w:r>
              <w:rPr>
                <w:rFonts w:hint="eastAsia" w:ascii="宋体" w:hAnsi="宋体" w:eastAsia="宋体" w:cs="宋体"/>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368"/>
                <w:tab w:val="right" w:pos="1749"/>
              </w:tabs>
              <w:jc w:val="left"/>
              <w:rPr>
                <w:rFonts w:hint="eastAsia" w:ascii="宋体" w:hAnsi="宋体" w:eastAsia="宋体" w:cs="宋体"/>
                <w:sz w:val="24"/>
                <w:szCs w:val="24"/>
              </w:rPr>
            </w:pPr>
            <w:r>
              <w:rPr>
                <w:rFonts w:hint="eastAsia" w:ascii="宋体" w:hAnsi="宋体" w:eastAsia="宋体" w:cs="宋体"/>
                <w:lang w:eastAsia="zh-CN"/>
              </w:rPr>
              <w:tab/>
            </w:r>
            <w:r>
              <w:rPr>
                <w:rFonts w:hint="eastAsia" w:ascii="宋体" w:hAnsi="宋体" w:eastAsia="宋体" w:cs="宋体"/>
                <w:lang w:val="en-US" w:eastAsia="zh-CN"/>
              </w:rPr>
              <w:t>775.93</w:t>
            </w:r>
            <w:r>
              <w:rPr>
                <w:rFonts w:hint="eastAsia" w:ascii="宋体" w:hAnsi="宋体" w:eastAsia="宋体" w:cs="宋体"/>
                <w:lang w:eastAsia="zh-CN"/>
              </w:rPr>
              <w:tab/>
            </w:r>
            <w:r>
              <w:rPr>
                <w:rFonts w:hint="eastAsia" w:ascii="宋体" w:hAnsi="宋体" w:eastAsia="宋体" w:cs="宋体"/>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lang w:val="en-US" w:eastAsia="zh-CN"/>
              </w:rPr>
              <w:t>2010399</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123</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123</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lang w:val="en-US" w:eastAsia="zh-CN"/>
              </w:rPr>
              <w:t>2010601</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53.83</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53.83</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lang w:val="en-US" w:eastAsia="zh-CN"/>
              </w:rPr>
              <w:t>2080505</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74.78</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74.78</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lang w:val="en-US" w:eastAsia="zh-CN"/>
              </w:rPr>
              <w:t>2080801</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7.06</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7.06</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lang w:val="en-US" w:eastAsia="zh-CN"/>
              </w:rPr>
              <w:t>2101101</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40.66</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40.66</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2130599</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20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2130701</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62</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62</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2130705</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442.24</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442.24</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2296002</w:t>
            </w:r>
          </w:p>
        </w:tc>
        <w:tc>
          <w:tcPr>
            <w:tcW w:w="34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25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33</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33</w:t>
            </w: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7"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trHeight w:val="807" w:hRule="atLeast"/>
        </w:trPr>
        <w:tc>
          <w:tcPr>
            <w:tcW w:w="15387" w:type="dxa"/>
            <w:gridSpan w:val="18"/>
            <w:tcBorders>
              <w:top w:val="nil"/>
              <w:left w:val="nil"/>
              <w:bottom w:val="nil"/>
              <w:right w:val="nil"/>
            </w:tcBorders>
            <w:shd w:val="clear" w:color="auto" w:fill="auto"/>
            <w:noWrap/>
            <w:vAlign w:val="center"/>
          </w:tcPr>
          <w:p>
            <w:pPr>
              <w:widowControl/>
              <w:jc w:val="left"/>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r>
              <w:rPr>
                <w:rFonts w:hint="eastAsia" w:ascii="Times New Roman" w:hAnsi="Times New Roman" w:eastAsia="黑体" w:cs="Times New Roman"/>
                <w:bCs/>
                <w:kern w:val="0"/>
                <w:sz w:val="32"/>
                <w:szCs w:val="32"/>
                <w:lang w:val="en-US" w:eastAsia="zh-CN"/>
              </w:rPr>
              <w:t xml:space="preserve">                                         </w:t>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148" w:hRule="atLeast"/>
        </w:trPr>
        <w:tc>
          <w:tcPr>
            <w:tcW w:w="123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7"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692"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3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0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21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21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69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8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0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9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15" w:hRule="atLeast"/>
        </w:trPr>
        <w:tc>
          <w:tcPr>
            <w:tcW w:w="469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1632.5</w:t>
            </w:r>
            <w:r>
              <w:rPr>
                <w:rFonts w:hint="eastAsia" w:ascii="宋体" w:hAnsi="宋体" w:eastAsia="宋体" w:cs="宋体"/>
                <w:kern w:val="0"/>
                <w:sz w:val="24"/>
                <w:szCs w:val="24"/>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tabs>
                <w:tab w:val="center" w:pos="709"/>
                <w:tab w:val="right" w:pos="1749"/>
              </w:tabs>
              <w:jc w:val="center"/>
              <w:rPr>
                <w:rFonts w:hint="default" w:ascii="宋体" w:hAnsi="宋体" w:eastAsia="宋体" w:cs="宋体"/>
                <w:kern w:val="2"/>
                <w:sz w:val="24"/>
                <w:szCs w:val="24"/>
                <w:lang w:val="en-US" w:eastAsia="zh-CN" w:bidi="ar-SA"/>
              </w:rPr>
            </w:pPr>
            <w:r>
              <w:rPr>
                <w:rFonts w:hint="eastAsia" w:ascii="宋体" w:hAnsi="宋体" w:eastAsia="宋体" w:cs="宋体"/>
                <w:lang w:val="en-US" w:eastAsia="zh-CN"/>
              </w:rPr>
              <w:t>1550.5</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82</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2010301</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0" w:type="dxa"/>
            <w:gridSpan w:val="2"/>
            <w:tcBorders>
              <w:top w:val="nil"/>
              <w:left w:val="nil"/>
              <w:bottom w:val="single" w:color="auto" w:sz="4" w:space="0"/>
              <w:right w:val="single" w:color="auto" w:sz="4" w:space="0"/>
            </w:tcBorders>
            <w:shd w:val="clear" w:color="auto" w:fill="auto"/>
            <w:noWrap/>
            <w:vAlign w:val="center"/>
          </w:tcPr>
          <w:p>
            <w:pPr>
              <w:tabs>
                <w:tab w:val="left" w:pos="368"/>
                <w:tab w:val="right" w:pos="1749"/>
              </w:tabs>
              <w:jc w:val="left"/>
              <w:rPr>
                <w:rFonts w:hint="eastAsia" w:ascii="宋体" w:hAnsi="宋体" w:eastAsia="宋体" w:cs="宋体"/>
                <w:kern w:val="2"/>
                <w:sz w:val="24"/>
                <w:szCs w:val="24"/>
                <w:lang w:val="en-US" w:eastAsia="zh-CN" w:bidi="ar-SA"/>
              </w:rPr>
            </w:pPr>
            <w:r>
              <w:rPr>
                <w:rFonts w:hint="eastAsia" w:ascii="宋体" w:hAnsi="宋体" w:eastAsia="宋体" w:cs="宋体"/>
                <w:lang w:eastAsia="zh-CN"/>
              </w:rPr>
              <w:tab/>
            </w:r>
            <w:r>
              <w:rPr>
                <w:rFonts w:hint="eastAsia" w:ascii="宋体" w:hAnsi="宋体" w:eastAsia="宋体" w:cs="宋体"/>
                <w:lang w:val="en-US" w:eastAsia="zh-CN"/>
              </w:rPr>
              <w:t>775.93</w:t>
            </w:r>
            <w:r>
              <w:rPr>
                <w:rFonts w:hint="eastAsia" w:ascii="宋体" w:hAnsi="宋体" w:eastAsia="宋体" w:cs="宋体"/>
                <w:lang w:eastAsia="zh-CN"/>
              </w:rPr>
              <w:tab/>
            </w:r>
            <w:r>
              <w:rPr>
                <w:rFonts w:hint="eastAsia" w:ascii="宋体" w:hAnsi="宋体" w:eastAsia="宋体" w:cs="宋体"/>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tabs>
                <w:tab w:val="left" w:pos="368"/>
                <w:tab w:val="right" w:pos="1749"/>
              </w:tabs>
              <w:jc w:val="left"/>
              <w:rPr>
                <w:rFonts w:hint="eastAsia" w:ascii="宋体" w:hAnsi="宋体" w:eastAsia="宋体" w:cs="宋体"/>
                <w:kern w:val="2"/>
                <w:sz w:val="24"/>
                <w:szCs w:val="24"/>
                <w:lang w:val="en-US" w:eastAsia="zh-CN" w:bidi="ar-SA"/>
              </w:rPr>
            </w:pPr>
            <w:r>
              <w:rPr>
                <w:rFonts w:hint="eastAsia" w:ascii="宋体" w:hAnsi="宋体" w:eastAsia="宋体" w:cs="宋体"/>
                <w:lang w:eastAsia="zh-CN"/>
              </w:rPr>
              <w:tab/>
            </w:r>
            <w:r>
              <w:rPr>
                <w:rFonts w:hint="eastAsia" w:ascii="宋体" w:hAnsi="宋体" w:eastAsia="宋体" w:cs="宋体"/>
                <w:lang w:val="en-US" w:eastAsia="zh-CN"/>
              </w:rPr>
              <w:t>775.93</w:t>
            </w:r>
            <w:r>
              <w:rPr>
                <w:rFonts w:hint="eastAsia" w:ascii="宋体" w:hAnsi="宋体" w:eastAsia="宋体" w:cs="宋体"/>
                <w:lang w:eastAsia="zh-CN"/>
              </w:rPr>
              <w:tab/>
            </w:r>
            <w:r>
              <w:rPr>
                <w:rFonts w:hint="eastAsia" w:ascii="宋体" w:hAnsi="宋体" w:eastAsia="宋体" w:cs="宋体"/>
              </w:rPr>
              <w:t>　</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9"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2010399</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123</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123</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0"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2010601</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53.83</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53.83</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2080505</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74.78</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74.78</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0"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2080801</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7.06</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7.06</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60"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2101101</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40.66</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40.66</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9"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2130599</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20</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0"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2130701</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62</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9"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2130705</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442.24</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442.24</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4"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2296002</w:t>
            </w:r>
          </w:p>
        </w:tc>
        <w:tc>
          <w:tcPr>
            <w:tcW w:w="321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380"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33</w:t>
            </w:r>
          </w:p>
        </w:tc>
        <w:tc>
          <w:tcPr>
            <w:tcW w:w="1335"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33</w:t>
            </w:r>
          </w:p>
        </w:tc>
        <w:tc>
          <w:tcPr>
            <w:tcW w:w="150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387" w:type="dxa"/>
            <w:gridSpan w:val="1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1599.5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952.77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952.77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81.83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81.83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40.66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tabs>
                <w:tab w:val="left" w:pos="320"/>
              </w:tabs>
              <w:jc w:val="left"/>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524.24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524.24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b w:val="0"/>
                <w:bCs w:val="0"/>
                <w:i w:val="0"/>
                <w:color w:val="000000"/>
                <w:kern w:val="2"/>
                <w:sz w:val="22"/>
                <w:szCs w:val="22"/>
                <w:u w:val="none"/>
                <w:lang w:val="en-US" w:eastAsia="zh-CN" w:bidi="ar-SA"/>
              </w:rPr>
            </w:pPr>
            <w:r>
              <w:rPr>
                <w:rFonts w:hint="eastAsia" w:ascii="宋体" w:hAnsi="宋体" w:eastAsia="宋体" w:cs="宋体"/>
                <w:b w:val="0"/>
                <w:bCs w:val="0"/>
                <w:i w:val="0"/>
                <w:color w:val="000000"/>
                <w:sz w:val="22"/>
                <w:szCs w:val="22"/>
                <w:u w:val="none"/>
                <w:lang w:val="en-US" w:eastAsia="zh-CN"/>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szCs w:val="22"/>
                <w:lang w:val="en-US" w:eastAsia="zh-CN" w:bidi="ar-SA"/>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lang w:val="en-US" w:eastAsia="zh-CN" w:bidi="ar-SA"/>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1632.5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1632.5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1599.5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1632.5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1632.5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1599.5</w:t>
            </w:r>
          </w:p>
        </w:tc>
        <w:tc>
          <w:tcPr>
            <w:tcW w:w="1394" w:type="dxa"/>
            <w:tcBorders>
              <w:top w:val="nil"/>
              <w:left w:val="nil"/>
              <w:bottom w:val="single" w:color="auto" w:sz="4" w:space="0"/>
              <w:right w:val="single" w:color="auto" w:sz="4" w:space="0"/>
            </w:tcBorders>
            <w:shd w:val="clear" w:color="auto" w:fill="auto"/>
            <w:noWrap/>
            <w:vAlign w:val="center"/>
          </w:tcPr>
          <w:p>
            <w:pPr>
              <w:widowControl/>
              <w:ind w:firstLine="221" w:firstLineChars="100"/>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kern w:val="0"/>
                <w:sz w:val="22"/>
                <w:lang w:val="en-US" w:eastAsia="zh-CN"/>
              </w:rPr>
              <w:t>33</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道县营江街道办事处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848"/>
        <w:gridCol w:w="2679"/>
        <w:gridCol w:w="3492"/>
        <w:gridCol w:w="3000"/>
      </w:tblGrid>
      <w:tr>
        <w:tblPrEx>
          <w:tblCellMar>
            <w:top w:w="0" w:type="dxa"/>
            <w:left w:w="108" w:type="dxa"/>
            <w:bottom w:w="0" w:type="dxa"/>
            <w:right w:w="108" w:type="dxa"/>
          </w:tblCellMar>
        </w:tblPrEx>
        <w:trPr>
          <w:trHeight w:val="405" w:hRule="atLeast"/>
          <w:jc w:val="center"/>
        </w:trPr>
        <w:tc>
          <w:tcPr>
            <w:tcW w:w="504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7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4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7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4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7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504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rPr>
          <w:trHeight w:val="450" w:hRule="atLeast"/>
          <w:jc w:val="center"/>
        </w:trPr>
        <w:tc>
          <w:tcPr>
            <w:tcW w:w="504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1599.5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1517.5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2010301</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679" w:type="dxa"/>
            <w:tcBorders>
              <w:top w:val="nil"/>
              <w:left w:val="nil"/>
              <w:bottom w:val="single" w:color="auto" w:sz="4" w:space="0"/>
              <w:right w:val="single" w:color="auto" w:sz="4" w:space="0"/>
            </w:tcBorders>
            <w:shd w:val="clear" w:color="auto" w:fill="auto"/>
            <w:vAlign w:val="center"/>
          </w:tcPr>
          <w:p>
            <w:pPr>
              <w:tabs>
                <w:tab w:val="left" w:pos="368"/>
                <w:tab w:val="right" w:pos="1749"/>
              </w:tabs>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775.93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775.93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2010399</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6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123</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123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2010601</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6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53.83</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53.83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2080505</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74.78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74.78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2080801</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26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7.06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7.06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2101101</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26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40.66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40.66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1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2130599</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2130701</w:t>
            </w:r>
          </w:p>
        </w:tc>
        <w:tc>
          <w:tcPr>
            <w:tcW w:w="38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67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62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2130705</w:t>
            </w:r>
          </w:p>
        </w:tc>
        <w:tc>
          <w:tcPr>
            <w:tcW w:w="384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679"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442.24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宋体" w:hAnsi="宋体" w:eastAsia="宋体" w:cs="宋体"/>
                <w:lang w:val="en-US" w:eastAsia="zh-CN"/>
              </w:rPr>
              <w:t>442.24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11"/>
        <w:tblW w:w="0" w:type="auto"/>
        <w:tblInd w:w="0" w:type="dxa"/>
        <w:tblLayout w:type="fixed"/>
        <w:tblCellMar>
          <w:top w:w="0" w:type="dxa"/>
          <w:left w:w="108" w:type="dxa"/>
          <w:bottom w:w="0" w:type="dxa"/>
          <w:right w:w="108" w:type="dxa"/>
        </w:tblCellMar>
      </w:tblPr>
      <w:tblGrid>
        <w:gridCol w:w="930"/>
        <w:gridCol w:w="238"/>
        <w:gridCol w:w="87"/>
        <w:gridCol w:w="1760"/>
        <w:gridCol w:w="1329"/>
        <w:gridCol w:w="169"/>
        <w:gridCol w:w="977"/>
        <w:gridCol w:w="1365"/>
        <w:gridCol w:w="60"/>
        <w:gridCol w:w="2175"/>
        <w:gridCol w:w="443"/>
        <w:gridCol w:w="502"/>
        <w:gridCol w:w="1125"/>
        <w:gridCol w:w="331"/>
        <w:gridCol w:w="1942"/>
        <w:gridCol w:w="1267"/>
        <w:gridCol w:w="676"/>
        <w:gridCol w:w="238"/>
      </w:tblGrid>
      <w:tr>
        <w:tblPrEx>
          <w:tblCellMar>
            <w:top w:w="0" w:type="dxa"/>
            <w:left w:w="108" w:type="dxa"/>
            <w:bottom w:w="0" w:type="dxa"/>
            <w:right w:w="108" w:type="dxa"/>
          </w:tblCellMar>
        </w:tblPrEx>
        <w:trPr>
          <w:trHeight w:val="1038" w:hRule="atLeast"/>
        </w:trPr>
        <w:tc>
          <w:tcPr>
            <w:tcW w:w="15614" w:type="dxa"/>
            <w:gridSpan w:val="18"/>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r>
              <w:rPr>
                <w:rFonts w:ascii="Times New Roman" w:hAnsi="Times New Roman" w:eastAsia="仿宋_GB2312" w:cs="Times New Roman"/>
                <w:bCs/>
                <w:kern w:val="0"/>
                <w:szCs w:val="21"/>
              </w:rPr>
              <w:br w:type="page"/>
            </w: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ind w:left="14490" w:hanging="14490" w:hangingChars="69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道县营江街道办事处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541" w:hRule="atLeast"/>
        </w:trPr>
        <w:tc>
          <w:tcPr>
            <w:tcW w:w="12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65"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709.7</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461.41</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30"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284.68</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68.98</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144.56</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144.56144.5144.56</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15.46</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30"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140.69</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4.08</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45"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30"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24.33</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1.22</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9"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74.78</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5.45</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40.66</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5.36</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91.05</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346.39</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6.18</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3.49</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7.06</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297.07</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23.28</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18.5</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11.36</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38.66</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4.49</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27.15</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123</w:t>
            </w:r>
            <w:r>
              <w:rPr>
                <w:rFonts w:hint="eastAsia" w:ascii="宋体" w:hAnsi="宋体" w:eastAsia="宋体" w:cs="宋体"/>
                <w:color w:val="000000"/>
                <w:kern w:val="0"/>
                <w:szCs w:val="20"/>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51.16</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79" w:hRule="exact"/>
        </w:trPr>
        <w:tc>
          <w:tcPr>
            <w:tcW w:w="434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1056.09</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1101011056.08</w:t>
            </w:r>
          </w:p>
        </w:tc>
        <w:tc>
          <w:tcPr>
            <w:tcW w:w="921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461.41</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690" w:hRule="atLeast"/>
        </w:trPr>
        <w:tc>
          <w:tcPr>
            <w:tcW w:w="15376"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345" w:hRule="atLeast"/>
        </w:trPr>
        <w:tc>
          <w:tcPr>
            <w:tcW w:w="93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47"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9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1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5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4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4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690" w:hRule="atLeast"/>
        </w:trPr>
        <w:tc>
          <w:tcPr>
            <w:tcW w:w="93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47"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9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1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5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4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4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459" w:hRule="atLeast"/>
        </w:trPr>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609" w:hRule="atLeast"/>
        </w:trPr>
        <w:tc>
          <w:tcPr>
            <w:tcW w:w="11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409" w:hRule="atLeast"/>
        </w:trPr>
        <w:tc>
          <w:tcPr>
            <w:tcW w:w="11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509" w:hRule="atLeast"/>
        </w:trPr>
        <w:tc>
          <w:tcPr>
            <w:tcW w:w="11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509" w:hRule="atLeast"/>
        </w:trPr>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509" w:hRule="atLeast"/>
        </w:trPr>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509" w:hRule="atLeast"/>
        </w:trPr>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val="0"/>
                <w:bCs w:val="0"/>
                <w:lang w:val="en-US" w:eastAsia="zh-CN"/>
              </w:rPr>
              <w:t>2296002</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509" w:hRule="atLeast"/>
        </w:trPr>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509" w:hRule="atLeast"/>
        </w:trPr>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509" w:hRule="atLeast"/>
        </w:trPr>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8" w:type="dxa"/>
          <w:trHeight w:val="725" w:hRule="atLeast"/>
        </w:trPr>
        <w:tc>
          <w:tcPr>
            <w:tcW w:w="15376"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1632.5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31.74</w:t>
      </w:r>
      <w:r>
        <w:rPr>
          <w:rFonts w:hint="eastAsia" w:ascii="Times New Roman" w:hAnsi="Times New Roman" w:eastAsia="仿宋_GB2312"/>
          <w:sz w:val="32"/>
          <w:szCs w:val="32"/>
        </w:rPr>
        <w:t>%，</w:t>
      </w:r>
      <w:r>
        <w:rPr>
          <w:rFonts w:hint="eastAsia" w:ascii="仿宋" w:hAnsi="仿宋" w:eastAsia="仿宋" w:cs="仿宋"/>
          <w:color w:val="000000"/>
          <w:kern w:val="0"/>
          <w:sz w:val="32"/>
          <w:szCs w:val="32"/>
          <w:lang w:val="en-US" w:eastAsia="zh-CN" w:bidi="ar"/>
        </w:rPr>
        <w:t>主要是因为增加了工资福利及政府性基金等财政拨款收入。</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1632.5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31.74</w:t>
      </w:r>
      <w:r>
        <w:rPr>
          <w:rFonts w:hint="eastAsia" w:ascii="Times New Roman" w:hAnsi="Times New Roman" w:eastAsia="仿宋_GB2312"/>
          <w:sz w:val="32"/>
          <w:szCs w:val="32"/>
        </w:rPr>
        <w:t>%，</w:t>
      </w:r>
      <w:r>
        <w:rPr>
          <w:rFonts w:hint="eastAsia" w:ascii="仿宋" w:hAnsi="仿宋" w:eastAsia="仿宋" w:cs="仿宋"/>
          <w:color w:val="000000"/>
          <w:kern w:val="0"/>
          <w:sz w:val="32"/>
          <w:szCs w:val="32"/>
          <w:lang w:val="en-US" w:eastAsia="zh-CN" w:bidi="ar"/>
        </w:rPr>
        <w:t>主要是因为增加了工资福利及政府性基金等财政拨款收入。</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1632.5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1632.5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1632.5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1550.5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合计</w:t>
      </w:r>
      <w:r>
        <w:rPr>
          <w:rFonts w:hint="eastAsia" w:ascii="Times New Roman" w:hAnsi="Times New Roman" w:eastAsia="仿宋_GB2312"/>
          <w:sz w:val="32"/>
          <w:szCs w:val="32"/>
          <w:lang w:val="en-US" w:eastAsia="zh-CN"/>
        </w:rPr>
        <w:t>1632.5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31.74</w:t>
      </w:r>
      <w:r>
        <w:rPr>
          <w:rFonts w:hint="eastAsia" w:ascii="Times New Roman" w:hAnsi="Times New Roman" w:eastAsia="仿宋_GB2312"/>
          <w:sz w:val="32"/>
          <w:szCs w:val="32"/>
        </w:rPr>
        <w:t>%，</w:t>
      </w:r>
      <w:r>
        <w:rPr>
          <w:rFonts w:hint="eastAsia" w:ascii="仿宋" w:hAnsi="仿宋" w:eastAsia="仿宋" w:cs="仿宋"/>
          <w:color w:val="000000"/>
          <w:kern w:val="0"/>
          <w:sz w:val="32"/>
          <w:szCs w:val="32"/>
          <w:lang w:val="en-US" w:eastAsia="zh-CN" w:bidi="ar"/>
        </w:rPr>
        <w:t>主要是因为增加了工资福利及政府性基金等财政拨款收入。</w:t>
      </w:r>
    </w:p>
    <w:p>
      <w:pPr>
        <w:pStyle w:val="15"/>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合计</w:t>
      </w:r>
      <w:r>
        <w:rPr>
          <w:rFonts w:hint="eastAsia" w:ascii="Times New Roman" w:hAnsi="Times New Roman" w:eastAsia="仿宋_GB2312"/>
          <w:sz w:val="32"/>
          <w:szCs w:val="32"/>
          <w:lang w:val="en-US" w:eastAsia="zh-CN"/>
        </w:rPr>
        <w:t>1632.5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31.74</w:t>
      </w:r>
      <w:r>
        <w:rPr>
          <w:rFonts w:hint="eastAsia" w:ascii="Times New Roman" w:hAnsi="Times New Roman" w:eastAsia="仿宋_GB2312"/>
          <w:sz w:val="32"/>
          <w:szCs w:val="32"/>
        </w:rPr>
        <w:t>%，</w:t>
      </w:r>
      <w:r>
        <w:rPr>
          <w:rFonts w:hint="eastAsia" w:ascii="仿宋" w:hAnsi="仿宋" w:eastAsia="仿宋" w:cs="仿宋"/>
          <w:color w:val="000000"/>
          <w:kern w:val="0"/>
          <w:sz w:val="32"/>
          <w:szCs w:val="32"/>
          <w:lang w:val="en-US" w:eastAsia="zh-CN" w:bidi="ar"/>
        </w:rPr>
        <w:t>主要是因为增加了工资福利及政府性基金等财政拨款收入。</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1599.5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360.3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%，主要是因为</w:t>
      </w:r>
      <w:r>
        <w:rPr>
          <w:rFonts w:hint="eastAsia" w:ascii="仿宋" w:hAnsi="仿宋" w:eastAsia="仿宋" w:cs="仿宋"/>
          <w:color w:val="000000"/>
          <w:kern w:val="0"/>
          <w:sz w:val="32"/>
          <w:szCs w:val="32"/>
          <w:lang w:val="en-US" w:eastAsia="zh-CN" w:bidi="ar"/>
        </w:rPr>
        <w:t>增加了工资福利等财政拨款收入。</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keepNext w:val="0"/>
        <w:keepLines w:val="0"/>
        <w:widowControl/>
        <w:suppressLineNumbers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1599.5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952.77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59.58</w:t>
      </w:r>
      <w:r>
        <w:rPr>
          <w:rFonts w:hint="eastAsia" w:ascii="Times New Roman" w:hAnsi="Times New Roman" w:eastAsia="仿宋_GB2312"/>
          <w:sz w:val="32"/>
          <w:szCs w:val="32"/>
        </w:rPr>
        <w:t>%；</w:t>
      </w:r>
      <w:r>
        <w:rPr>
          <w:rFonts w:hint="eastAsia" w:ascii="仿宋" w:hAnsi="仿宋" w:eastAsia="仿宋" w:cs="仿宋"/>
          <w:color w:val="000000"/>
          <w:kern w:val="0"/>
          <w:sz w:val="32"/>
          <w:szCs w:val="32"/>
          <w:lang w:val="en-US" w:eastAsia="zh-CN" w:bidi="ar"/>
        </w:rPr>
        <w:t>社会保障和就业支出（类）81.83万元，占比 5.11%；卫生健康支出（类）40.66 万元，占比2.54%；农林水支出（类）524.24万元，占比32.77%。</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1599.5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1599.5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1、一般公共服务支出（类）政府办公厅（室）及相关机构事务（款）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年初预算为775.93万元，支出决算为775.93 万元，完成年初预算的100%。</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2、一般公共服务支出（类）政府办公厅（室）及相关机构事务（款）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其他政府办公厅（室）及相关机构事务支出（项）。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年初预算为123 万元，支出决算为123万元，完成年初预算的100%。</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3、一般公共服务支出（类）财政事务（款）行政运行（项）。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 53.83万元，支出决算为 53.83万元，完成年初预算</w:t>
      </w:r>
      <w:r>
        <w:rPr>
          <w:rFonts w:ascii="仿宋" w:hAnsi="仿宋" w:eastAsia="仿宋" w:cs="仿宋"/>
          <w:color w:val="000000"/>
          <w:kern w:val="0"/>
          <w:sz w:val="32"/>
          <w:szCs w:val="32"/>
          <w:lang w:val="en-US" w:eastAsia="zh-CN" w:bidi="ar"/>
        </w:rPr>
        <w:t xml:space="preserve">的 100%。 </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4、社会保障和就业支出（类）行政事业单位养老支出（款）机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关事业单位基本养老保险缴费支出（项）。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年初预算为74.78万元，支出决算为 74.78万元，完成年初预算的 100%。</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5、社会保障和就业支出（类）抚恤（款）死亡抚恤（项）。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年初预算为7.06万元，支出决算为 7.06 万元，完成年初预算的 100%。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6、卫生健康支出（类）行政事业单位医疗（款）行政单位医疗</w:t>
      </w:r>
      <w:r>
        <w:rPr>
          <w:rFonts w:ascii="仿宋" w:hAnsi="仿宋" w:eastAsia="仿宋" w:cs="仿宋"/>
          <w:color w:val="000000"/>
          <w:kern w:val="0"/>
          <w:sz w:val="32"/>
          <w:szCs w:val="32"/>
          <w:lang w:val="en-US" w:eastAsia="zh-CN" w:bidi="ar"/>
        </w:rPr>
        <w:t xml:space="preserve">（项）。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年初预算为40.66万元，支出决算为40.66万元，完成年初预算的100%。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7、农林水支出（类）巩固脱贫攻坚成果衔接乡村振兴（款）其他巩固脱贫攻坚成果衔接乡村振兴支出（项）。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年初预算为20万元，支出决算为 20万元，完成年初预算的100%。</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8、农林水支出（类）农村综合改革（款）对村级公益事业建设的补助（项）。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年初预算为62万元，支出决算为62万元，完成年初预算的100%。</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9、农林水支出（类）农村综合改革（款）对村民委员会和村党支部的补助（项）。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 442.24万元，支出决算为442.24万元，完成年初预算的100%。</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1517.5</w:t>
      </w:r>
      <w:r>
        <w:rPr>
          <w:rFonts w:hint="eastAsia" w:ascii="Times New Roman" w:hAnsi="Times New Roman" w:eastAsia="仿宋_GB2312"/>
          <w:sz w:val="32"/>
          <w:szCs w:val="32"/>
        </w:rPr>
        <w:t>万元，其中：</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ascii="仿宋" w:hAnsi="仿宋" w:eastAsia="仿宋" w:cs="仿宋"/>
          <w:b/>
          <w:bCs/>
          <w:color w:val="000000"/>
          <w:kern w:val="0"/>
          <w:sz w:val="32"/>
          <w:szCs w:val="32"/>
          <w:lang w:val="en-US" w:eastAsia="zh-CN" w:bidi="ar"/>
        </w:rPr>
        <w:t>人员经费</w:t>
      </w:r>
      <w:r>
        <w:rPr>
          <w:rFonts w:hint="eastAsia" w:ascii="仿宋" w:hAnsi="仿宋" w:eastAsia="仿宋" w:cs="仿宋"/>
          <w:b/>
          <w:bCs/>
          <w:color w:val="000000"/>
          <w:kern w:val="0"/>
          <w:sz w:val="32"/>
          <w:szCs w:val="32"/>
          <w:lang w:val="en-US" w:eastAsia="zh-CN" w:bidi="ar"/>
        </w:rPr>
        <w:t>1056.09万元，</w:t>
      </w:r>
      <w:r>
        <w:rPr>
          <w:rFonts w:hint="eastAsia" w:ascii="仿宋" w:hAnsi="仿宋" w:eastAsia="仿宋" w:cs="仿宋"/>
          <w:color w:val="000000"/>
          <w:kern w:val="0"/>
          <w:sz w:val="32"/>
          <w:szCs w:val="32"/>
          <w:lang w:val="en-US" w:eastAsia="zh-CN" w:bidi="ar"/>
        </w:rPr>
        <w:t>占基本支出的 69.6%，主要包括：基本工资、津贴补贴、奖金、伙食补助费、机关事业单位基本养老保险缴费、职业年金缴费、职工基本医疗保险缴费、其他社会保障缴费、住房公积金、退休费、抚恤金、生活补助、救济费、奖励金、其他对个人和家庭的补助；</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公用经费461.41万元，</w:t>
      </w:r>
      <w:r>
        <w:rPr>
          <w:rFonts w:hint="eastAsia" w:ascii="仿宋" w:hAnsi="仿宋" w:eastAsia="仿宋" w:cs="仿宋"/>
          <w:color w:val="000000"/>
          <w:kern w:val="0"/>
          <w:sz w:val="32"/>
          <w:szCs w:val="32"/>
          <w:lang w:val="en-US" w:eastAsia="zh-CN" w:bidi="ar"/>
        </w:rPr>
        <w:t xml:space="preserve">占基本支出的 30.4%，主要包括：办公费、印刷费、咨询费、水费、电费、邮电费、物业管理费、差旅费、维修（护）费、会议费、培训费、公务接待费、劳务费、委托业务费、工会经费、福利费、公务用车运行维护费、其他商品和服务支出。 </w:t>
      </w:r>
    </w:p>
    <w:p>
      <w:pPr>
        <w:pStyle w:val="9"/>
      </w:pP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压缩了公务用车支出及公务接待，</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压缩了公务用车维护费</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无法计算增减比率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压缩了公务接待费支出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0.54</w:t>
      </w:r>
      <w:r>
        <w:rPr>
          <w:rFonts w:hint="eastAsia" w:ascii="Times New Roman" w:hAnsi="Times New Roman" w:eastAsia="仿宋_GB2312"/>
          <w:sz w:val="32"/>
          <w:szCs w:val="32"/>
        </w:rPr>
        <w:t>万元，减少的主要原因是</w:t>
      </w:r>
      <w:r>
        <w:rPr>
          <w:rFonts w:hint="eastAsia" w:ascii="Times New Roman" w:hAnsi="Times New Roman" w:eastAsia="仿宋_GB2312"/>
          <w:sz w:val="32"/>
          <w:szCs w:val="32"/>
          <w:lang w:val="en-US" w:eastAsia="zh-CN"/>
        </w:rPr>
        <w:t>压缩了公务接待费支出。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99.78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压缩了公务用车支出，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压缩了公务用车运行维护费。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4.49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4.49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公务车燃油、维修保养、保险等费用</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彩票公益安排支出（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用于社会福利的彩票公益金支出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461.41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pP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4</w:t>
      </w:r>
      <w:r>
        <w:rPr>
          <w:rFonts w:ascii="仿宋" w:hAnsi="仿宋" w:eastAsia="仿宋" w:cs="仿宋"/>
          <w:color w:val="000000"/>
          <w:kern w:val="0"/>
          <w:sz w:val="32"/>
          <w:szCs w:val="32"/>
          <w:lang w:val="en-US" w:eastAsia="zh-CN" w:bidi="ar"/>
        </w:rPr>
        <w:t>年本部门开支会议费</w:t>
      </w:r>
      <w:r>
        <w:rPr>
          <w:rFonts w:hint="eastAsia" w:ascii="仿宋" w:hAnsi="仿宋" w:eastAsia="仿宋" w:cs="仿宋"/>
          <w:color w:val="000000"/>
          <w:kern w:val="0"/>
          <w:sz w:val="32"/>
          <w:szCs w:val="32"/>
          <w:lang w:val="en-US" w:eastAsia="zh-CN" w:bidi="ar"/>
        </w:rPr>
        <w:t>6.18</w:t>
      </w:r>
      <w:r>
        <w:rPr>
          <w:rFonts w:ascii="仿宋" w:hAnsi="仿宋" w:eastAsia="仿宋" w:cs="仿宋"/>
          <w:color w:val="000000"/>
          <w:kern w:val="0"/>
          <w:sz w:val="32"/>
          <w:szCs w:val="32"/>
          <w:lang w:val="en-US" w:eastAsia="zh-CN" w:bidi="ar"/>
        </w:rPr>
        <w:t>万元，用于</w:t>
      </w:r>
      <w:r>
        <w:rPr>
          <w:rFonts w:hint="eastAsia" w:ascii="仿宋" w:hAnsi="仿宋" w:eastAsia="仿宋" w:cs="仿宋"/>
          <w:color w:val="000000"/>
          <w:kern w:val="0"/>
          <w:sz w:val="32"/>
          <w:szCs w:val="32"/>
          <w:lang w:val="en-US" w:eastAsia="zh-CN" w:bidi="ar"/>
        </w:rPr>
        <w:t>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w:t>
      </w:r>
      <w:r>
        <w:rPr>
          <w:rFonts w:ascii="仿宋" w:hAnsi="仿宋" w:eastAsia="仿宋" w:cs="仿宋"/>
          <w:color w:val="000000"/>
          <w:kern w:val="0"/>
          <w:sz w:val="32"/>
          <w:szCs w:val="32"/>
          <w:lang w:val="en-US" w:eastAsia="zh-CN" w:bidi="ar"/>
        </w:rPr>
        <w:t>、农村人居</w:t>
      </w:r>
      <w:r>
        <w:rPr>
          <w:rFonts w:hint="eastAsia" w:ascii="仿宋" w:hAnsi="仿宋" w:eastAsia="仿宋" w:cs="仿宋"/>
          <w:color w:val="000000"/>
          <w:kern w:val="0"/>
          <w:sz w:val="32"/>
          <w:szCs w:val="32"/>
          <w:lang w:val="en-US" w:eastAsia="zh-CN" w:bidi="ar"/>
        </w:rPr>
        <w:t>环境卫生整治、综治维稳、禁毒，党员代表等会议，人数 4896 人次，内容为巩固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与乡村振兴有效衔接、农村人居环境卫生整治、综治维稳、禁毒宣传，党员代表等会议；开支培训费 3.49 万元，用于开展巩固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与乡村振兴有效衔接、党员冬训、农村财务管理等培训，人数 4538人，内容为乡村振兴、党员冬训、农村财务等培训；未举办节庆、晚会、论坛、赛事活动。</w:t>
      </w:r>
    </w:p>
    <w:p>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68.98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pPr>
      <w:r>
        <w:rPr>
          <w:rFonts w:ascii="仿宋" w:hAnsi="仿宋" w:eastAsia="仿宋" w:cs="仿宋"/>
          <w:color w:val="000000"/>
          <w:kern w:val="0"/>
          <w:sz w:val="32"/>
          <w:szCs w:val="32"/>
          <w:lang w:val="en-US" w:eastAsia="zh-CN" w:bidi="ar"/>
        </w:rPr>
        <w:t>本部门预算绩效管理开展情况、绩效目标和绩效评价报告等见附</w:t>
      </w:r>
      <w:r>
        <w:rPr>
          <w:rFonts w:hint="eastAsia" w:ascii="仿宋" w:hAnsi="仿宋" w:eastAsia="仿宋" w:cs="仿宋"/>
          <w:color w:val="000000"/>
          <w:kern w:val="0"/>
          <w:sz w:val="32"/>
          <w:szCs w:val="32"/>
          <w:lang w:val="en-US" w:eastAsia="zh-CN" w:bidi="ar"/>
        </w:rPr>
        <w:t>件。</w:t>
      </w:r>
    </w:p>
    <w:p>
      <w:pPr>
        <w:pStyle w:val="15"/>
        <w:jc w:val="both"/>
        <w:rPr>
          <w:sz w:val="72"/>
          <w:szCs w:val="72"/>
        </w:rPr>
      </w:pPr>
    </w:p>
    <w:p>
      <w:pPr>
        <w:pStyle w:val="15"/>
        <w:jc w:val="center"/>
        <w:rPr>
          <w:sz w:val="72"/>
          <w:szCs w:val="72"/>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1．财政拨款收入：指单位本年度从同级财政部门取得的各类财政</w:t>
      </w:r>
      <w:r>
        <w:rPr>
          <w:rFonts w:hint="eastAsia" w:ascii="仿宋" w:hAnsi="仿宋" w:eastAsia="仿宋" w:cs="仿宋"/>
          <w:color w:val="000000"/>
          <w:kern w:val="0"/>
          <w:sz w:val="32"/>
          <w:szCs w:val="32"/>
          <w:lang w:val="en-US" w:eastAsia="zh-CN" w:bidi="ar"/>
        </w:rPr>
        <w:t xml:space="preserve">拨款。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2．上级补助收入：指事业单位从主管部门和上级单位取得的非财政补助收入。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5．对附属单位补助支出：指事业单位用财政拨款收入之外的收入对附属单位补助发生的支出。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6．经营支出：指事业单位在专业业务活动及其辅助活动之外开展非独立核算经营活动发生的支出。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7．上缴上级支出：指事业单位按照财政部门和主管部门的规定上缴上级单位的支出。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8．项目支出：指在为完成特定的工作任务和事业发展目标所发生的支出。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9．基本支出：指为保障机构正常运转、完成日常工作任务而发生的支出，包括人员经费和公用经费。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10．年末结转和结余资金：指本年度或以前年度预算安排、因客观条件发生变化无法按原计划实施，需要延迟到以后年度按有关规定继续使用的资金。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11．结余分配：指事业单位按规定对非财政拨款结余资金提取的专用基金、缴纳的所得税和转入非财政拨款结余等。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12．年初结转和结余：指单位上年结转本年使用的基本支出结转、项目支出结转和结余和经营结余。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13．使用非财政拨款结余：指事业单位使用非财政拨款结余（原事业基金）弥补当年收支差额的数额。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14．其他收入：指单位取得的除上述“财政拨款收入”、“事业收入”、“经营收入”等以外的各项收入。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15．事业收入：指事业单位开展专业业务活动及其辅助活动取得的收入，事业单位收到的财政专户实际核拨的教育收费等资金在此反映。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16．经营收入：指事业单位在专业业务活动及其辅助活动之外开展非独立核算经营活动取得的收入。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17．附属单位上缴收入：指事业单位附属独立核算单位按照有关规定上缴的收入。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18．一般公共服务支出（类）人大事务（款）行政运行（项）：反映行政单位（包括实行公务员管理的事业单位）的基本支出。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19．一般公共服务支出（类）政协事务（款）行政运行（项）：反映行政单位（包括实行公务员管理的事业单位）的基本 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20．一般公共服务支出（类）政府办公厅（室）及相关机构事务（款）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21．一般公共服务支出（类）财政事务（款）行政运行（项）：反映行政单位（包括实行公务员管理的事业单位）的基本 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22．一般公共服务支出（类）纪检监察事务（款）行政运行（项）：反映行政单位（包括实行公务员管理的事业单位）的基本 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23．一般公共服务支出（类）群众团体事务（款）行政运行（项）：反映行政单位（包括实行公务员管理的事业单位）的基本 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24．一般公共服务支出（类）党委办公厅（室）及相关机构事务（款）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25．科学技术支出（类）其他科学技术支出（款）其他科学技术支出（项）：反映其他科学技术支出中除以上各项外用于科技方面的支出。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26．社会保障和就业支出（类）行政事业单位养老支出（款）机关事业单位基本养老保险缴费支出（项）：反映机关事业单位实施养老保险制度由单位缴纳的基本养老保险费支出。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27．社会保障和就业支出（类）抚恤（款）死亡抚恤（项）：反映按规定用于烈士和牺牲、病故人员家属的一次性和定期 抚恤金、丧葬补助费以及烈士褒扬金。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28．卫生健康支出（类）行政事业单位医疗（款）行政单位医疗（项）：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反映财政部门安排的行政单位（包括实行公务员管理的事业 单位，下同） 基本医疗保险缴费经费，未参加医疗保险的行政 单位的公费医疗经费，按国家规定享受离休人员、红军老战士 待遇人员的医疗经费。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29．城乡社区支出（类）其他城乡社区支出（款）其他城乡社区支出（项）：反映除上述项目以外其他用于城乡社区方面的支出。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30．农林水支出（类）农村综合改革（款）对村民委员会和村党支部的补助（项）：反映各级财政对村民委员会和村党支部的补助支出，以及支持建立县级基本财力保障机制安排的村级组织运转奖补资金。 </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rPr>
          <w:sz w:val="72"/>
          <w:szCs w:val="72"/>
        </w:rPr>
      </w:pP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76EF9"/>
    <w:multiLevelType w:val="singleLevel"/>
    <w:tmpl w:val="CD276EF9"/>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WM5OWQ0ZTI0ZDQwMmVlOWRlOGE1YTc5ZTgzZD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585B24"/>
    <w:rsid w:val="0FE6774D"/>
    <w:rsid w:val="15A2122A"/>
    <w:rsid w:val="1D97DEFF"/>
    <w:rsid w:val="1D9C430E"/>
    <w:rsid w:val="1DFF72E5"/>
    <w:rsid w:val="1EFC6F07"/>
    <w:rsid w:val="2FDF85B8"/>
    <w:rsid w:val="2FFFEE04"/>
    <w:rsid w:val="34DF85B0"/>
    <w:rsid w:val="3B8F36BC"/>
    <w:rsid w:val="3F610269"/>
    <w:rsid w:val="43D13147"/>
    <w:rsid w:val="47DB0BD9"/>
    <w:rsid w:val="491FF225"/>
    <w:rsid w:val="4A2E5547"/>
    <w:rsid w:val="4FC4743C"/>
    <w:rsid w:val="4FFD214C"/>
    <w:rsid w:val="5777D4F5"/>
    <w:rsid w:val="59DD8326"/>
    <w:rsid w:val="5DEF592A"/>
    <w:rsid w:val="5FC6BB1E"/>
    <w:rsid w:val="5FF720F1"/>
    <w:rsid w:val="651C7A08"/>
    <w:rsid w:val="67FF5C0B"/>
    <w:rsid w:val="6B4B0C2D"/>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napToGrid w:val="0"/>
      <w:jc w:val="center"/>
      <w:outlineLvl w:val="0"/>
    </w:pPr>
    <w:rPr>
      <w:rFonts w:ascii="Times New Roman" w:hAnsi="Times New Roman" w:eastAsia="方正小标宋简体"/>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autoRedefine/>
    <w:qFormat/>
    <w:uiPriority w:val="0"/>
    <w:pPr>
      <w:widowControl/>
      <w:shd w:val="clear" w:color="auto" w:fill="FFFFFF"/>
      <w:spacing w:before="100" w:beforeAutospacing="1" w:after="100" w:afterAutospacing="1"/>
      <w:ind w:left="562"/>
      <w:jc w:val="center"/>
    </w:pPr>
    <w:rPr>
      <w:rFonts w:ascii="宋体"/>
      <w:b/>
      <w:bCs/>
      <w:szCs w:val="21"/>
    </w:rPr>
  </w:style>
  <w:style w:type="paragraph" w:styleId="4">
    <w:name w:val="Body Text Indent"/>
    <w:basedOn w:val="1"/>
    <w:next w:val="5"/>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autoRedefine/>
    <w:unhideWhenUsed/>
    <w:qFormat/>
    <w:uiPriority w:val="99"/>
    <w:pPr>
      <w:ind w:firstLine="420" w:firstLineChars="200"/>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autoRedefine/>
    <w:semiHidden/>
    <w:qFormat/>
    <w:uiPriority w:val="0"/>
    <w:pPr>
      <w:snapToGrid w:val="0"/>
      <w:jc w:val="left"/>
    </w:pPr>
    <w:rPr>
      <w:sz w:val="18"/>
      <w:szCs w:val="18"/>
    </w:rPr>
  </w:style>
  <w:style w:type="paragraph" w:styleId="10">
    <w:name w:val="Normal (Web)"/>
    <w:basedOn w:val="1"/>
    <w:autoRedefine/>
    <w:qFormat/>
    <w:uiPriority w:val="99"/>
    <w:pPr>
      <w:spacing w:before="100" w:beforeAutospacing="1" w:after="100" w:afterAutospacing="1"/>
      <w:jc w:val="left"/>
    </w:pPr>
    <w:rPr>
      <w:sz w:val="24"/>
    </w:r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autoRedefine/>
    <w:qFormat/>
    <w:uiPriority w:val="34"/>
    <w:pPr>
      <w:ind w:firstLine="420" w:firstLineChars="200"/>
    </w:pPr>
  </w:style>
  <w:style w:type="character" w:customStyle="1" w:styleId="17">
    <w:name w:val="批注框文本 Char"/>
    <w:basedOn w:val="12"/>
    <w:link w:val="6"/>
    <w:autoRedefine/>
    <w:semiHidden/>
    <w:qFormat/>
    <w:uiPriority w:val="99"/>
    <w:rPr>
      <w:sz w:val="18"/>
      <w:szCs w:val="18"/>
    </w:rPr>
  </w:style>
  <w:style w:type="character" w:customStyle="1" w:styleId="18">
    <w:name w:val="font01"/>
    <w:basedOn w:val="12"/>
    <w:autoRedefine/>
    <w:qFormat/>
    <w:uiPriority w:val="0"/>
    <w:rPr>
      <w:rFonts w:hint="eastAsia" w:ascii="宋体" w:hAnsi="宋体" w:eastAsia="宋体" w:cs="宋体"/>
      <w:color w:val="000000"/>
      <w:sz w:val="22"/>
      <w:szCs w:val="22"/>
      <w:u w:val="none"/>
    </w:rPr>
  </w:style>
  <w:style w:type="character" w:customStyle="1" w:styleId="19">
    <w:name w:val="font21"/>
    <w:basedOn w:val="12"/>
    <w:autoRedefine/>
    <w:qFormat/>
    <w:uiPriority w:val="0"/>
    <w:rPr>
      <w:rFonts w:hint="eastAsia" w:ascii="宋体" w:hAnsi="宋体" w:eastAsia="宋体" w:cs="宋体"/>
      <w:color w:val="000000"/>
      <w:sz w:val="24"/>
      <w:szCs w:val="24"/>
      <w:u w:val="none"/>
    </w:rPr>
  </w:style>
  <w:style w:type="character" w:customStyle="1" w:styleId="20">
    <w:name w:val="font11"/>
    <w:basedOn w:val="12"/>
    <w:autoRedefine/>
    <w:qFormat/>
    <w:uiPriority w:val="0"/>
    <w:rPr>
      <w:rFonts w:hint="eastAsia" w:ascii="宋体" w:hAnsi="宋体" w:eastAsia="宋体" w:cs="宋体"/>
      <w:color w:val="000000"/>
      <w:sz w:val="24"/>
      <w:szCs w:val="24"/>
      <w:u w:val="none"/>
    </w:rPr>
  </w:style>
  <w:style w:type="paragraph" w:customStyle="1" w:styleId="21">
    <w:name w:val="排版"/>
    <w:basedOn w:val="1"/>
    <w:autoRedefine/>
    <w:qFormat/>
    <w:uiPriority w:val="99"/>
    <w:pPr>
      <w:spacing w:before="300" w:after="150" w:line="580" w:lineRule="exact"/>
      <w:ind w:firstLine="640" w:firstLineChars="200"/>
    </w:pPr>
    <w:rPr>
      <w:rFonts w:ascii="仿宋" w:hAnsi="仿宋"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14510</Words>
  <Characters>16558</Characters>
  <Lines>63</Lines>
  <Paragraphs>18</Paragraphs>
  <TotalTime>0</TotalTime>
  <ScaleCrop>false</ScaleCrop>
  <LinksUpToDate>false</LinksUpToDate>
  <CharactersWithSpaces>17751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道县营江街道办事处</cp:lastModifiedBy>
  <cp:lastPrinted>2024-08-08T10:20:00Z</cp:lastPrinted>
  <dcterms:modified xsi:type="dcterms:W3CDTF">2025-08-25T03:17:13Z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EDFB0589D0CC4598815FEC3B329E71E6_13</vt:lpwstr>
  </property>
</Properties>
</file>