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7E04F">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2024年道县文化馆</w:t>
      </w:r>
    </w:p>
    <w:p w14:paraId="7B588447">
      <w:pPr>
        <w:jc w:val="center"/>
        <w:rPr>
          <w:rFonts w:ascii="仿宋" w:hAnsi="仿宋" w:eastAsia="仿宋" w:cs="仿宋"/>
          <w:b/>
          <w:bCs/>
          <w:sz w:val="44"/>
          <w:szCs w:val="44"/>
        </w:rPr>
      </w:pPr>
      <w:r>
        <w:rPr>
          <w:rFonts w:hint="eastAsia" w:ascii="方正小标宋简体" w:hAnsi="方正小标宋简体" w:eastAsia="方正小标宋简体" w:cs="方正小标宋简体"/>
          <w:sz w:val="44"/>
          <w:szCs w:val="44"/>
          <w:lang w:val="en-US" w:eastAsia="zh-CN"/>
        </w:rPr>
        <w:t>整体支出绩效自评报告</w:t>
      </w:r>
    </w:p>
    <w:p w14:paraId="7C77984E">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一、基本情况</w:t>
      </w:r>
    </w:p>
    <w:p w14:paraId="7E898868">
      <w:pPr>
        <w:ind w:firstLine="640" w:firstLineChars="200"/>
        <w:rPr>
          <w:rFonts w:hint="eastAsia" w:ascii="宋体" w:hAnsi="宋体" w:eastAsia="宋体" w:cs="宋体"/>
          <w:sz w:val="32"/>
          <w:szCs w:val="32"/>
        </w:rPr>
      </w:pPr>
      <w:r>
        <w:rPr>
          <w:rFonts w:hint="eastAsia" w:ascii="宋体" w:hAnsi="宋体" w:eastAsia="宋体" w:cs="宋体"/>
          <w:sz w:val="32"/>
          <w:szCs w:val="32"/>
        </w:rPr>
        <w:t>(一）部门（单位）基本情况</w:t>
      </w:r>
    </w:p>
    <w:p w14:paraId="509B3FB6">
      <w:pPr>
        <w:ind w:firstLine="640" w:firstLineChars="200"/>
        <w:rPr>
          <w:rFonts w:hint="eastAsia" w:ascii="宋体" w:hAnsi="宋体" w:eastAsia="宋体" w:cs="宋体"/>
          <w:sz w:val="32"/>
          <w:szCs w:val="32"/>
        </w:rPr>
      </w:pPr>
      <w:r>
        <w:rPr>
          <w:rFonts w:hint="eastAsia" w:ascii="宋体" w:hAnsi="宋体" w:eastAsia="宋体" w:cs="宋体"/>
          <w:sz w:val="32"/>
          <w:szCs w:val="32"/>
        </w:rPr>
        <w:t>人员概括：本单位属财政全额拨款公益性事业单位，核定事业编制12名，现有在职人员10人。其中高级职称</w:t>
      </w:r>
      <w:r>
        <w:rPr>
          <w:rFonts w:hint="eastAsia" w:ascii="宋体" w:hAnsi="宋体" w:eastAsia="宋体" w:cs="宋体"/>
          <w:sz w:val="32"/>
          <w:szCs w:val="32"/>
          <w:lang w:eastAsia="zh-CN"/>
        </w:rPr>
        <w:t>3</w:t>
      </w:r>
      <w:r>
        <w:rPr>
          <w:rFonts w:hint="eastAsia" w:ascii="宋体" w:hAnsi="宋体" w:eastAsia="宋体" w:cs="宋体"/>
          <w:sz w:val="32"/>
          <w:szCs w:val="32"/>
        </w:rPr>
        <w:t>人，中级职称3人，初级职称</w:t>
      </w:r>
      <w:r>
        <w:rPr>
          <w:rFonts w:hint="eastAsia" w:ascii="宋体" w:hAnsi="宋体" w:eastAsia="宋体" w:cs="宋体"/>
          <w:sz w:val="32"/>
          <w:szCs w:val="32"/>
          <w:lang w:eastAsia="zh-CN"/>
        </w:rPr>
        <w:t>3</w:t>
      </w:r>
      <w:r>
        <w:rPr>
          <w:rFonts w:hint="eastAsia" w:ascii="宋体" w:hAnsi="宋体" w:eastAsia="宋体" w:cs="宋体"/>
          <w:sz w:val="32"/>
          <w:szCs w:val="32"/>
        </w:rPr>
        <w:t>人，工勤人员1人。</w:t>
      </w:r>
    </w:p>
    <w:p w14:paraId="2BB3DE4C">
      <w:pPr>
        <w:ind w:firstLine="640" w:firstLineChars="200"/>
        <w:rPr>
          <w:rFonts w:hint="eastAsia" w:ascii="宋体" w:hAnsi="宋体" w:eastAsia="宋体" w:cs="宋体"/>
          <w:sz w:val="32"/>
          <w:szCs w:val="32"/>
        </w:rPr>
      </w:pPr>
      <w:r>
        <w:rPr>
          <w:rFonts w:hint="eastAsia" w:ascii="宋体" w:hAnsi="宋体" w:eastAsia="宋体" w:cs="宋体"/>
          <w:sz w:val="32"/>
          <w:szCs w:val="32"/>
        </w:rPr>
        <w:t>主要职能 ：</w:t>
      </w:r>
    </w:p>
    <w:p w14:paraId="5766095E">
      <w:pPr>
        <w:numPr>
          <w:ilvl w:val="0"/>
          <w:numId w:val="1"/>
        </w:numPr>
        <w:ind w:firstLine="640" w:firstLineChars="200"/>
        <w:rPr>
          <w:rFonts w:hint="eastAsia" w:ascii="宋体" w:hAnsi="宋体" w:eastAsia="宋体" w:cs="宋体"/>
          <w:sz w:val="32"/>
          <w:szCs w:val="32"/>
        </w:rPr>
      </w:pPr>
      <w:r>
        <w:rPr>
          <w:rFonts w:hint="eastAsia" w:ascii="宋体" w:hAnsi="宋体" w:eastAsia="宋体" w:cs="宋体"/>
          <w:sz w:val="32"/>
          <w:szCs w:val="32"/>
        </w:rPr>
        <w:t>宣传贯彻落实党和国家文化方针、政策和法令。</w:t>
      </w:r>
    </w:p>
    <w:p w14:paraId="040FFC19">
      <w:pPr>
        <w:numPr>
          <w:ilvl w:val="0"/>
          <w:numId w:val="1"/>
        </w:numPr>
        <w:ind w:firstLine="640" w:firstLineChars="200"/>
        <w:rPr>
          <w:rFonts w:hint="eastAsia" w:ascii="宋体" w:hAnsi="宋体" w:eastAsia="宋体" w:cs="宋体"/>
          <w:sz w:val="32"/>
          <w:szCs w:val="32"/>
        </w:rPr>
      </w:pPr>
      <w:r>
        <w:rPr>
          <w:rFonts w:hint="eastAsia" w:ascii="宋体" w:hAnsi="宋体" w:eastAsia="宋体" w:cs="宋体"/>
          <w:sz w:val="32"/>
          <w:szCs w:val="32"/>
        </w:rPr>
        <w:t>开展健康有益的群文活动。</w:t>
      </w:r>
    </w:p>
    <w:p w14:paraId="586FD022">
      <w:pPr>
        <w:numPr>
          <w:ilvl w:val="0"/>
          <w:numId w:val="1"/>
        </w:numPr>
        <w:ind w:firstLine="640" w:firstLineChars="200"/>
        <w:rPr>
          <w:rFonts w:hint="eastAsia" w:ascii="宋体" w:hAnsi="宋体" w:eastAsia="宋体" w:cs="宋体"/>
          <w:sz w:val="32"/>
          <w:szCs w:val="32"/>
        </w:rPr>
      </w:pPr>
      <w:r>
        <w:rPr>
          <w:rFonts w:hint="eastAsia" w:ascii="宋体" w:hAnsi="宋体" w:eastAsia="宋体" w:cs="宋体"/>
          <w:sz w:val="32"/>
          <w:szCs w:val="32"/>
        </w:rPr>
        <w:t>组织和开展群文理论研究，举办各类文艺培训班。</w:t>
      </w:r>
    </w:p>
    <w:p w14:paraId="24586C1C">
      <w:pPr>
        <w:numPr>
          <w:ilvl w:val="0"/>
          <w:numId w:val="1"/>
        </w:numPr>
        <w:ind w:firstLine="640" w:firstLineChars="200"/>
        <w:rPr>
          <w:rFonts w:hint="eastAsia" w:ascii="宋体" w:hAnsi="宋体" w:eastAsia="宋体" w:cs="宋体"/>
          <w:sz w:val="32"/>
          <w:szCs w:val="32"/>
        </w:rPr>
      </w:pPr>
      <w:r>
        <w:rPr>
          <w:rFonts w:hint="eastAsia" w:ascii="宋体" w:hAnsi="宋体" w:eastAsia="宋体" w:cs="宋体"/>
          <w:sz w:val="32"/>
          <w:szCs w:val="32"/>
        </w:rPr>
        <w:t>组织群众文艺作品创作，重点打造精品力作。</w:t>
      </w:r>
    </w:p>
    <w:p w14:paraId="6C332B21">
      <w:pPr>
        <w:numPr>
          <w:ilvl w:val="0"/>
          <w:numId w:val="1"/>
        </w:numPr>
        <w:ind w:firstLine="640" w:firstLineChars="200"/>
        <w:rPr>
          <w:rFonts w:hint="eastAsia" w:ascii="宋体" w:hAnsi="宋体" w:eastAsia="宋体" w:cs="宋体"/>
          <w:sz w:val="32"/>
          <w:szCs w:val="32"/>
        </w:rPr>
      </w:pPr>
      <w:r>
        <w:rPr>
          <w:rFonts w:hint="eastAsia" w:ascii="宋体" w:hAnsi="宋体" w:eastAsia="宋体" w:cs="宋体"/>
          <w:sz w:val="32"/>
          <w:szCs w:val="32"/>
        </w:rPr>
        <w:t>搜集整理、保护民族民间文化艺术遗产。</w:t>
      </w:r>
    </w:p>
    <w:p w14:paraId="2C6DAD3A">
      <w:pPr>
        <w:ind w:left="600" w:firstLine="640" w:firstLineChars="200"/>
        <w:rPr>
          <w:rFonts w:hint="eastAsia" w:ascii="宋体" w:hAnsi="宋体" w:eastAsia="宋体" w:cs="宋体"/>
          <w:sz w:val="32"/>
          <w:szCs w:val="32"/>
        </w:rPr>
      </w:pPr>
      <w:r>
        <w:rPr>
          <w:rFonts w:hint="eastAsia" w:ascii="宋体" w:hAnsi="宋体" w:eastAsia="宋体" w:cs="宋体"/>
          <w:sz w:val="32"/>
          <w:szCs w:val="32"/>
        </w:rPr>
        <w:t>6、健全群众文化艺术档案及重点工作计划等。</w:t>
      </w:r>
    </w:p>
    <w:p w14:paraId="50F37AB0">
      <w:pPr>
        <w:ind w:firstLine="640" w:firstLineChars="200"/>
        <w:rPr>
          <w:rFonts w:hint="eastAsia" w:ascii="宋体" w:hAnsi="宋体" w:eastAsia="宋体" w:cs="宋体"/>
          <w:sz w:val="32"/>
          <w:szCs w:val="32"/>
        </w:rPr>
      </w:pPr>
      <w:r>
        <w:rPr>
          <w:rFonts w:hint="eastAsia" w:ascii="宋体" w:hAnsi="宋体" w:eastAsia="宋体" w:cs="宋体"/>
          <w:sz w:val="32"/>
          <w:szCs w:val="32"/>
        </w:rPr>
        <w:t>（二）部门（单位）年度整体支出绩效目标，省级专项资金绩效目标、其他项目支出（除省级专项资金以外）绩效目标</w:t>
      </w:r>
    </w:p>
    <w:p w14:paraId="61C86BC6">
      <w:pPr>
        <w:ind w:left="150" w:firstLine="640" w:firstLineChars="200"/>
        <w:rPr>
          <w:rFonts w:hint="eastAsia" w:ascii="宋体" w:hAnsi="宋体" w:eastAsia="宋体" w:cs="宋体"/>
          <w:sz w:val="32"/>
          <w:szCs w:val="32"/>
        </w:rPr>
      </w:pPr>
      <w:r>
        <w:rPr>
          <w:rFonts w:hint="eastAsia" w:ascii="宋体" w:hAnsi="宋体" w:eastAsia="宋体" w:cs="宋体"/>
          <w:sz w:val="32"/>
          <w:szCs w:val="32"/>
        </w:rPr>
        <w:t>1、年度总体支出绩效目标：</w:t>
      </w:r>
    </w:p>
    <w:p w14:paraId="20E68F3C">
      <w:pPr>
        <w:ind w:firstLine="640" w:firstLineChars="200"/>
        <w:rPr>
          <w:rFonts w:hint="eastAsia" w:ascii="宋体" w:hAnsi="宋体" w:eastAsia="宋体" w:cs="宋体"/>
          <w:sz w:val="32"/>
          <w:szCs w:val="32"/>
        </w:rPr>
      </w:pPr>
      <w:r>
        <w:rPr>
          <w:rFonts w:hint="eastAsia" w:ascii="宋体" w:hAnsi="宋体" w:eastAsia="宋体" w:cs="宋体"/>
          <w:sz w:val="32"/>
          <w:szCs w:val="32"/>
        </w:rPr>
        <w:t>目标1：参加湖南省第七届艺术节，获得省艺术节摄影类优秀作品1幅，群文舞蹈类节目《月亮了》获优秀作品奖。《忠诚》获最佳作品奖。</w:t>
      </w:r>
    </w:p>
    <w:p w14:paraId="40125B58">
      <w:pPr>
        <w:ind w:firstLine="640" w:firstLineChars="200"/>
        <w:rPr>
          <w:rFonts w:hint="eastAsia" w:ascii="宋体" w:hAnsi="宋体" w:eastAsia="宋体" w:cs="宋体"/>
          <w:sz w:val="32"/>
          <w:szCs w:val="32"/>
        </w:rPr>
      </w:pPr>
      <w:r>
        <w:rPr>
          <w:rFonts w:hint="eastAsia" w:ascii="宋体" w:hAnsi="宋体" w:eastAsia="宋体" w:cs="宋体"/>
          <w:sz w:val="32"/>
          <w:szCs w:val="32"/>
        </w:rPr>
        <w:t>目标2：完成流动服务演出14场，非遗摄影展10场。</w:t>
      </w:r>
    </w:p>
    <w:p w14:paraId="22313EC2">
      <w:pPr>
        <w:ind w:firstLine="640" w:firstLineChars="200"/>
        <w:rPr>
          <w:rFonts w:hint="eastAsia" w:ascii="宋体" w:hAnsi="宋体" w:eastAsia="宋体" w:cs="宋体"/>
          <w:sz w:val="32"/>
          <w:szCs w:val="32"/>
        </w:rPr>
      </w:pPr>
      <w:r>
        <w:rPr>
          <w:rFonts w:hint="eastAsia" w:ascii="宋体" w:hAnsi="宋体" w:eastAsia="宋体" w:cs="宋体"/>
          <w:sz w:val="32"/>
          <w:szCs w:val="32"/>
        </w:rPr>
        <w:t>目标3：完成免费开放各类培训班各三期，人民群众文化水平得到提高。</w:t>
      </w:r>
    </w:p>
    <w:p w14:paraId="1D413151">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二、一般公共预算支出情况</w:t>
      </w:r>
    </w:p>
    <w:p w14:paraId="11A57B1F">
      <w:pPr>
        <w:ind w:firstLine="640" w:firstLineChars="200"/>
        <w:rPr>
          <w:rFonts w:hint="eastAsia" w:ascii="宋体" w:hAnsi="宋体" w:eastAsia="宋体" w:cs="宋体"/>
          <w:sz w:val="32"/>
          <w:szCs w:val="32"/>
        </w:rPr>
      </w:pPr>
      <w:r>
        <w:rPr>
          <w:rFonts w:hint="eastAsia" w:ascii="宋体" w:hAnsi="宋体" w:eastAsia="宋体" w:cs="宋体"/>
          <w:sz w:val="32"/>
          <w:szCs w:val="32"/>
        </w:rPr>
        <w:t>2024年文化馆整体支出194.59万元。一般公共预算财政拨款收入194.59万元。</w:t>
      </w:r>
    </w:p>
    <w:p w14:paraId="241C5E9A">
      <w:pPr>
        <w:numPr>
          <w:ilvl w:val="0"/>
          <w:numId w:val="2"/>
        </w:numPr>
        <w:ind w:firstLine="640" w:firstLineChars="200"/>
        <w:rPr>
          <w:rFonts w:hint="eastAsia" w:ascii="宋体" w:hAnsi="宋体" w:eastAsia="宋体" w:cs="宋体"/>
          <w:sz w:val="32"/>
          <w:szCs w:val="32"/>
        </w:rPr>
      </w:pPr>
      <w:r>
        <w:rPr>
          <w:rFonts w:hint="eastAsia" w:ascii="宋体" w:hAnsi="宋体" w:eastAsia="宋体" w:cs="宋体"/>
          <w:sz w:val="32"/>
          <w:szCs w:val="32"/>
        </w:rPr>
        <w:t>基本支出情况：基本支出127.39万元，其中：基本工资42.65万元，奖金17.92万元,绩效工资26.28万元,基本医疗保险经费7.73万元，养老保险15.7万元,住房公积金7.11万元。一般商品服务支出10万元：办公费5万元，水费0.2万元，电费1万元，公务接待费0.15万元，工会经费3万元，其他商品服务支出0.65万元。</w:t>
      </w:r>
    </w:p>
    <w:p w14:paraId="633B4D88">
      <w:pPr>
        <w:ind w:firstLine="640" w:firstLineChars="200"/>
        <w:rPr>
          <w:rFonts w:hint="eastAsia" w:ascii="宋体" w:hAnsi="宋体" w:eastAsia="宋体" w:cs="宋体"/>
          <w:sz w:val="32"/>
          <w:szCs w:val="32"/>
        </w:rPr>
      </w:pPr>
      <w:r>
        <w:rPr>
          <w:rFonts w:hint="eastAsia" w:ascii="宋体" w:hAnsi="宋体" w:eastAsia="宋体" w:cs="宋体"/>
          <w:sz w:val="32"/>
          <w:szCs w:val="32"/>
        </w:rPr>
        <w:t>（二）项目支出情况：2024年决算数为67.2万元，其中：“三馆一站免费开放资金”20万元；非物质文化传承与保护22万元；非物质文化宣传及申报10.2万元;流动车日常运行维护费用5万元；书画进万家5万元;2024年少儿音乐舞蹈大赛5万元。</w:t>
      </w:r>
    </w:p>
    <w:p w14:paraId="348D1119">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三、政府性基金预算支出情况</w:t>
      </w:r>
    </w:p>
    <w:p w14:paraId="6914182B">
      <w:pPr>
        <w:ind w:firstLine="640" w:firstLineChars="200"/>
        <w:rPr>
          <w:rFonts w:hint="eastAsia" w:ascii="宋体" w:hAnsi="宋体" w:eastAsia="宋体" w:cs="宋体"/>
          <w:sz w:val="32"/>
          <w:szCs w:val="32"/>
        </w:rPr>
      </w:pPr>
      <w:r>
        <w:rPr>
          <w:rFonts w:hint="eastAsia" w:ascii="宋体" w:hAnsi="宋体" w:eastAsia="宋体" w:cs="宋体"/>
          <w:sz w:val="32"/>
          <w:szCs w:val="32"/>
        </w:rPr>
        <w:t>道县文化馆2024年无政府性基金预算。</w:t>
      </w:r>
    </w:p>
    <w:p w14:paraId="16A88C9A">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四、国有资本经营预算支出情况</w:t>
      </w:r>
    </w:p>
    <w:p w14:paraId="0D9FA958">
      <w:pPr>
        <w:ind w:firstLine="640" w:firstLineChars="200"/>
        <w:rPr>
          <w:rFonts w:hint="eastAsia" w:ascii="宋体" w:hAnsi="宋体" w:eastAsia="宋体" w:cs="宋体"/>
          <w:b/>
          <w:bCs/>
          <w:sz w:val="32"/>
          <w:szCs w:val="32"/>
        </w:rPr>
      </w:pPr>
      <w:r>
        <w:rPr>
          <w:rFonts w:hint="eastAsia" w:ascii="宋体" w:hAnsi="宋体" w:eastAsia="宋体" w:cs="宋体"/>
          <w:sz w:val="32"/>
          <w:szCs w:val="32"/>
        </w:rPr>
        <w:t>道县文化馆2024年无国有资本经营预算支出。</w:t>
      </w:r>
    </w:p>
    <w:p w14:paraId="7CBAAB87">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五、社会保险基金预算支出情况</w:t>
      </w:r>
    </w:p>
    <w:p w14:paraId="4D8BC60C">
      <w:pPr>
        <w:ind w:firstLine="640" w:firstLineChars="200"/>
        <w:rPr>
          <w:rFonts w:hint="eastAsia" w:ascii="宋体" w:hAnsi="宋体" w:eastAsia="宋体" w:cs="宋体"/>
          <w:sz w:val="32"/>
          <w:szCs w:val="32"/>
        </w:rPr>
      </w:pPr>
      <w:r>
        <w:rPr>
          <w:rFonts w:hint="eastAsia" w:ascii="宋体" w:hAnsi="宋体" w:eastAsia="宋体" w:cs="宋体"/>
          <w:sz w:val="32"/>
          <w:szCs w:val="32"/>
        </w:rPr>
        <w:t>道县文化馆2024年无社会保险基金预算支出。</w:t>
      </w:r>
    </w:p>
    <w:p w14:paraId="336C37AE">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六、部门整体支出绩效情况</w:t>
      </w:r>
    </w:p>
    <w:p w14:paraId="5D260334">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2024年，各个项目的实施，使得社会效益显著，有利于繁荣地方经济和群众文化生活，既加快了我县公共文化事业的发展进程，又提高了广大人民群众的文化艺术水平，获得了经济效益与社会效益的双丰收，同时为我县的群众文化事业可持续发展提供了社会资本积累，社会公众满意度非常高，社会可行性良好。</w:t>
      </w:r>
    </w:p>
    <w:p w14:paraId="799E49BB">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一）加强业务工作，全面开展群众文化活动</w:t>
      </w:r>
    </w:p>
    <w:p w14:paraId="6E24A9BE">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文化馆是展示群众文化活动的平台，在各项文化活动的开展中,我们积极探索新方法,多渠道开展活动。开展“送戏曲进万村”文艺演出活动,组织文化志愿者</w:t>
      </w:r>
      <w:bookmarkStart w:id="0" w:name="_GoBack"/>
      <w:bookmarkEnd w:id="0"/>
      <w:r>
        <w:rPr>
          <w:rFonts w:hint="eastAsia" w:ascii="宋体" w:hAnsi="宋体" w:eastAsia="宋体" w:cs="宋体"/>
          <w:color w:val="333333"/>
          <w:kern w:val="0"/>
          <w:sz w:val="32"/>
          <w:szCs w:val="32"/>
        </w:rPr>
        <w:t>们积极组织参与“迎新春  送春联”、“送春联进社区”、“3.5学雷锋志愿服务月”“凝聚爱的力量，关注特殊群体”“文明创建日”等主题实践活动启动仪式等，全年组织志愿者开展志愿活动9次。道县文化馆协办“我唱山歌给党听”全县庆祝中国共产党成立100周年大合唱比赛活动。</w:t>
      </w:r>
    </w:p>
    <w:p w14:paraId="7A5CFD81">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二）非遗工作持续推进，加大非遗传承项目宣传力度</w:t>
      </w:r>
    </w:p>
    <w:p w14:paraId="5428FCF2">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开展“非遗进景区”、“进社区”流动展览4场、展演3场，“非遗进校园”展演2场，展览2场、举办“第三届道州工匠职业技能大赛暨非物质文化遗产道州调子戏大赛展演”、举办道州龙船龙头捐赠仪式，捐赠活动共收到14个社区（村）捐赠的道州龙船龙头四大类共21个，龙头经修复后，将收藏在县文化馆道州龙船展览室展出。邀请4名调子戏传承人免费开放调子戏传承人培训班2期，参与培训20人次。为道州调子戏的可持续发展打下坚实基础。持续开展非遗保护工作，重视逐级申报工作，完成“土法榨茶油技艺”省级申报工作，完成了“道州龙船基地-船头制作基地”、“道州龙船基地-船身制作基地”以及“道州小龙船”非遗保护基地的申报工作。</w:t>
      </w:r>
    </w:p>
    <w:p w14:paraId="5B05EE9A">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三）广开艺术门类，积极开展辅导、培育文艺人才。</w:t>
      </w:r>
    </w:p>
    <w:p w14:paraId="1CEAF412">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推动文化馆免费开放是政府为全社会提供公共文化服务水平的重要举措，2023年道县文化馆共开设免费网络线上培训3次，从新春开放线上课堂起，线上参与人次截至目前达120余次。发布线下培训视频4个。道县合唱团通过电话预约方式，预约文化馆培训室开展合唱训练。免费培训班两期，各类免费培训班16个班次，通过线上预约、线下授课的方式，开展免费开放培训。免费开放的培训有舞蹈、声乐、旗袍、古筝、吉他、调子戏、架子鼓。因受疫情影响，全年共计培训90万人次。</w:t>
      </w:r>
    </w:p>
    <w:p w14:paraId="55FB6D50">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七、存在的问题及原因分析</w:t>
      </w:r>
    </w:p>
    <w:p w14:paraId="1FC66A92">
      <w:pPr>
        <w:pStyle w:val="6"/>
        <w:widowControl/>
        <w:spacing w:beforeAutospacing="0" w:afterAutospacing="0" w:line="33" w:lineRule="atLeast"/>
        <w:ind w:firstLine="640" w:firstLineChars="200"/>
        <w:jc w:val="both"/>
        <w:rPr>
          <w:rFonts w:hint="eastAsia" w:ascii="宋体" w:hAnsi="宋体" w:eastAsia="宋体" w:cs="宋体"/>
          <w:color w:val="333333"/>
          <w:sz w:val="32"/>
          <w:szCs w:val="32"/>
        </w:rPr>
      </w:pPr>
      <w:r>
        <w:rPr>
          <w:rFonts w:hint="eastAsia" w:ascii="宋体" w:hAnsi="宋体" w:eastAsia="宋体" w:cs="宋体"/>
          <w:color w:val="333333"/>
          <w:sz w:val="32"/>
          <w:szCs w:val="32"/>
        </w:rPr>
        <w:t>专项资金拨付不及时，资金使用与专项工作运行时间不对口，凸显出账目不规范。</w:t>
      </w:r>
    </w:p>
    <w:p w14:paraId="57B55C9E">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八、下一步改进措施</w:t>
      </w:r>
    </w:p>
    <w:p w14:paraId="57F38811">
      <w:pPr>
        <w:ind w:firstLine="640" w:firstLineChars="200"/>
        <w:rPr>
          <w:rFonts w:hint="eastAsia" w:ascii="宋体" w:hAnsi="宋体" w:eastAsia="宋体" w:cs="宋体"/>
          <w:sz w:val="32"/>
          <w:szCs w:val="32"/>
        </w:rPr>
      </w:pPr>
      <w:r>
        <w:rPr>
          <w:rFonts w:hint="eastAsia" w:ascii="宋体" w:hAnsi="宋体" w:eastAsia="宋体" w:cs="宋体"/>
          <w:sz w:val="32"/>
          <w:szCs w:val="32"/>
        </w:rPr>
        <w:t>1、严格按照《会计法》、《行政事业单位会计制度》等规定执行财务核算，结合实际情况，完整、准确披露相关信息，做到决算和预算相结合。</w:t>
      </w:r>
    </w:p>
    <w:p w14:paraId="16C3A490">
      <w:pPr>
        <w:ind w:firstLine="640" w:firstLineChars="200"/>
        <w:rPr>
          <w:rFonts w:hint="eastAsia" w:ascii="宋体" w:hAnsi="宋体" w:eastAsia="宋体" w:cs="宋体"/>
          <w:sz w:val="32"/>
          <w:szCs w:val="32"/>
        </w:rPr>
      </w:pPr>
      <w:r>
        <w:rPr>
          <w:rFonts w:hint="eastAsia" w:ascii="宋体" w:hAnsi="宋体" w:eastAsia="宋体" w:cs="宋体"/>
          <w:sz w:val="32"/>
          <w:szCs w:val="32"/>
        </w:rPr>
        <w:t>2、加强资金的使用管理，让各类资金用到实处。</w:t>
      </w:r>
    </w:p>
    <w:p w14:paraId="1323C5BD">
      <w:pPr>
        <w:ind w:firstLine="640" w:firstLineChars="200"/>
        <w:rPr>
          <w:rFonts w:hint="eastAsia" w:ascii="宋体" w:hAnsi="宋体" w:eastAsia="宋体" w:cs="宋体"/>
          <w:sz w:val="32"/>
          <w:szCs w:val="32"/>
        </w:rPr>
      </w:pPr>
      <w:r>
        <w:rPr>
          <w:rFonts w:hint="eastAsia" w:ascii="宋体" w:hAnsi="宋体" w:eastAsia="宋体" w:cs="宋体"/>
          <w:color w:val="000000"/>
          <w:sz w:val="32"/>
          <w:szCs w:val="32"/>
        </w:rPr>
        <w:t>3、加强队伍建设，抓好绩效评价管理部门的队伍建设和业务指导，培养部门的绩效管理队伍，建立绩效评价的长期机制</w:t>
      </w:r>
      <w:r>
        <w:rPr>
          <w:rFonts w:hint="eastAsia" w:ascii="宋体" w:hAnsi="宋体" w:eastAsia="宋体" w:cs="宋体"/>
          <w:sz w:val="32"/>
          <w:szCs w:val="32"/>
        </w:rPr>
        <w:t>。</w:t>
      </w:r>
    </w:p>
    <w:p w14:paraId="6903F5A3">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九、绩效自评结果拟应用和公开情况</w:t>
      </w:r>
    </w:p>
    <w:p w14:paraId="47B7346E">
      <w:pPr>
        <w:ind w:firstLine="640" w:firstLineChars="200"/>
        <w:rPr>
          <w:rFonts w:hint="eastAsia" w:ascii="宋体" w:hAnsi="宋体" w:eastAsia="宋体" w:cs="宋体"/>
          <w:sz w:val="32"/>
          <w:szCs w:val="32"/>
        </w:rPr>
      </w:pPr>
      <w:r>
        <w:rPr>
          <w:rFonts w:hint="eastAsia" w:ascii="宋体" w:hAnsi="宋体" w:eastAsia="宋体" w:cs="宋体"/>
          <w:sz w:val="32"/>
          <w:szCs w:val="32"/>
        </w:rPr>
        <w:t>本年度绩效自评结果为98分。按规定时间内将2024年度专项资金绩效自评报告、整体部门支出绩效自评报告在网站公开，并接受社会监督。</w:t>
      </w:r>
    </w:p>
    <w:p w14:paraId="29A9F744">
      <w:pPr>
        <w:ind w:firstLine="640" w:firstLineChars="200"/>
        <w:jc w:val="center"/>
        <w:rPr>
          <w:rFonts w:hint="eastAsia" w:ascii="宋体" w:hAnsi="宋体" w:eastAsia="宋体" w:cs="宋体"/>
          <w:sz w:val="32"/>
          <w:szCs w:val="32"/>
        </w:rPr>
      </w:pP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道县文化馆</w:t>
      </w:r>
    </w:p>
    <w:p w14:paraId="4FEEAF84">
      <w:pPr>
        <w:ind w:firstLine="640" w:firstLineChars="200"/>
        <w:jc w:val="right"/>
        <w:rPr>
          <w:rFonts w:hint="eastAsia" w:ascii="宋体" w:hAnsi="宋体" w:eastAsia="宋体" w:cs="宋体"/>
          <w:sz w:val="32"/>
          <w:szCs w:val="32"/>
        </w:rPr>
      </w:pPr>
      <w:r>
        <w:rPr>
          <w:rFonts w:hint="eastAsia" w:ascii="宋体" w:hAnsi="宋体" w:eastAsia="宋体" w:cs="宋体"/>
          <w:sz w:val="32"/>
          <w:szCs w:val="32"/>
        </w:rPr>
        <w:t>202</w:t>
      </w:r>
      <w:r>
        <w:rPr>
          <w:rFonts w:hint="eastAsia" w:ascii="宋体" w:hAnsi="宋体" w:eastAsia="宋体" w:cs="宋体"/>
          <w:sz w:val="32"/>
          <w:szCs w:val="32"/>
          <w:lang w:val="en-US" w:eastAsia="zh-CN"/>
        </w:rPr>
        <w:t>5</w:t>
      </w:r>
      <w:r>
        <w:rPr>
          <w:rFonts w:hint="eastAsia" w:ascii="宋体" w:hAnsi="宋体" w:eastAsia="宋体" w:cs="宋体"/>
          <w:sz w:val="32"/>
          <w:szCs w:val="32"/>
        </w:rPr>
        <w:t>年</w:t>
      </w:r>
      <w:r>
        <w:rPr>
          <w:rFonts w:hint="eastAsia" w:ascii="宋体" w:hAnsi="宋体" w:eastAsia="宋体" w:cs="宋体"/>
          <w:sz w:val="32"/>
          <w:szCs w:val="32"/>
          <w:lang w:val="en-US" w:eastAsia="zh-CN"/>
        </w:rPr>
        <w:t>6</w:t>
      </w:r>
      <w:r>
        <w:rPr>
          <w:rFonts w:hint="eastAsia" w:ascii="宋体" w:hAnsi="宋体" w:eastAsia="宋体" w:cs="宋体"/>
          <w:sz w:val="32"/>
          <w:szCs w:val="32"/>
        </w:rPr>
        <w:t>月22日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FF88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B17EF">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FB478"/>
    <w:multiLevelType w:val="singleLevel"/>
    <w:tmpl w:val="2A9FB478"/>
    <w:lvl w:ilvl="0" w:tentative="0">
      <w:start w:val="1"/>
      <w:numFmt w:val="decimal"/>
      <w:suff w:val="nothing"/>
      <w:lvlText w:val="%1、"/>
      <w:lvlJc w:val="left"/>
    </w:lvl>
  </w:abstractNum>
  <w:abstractNum w:abstractNumId="1">
    <w:nsid w:val="744F95AA"/>
    <w:multiLevelType w:val="singleLevel"/>
    <w:tmpl w:val="744F95A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570E5B"/>
    <w:rsid w:val="2A40221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customStyle="1" w:styleId="2">
    <w:name w:val="BodyText"/>
    <w:basedOn w:val="1"/>
    <w:next w:val="3"/>
    <w:qFormat/>
    <w:uiPriority w:val="0"/>
    <w:pPr>
      <w:spacing w:before="43"/>
      <w:ind w:left="120"/>
      <w:jc w:val="both"/>
      <w:textAlignment w:val="baseline"/>
    </w:pPr>
    <w:rPr>
      <w:rFonts w:ascii="仿宋" w:hAnsi="仿宋" w:eastAsia="仿宋"/>
      <w:kern w:val="2"/>
      <w:sz w:val="32"/>
      <w:szCs w:val="32"/>
      <w:lang w:val="zh-CN" w:eastAsia="zh-CN" w:bidi="ar-SA"/>
    </w:rPr>
  </w:style>
  <w:style w:type="paragraph" w:customStyle="1" w:styleId="3">
    <w:name w:val="BodyText1I"/>
    <w:basedOn w:val="2"/>
    <w:qFormat/>
    <w:uiPriority w:val="0"/>
    <w:pPr>
      <w:spacing w:before="43"/>
      <w:ind w:left="120" w:firstLine="420" w:firstLineChars="100"/>
      <w:jc w:val="both"/>
      <w:textAlignment w:val="baseline"/>
    </w:pPr>
    <w:rPr>
      <w:rFonts w:ascii="Calibri" w:hAnsi="Calibri" w:eastAsia="微软雅黑"/>
      <w:kern w:val="2"/>
      <w:sz w:val="32"/>
      <w:szCs w:val="32"/>
      <w:lang w:val="zh-CN" w:eastAsia="zh-CN" w:bidi="ar-SA"/>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页眉 Char"/>
    <w:basedOn w:val="8"/>
    <w:link w:val="5"/>
    <w:qFormat/>
    <w:uiPriority w:val="0"/>
    <w:rPr>
      <w:rFonts w:asciiTheme="minorHAnsi" w:hAnsiTheme="minorHAnsi" w:eastAsiaTheme="minorEastAsia" w:cstheme="minorBidi"/>
      <w:kern w:val="2"/>
      <w:sz w:val="18"/>
      <w:szCs w:val="18"/>
    </w:rPr>
  </w:style>
  <w:style w:type="character" w:customStyle="1" w:styleId="10">
    <w:name w:val="页脚 Char"/>
    <w:basedOn w:val="8"/>
    <w:link w:val="4"/>
    <w:qFormat/>
    <w:uiPriority w:val="0"/>
    <w:rPr>
      <w:rFonts w:asciiTheme="minorHAnsi" w:hAnsiTheme="minorHAnsi" w:eastAsiaTheme="minorEastAsia" w:cstheme="minorBidi"/>
      <w:kern w:val="2"/>
      <w:sz w:val="18"/>
      <w:szCs w:val="18"/>
    </w:rPr>
  </w:style>
  <w:style w:type="character" w:customStyle="1" w:styleId="11">
    <w:name w:val="style401"/>
    <w:basedOn w:val="8"/>
    <w:qFormat/>
    <w:uiPriority w:val="0"/>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318</Words>
  <Characters>1814</Characters>
  <Lines>15</Lines>
  <Paragraphs>4</Paragraphs>
  <TotalTime>6</TotalTime>
  <ScaleCrop>false</ScaleCrop>
  <LinksUpToDate>false</LinksUpToDate>
  <CharactersWithSpaces>2128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2025-06-14T15:45:00Z</dcterms:created>
  <dc:creator>WPS_1483577055</dc:creator>
  <cp:lastModifiedBy>Administrator</cp:lastModifiedBy>
  <dcterms:modified xsi:type="dcterms:W3CDTF">2025-12-04T21:13:58Z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99BE5A4375C04BF892E8CA494D4B3FA2_13</vt:lpwstr>
  </property>
</Properties>
</file>