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spacing w:line="560" w:lineRule="exact"/>
        <w:ind w:firstLine="880" w:firstLineChars="200"/>
        <w:jc w:val="center"/>
        <w:rPr>
          <w:rFonts w:hint="eastAsia" w:ascii="方正小标宋简体" w:hAnsi="方正小标宋简体" w:eastAsia="方正小标宋简体" w:cs="方正小标宋简体"/>
          <w:b w:val="0"/>
          <w:bCs/>
          <w:sz w:val="44"/>
          <w:szCs w:val="44"/>
          <w:lang w:eastAsia="zh-CN"/>
        </w:rPr>
      </w:pPr>
      <w:r>
        <w:rPr>
          <w:rFonts w:hint="eastAsia" w:ascii="方正小标宋简体" w:hAnsi="方正小标宋简体" w:eastAsia="方正小标宋简体" w:cs="方正小标宋简体"/>
          <w:b w:val="0"/>
          <w:bCs/>
          <w:sz w:val="44"/>
          <w:szCs w:val="44"/>
        </w:rPr>
        <w:t>202</w:t>
      </w:r>
      <w:r>
        <w:rPr>
          <w:rFonts w:hint="eastAsia" w:ascii="方正小标宋简体" w:hAnsi="方正小标宋简体" w:eastAsia="方正小标宋简体" w:cs="方正小标宋简体"/>
          <w:b w:val="0"/>
          <w:bCs/>
          <w:sz w:val="44"/>
          <w:szCs w:val="44"/>
          <w:lang w:val="en-US" w:eastAsia="zh-CN"/>
        </w:rPr>
        <w:t>4</w:t>
      </w:r>
      <w:r>
        <w:rPr>
          <w:rFonts w:hint="eastAsia" w:ascii="方正小标宋简体" w:hAnsi="方正小标宋简体" w:eastAsia="方正小标宋简体" w:cs="方正小标宋简体"/>
          <w:b w:val="0"/>
          <w:bCs/>
          <w:sz w:val="44"/>
          <w:szCs w:val="44"/>
        </w:rPr>
        <w:t>年</w:t>
      </w:r>
      <w:r>
        <w:rPr>
          <w:rFonts w:hint="eastAsia" w:ascii="方正小标宋简体" w:hAnsi="方正小标宋简体" w:eastAsia="方正小标宋简体" w:cs="方正小标宋简体"/>
          <w:b w:val="0"/>
          <w:bCs/>
          <w:sz w:val="44"/>
          <w:szCs w:val="44"/>
          <w:lang w:eastAsia="zh-CN"/>
        </w:rPr>
        <w:t>何宝珍故里管理所</w:t>
      </w:r>
    </w:p>
    <w:p>
      <w:pPr>
        <w:keepNext w:val="0"/>
        <w:keepLines w:val="0"/>
        <w:pageBreakBefore w:val="0"/>
        <w:kinsoku/>
        <w:wordWrap/>
        <w:overflowPunct/>
        <w:topLinePunct w:val="0"/>
        <w:autoSpaceDE/>
        <w:autoSpaceDN/>
        <w:bidi w:val="0"/>
        <w:spacing w:line="560" w:lineRule="exact"/>
        <w:ind w:firstLine="880" w:firstLineChars="200"/>
        <w:jc w:val="center"/>
        <w:rPr>
          <w:rFonts w:hint="eastAsia" w:ascii="方正小标宋简体" w:hAnsi="方正小标宋简体" w:eastAsia="方正小标宋简体" w:cs="方正小标宋简体"/>
          <w:b w:val="0"/>
          <w:bCs/>
          <w:sz w:val="44"/>
          <w:szCs w:val="44"/>
        </w:rPr>
      </w:pPr>
      <w:r>
        <w:rPr>
          <w:rFonts w:hint="eastAsia" w:ascii="方正小标宋简体" w:hAnsi="方正小标宋简体" w:eastAsia="方正小标宋简体" w:cs="方正小标宋简体"/>
          <w:b w:val="0"/>
          <w:bCs/>
          <w:sz w:val="44"/>
          <w:szCs w:val="44"/>
        </w:rPr>
        <w:t>整体支出绩效评价报告</w:t>
      </w:r>
    </w:p>
    <w:p>
      <w:pPr>
        <w:pStyle w:val="9"/>
        <w:keepNext w:val="0"/>
        <w:keepLines w:val="0"/>
        <w:pageBreakBefore w:val="0"/>
        <w:kinsoku/>
        <w:wordWrap/>
        <w:overflowPunct/>
        <w:topLinePunct w:val="0"/>
        <w:autoSpaceDE/>
        <w:autoSpaceDN/>
        <w:bidi w:val="0"/>
        <w:spacing w:line="560" w:lineRule="exact"/>
        <w:ind w:firstLine="643" w:firstLineChars="200"/>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一、  部门概况</w:t>
      </w:r>
    </w:p>
    <w:p>
      <w:pPr>
        <w:pStyle w:val="9"/>
        <w:keepNext w:val="0"/>
        <w:keepLines w:val="0"/>
        <w:pageBreakBefore w:val="0"/>
        <w:kinsoku/>
        <w:wordWrap/>
        <w:overflowPunct/>
        <w:topLinePunct w:val="0"/>
        <w:autoSpaceDE/>
        <w:autoSpaceDN/>
        <w:bidi w:val="0"/>
        <w:spacing w:line="560" w:lineRule="exact"/>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（一）部门基本情况</w:t>
      </w:r>
      <w:r>
        <w:rPr>
          <w:rFonts w:hint="eastAsia" w:ascii="仿宋_GB2312" w:hAnsi="仿宋_GB2312" w:eastAsia="仿宋_GB2312" w:cs="仿宋_GB2312"/>
          <w:sz w:val="32"/>
          <w:szCs w:val="32"/>
        </w:rPr>
        <w:t>：</w:t>
      </w:r>
    </w:p>
    <w:p>
      <w:pPr>
        <w:keepNext w:val="0"/>
        <w:keepLines w:val="0"/>
        <w:pageBreakBefore w:val="0"/>
        <w:kinsoku/>
        <w:wordWrap/>
        <w:overflowPunct/>
        <w:topLinePunct w:val="0"/>
        <w:autoSpaceDE/>
        <w:autoSpaceDN/>
        <w:bidi w:val="0"/>
        <w:adjustRightInd w:val="0"/>
        <w:snapToGrid w:val="0"/>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1．机构和人员情况</w:t>
      </w:r>
    </w:p>
    <w:p>
      <w:pPr>
        <w:keepNext w:val="0"/>
        <w:keepLines w:val="0"/>
        <w:pageBreakBefore w:val="0"/>
        <w:kinsoku/>
        <w:wordWrap/>
        <w:overflowPunct/>
        <w:topLinePunct w:val="0"/>
        <w:autoSpaceDE/>
        <w:autoSpaceDN/>
        <w:bidi w:val="0"/>
        <w:adjustRightInd w:val="0"/>
        <w:snapToGrid w:val="0"/>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何宝珍故里管理所共有内设机构</w:t>
      </w:r>
      <w:r>
        <w:rPr>
          <w:rFonts w:hint="eastAsia" w:ascii="仿宋_GB2312" w:hAnsi="仿宋_GB2312" w:eastAsia="仿宋_GB2312" w:cs="仿宋_GB2312"/>
          <w:sz w:val="32"/>
          <w:szCs w:val="32"/>
          <w:lang w:val="en-US" w:eastAsia="zh-CN"/>
        </w:rPr>
        <w:t>3个，分别为：</w:t>
      </w:r>
      <w:r>
        <w:rPr>
          <w:rFonts w:hint="eastAsia" w:ascii="仿宋_GB2312" w:hAnsi="仿宋_GB2312" w:eastAsia="仿宋_GB2312" w:cs="仿宋_GB2312"/>
          <w:sz w:val="32"/>
          <w:szCs w:val="32"/>
        </w:rPr>
        <w:t>办公室、</w:t>
      </w:r>
      <w:r>
        <w:rPr>
          <w:rFonts w:hint="eastAsia" w:ascii="仿宋_GB2312" w:hAnsi="仿宋_GB2312" w:eastAsia="仿宋_GB2312" w:cs="仿宋_GB2312"/>
          <w:sz w:val="32"/>
          <w:szCs w:val="32"/>
          <w:lang w:eastAsia="zh-CN"/>
        </w:rPr>
        <w:t>财务室</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政工室</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个职能部室。事业编制</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人</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现实有在职人数</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人。</w:t>
      </w:r>
    </w:p>
    <w:p>
      <w:pPr>
        <w:keepNext w:val="0"/>
        <w:keepLines w:val="0"/>
        <w:pageBreakBefore w:val="0"/>
        <w:kinsoku/>
        <w:wordWrap/>
        <w:overflowPunct/>
        <w:topLinePunct w:val="0"/>
        <w:autoSpaceDE/>
        <w:autoSpaceDN/>
        <w:bidi w:val="0"/>
        <w:adjustRightInd w:val="0"/>
        <w:snapToGrid w:val="0"/>
        <w:spacing w:line="560" w:lineRule="exact"/>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2．工作职责</w:t>
      </w:r>
    </w:p>
    <w:p>
      <w:pPr>
        <w:keepNext w:val="0"/>
        <w:keepLines w:val="0"/>
        <w:pageBreakBefore w:val="0"/>
        <w:kinsoku/>
        <w:wordWrap/>
        <w:overflowPunct/>
        <w:topLinePunct w:val="0"/>
        <w:autoSpaceDE/>
        <w:autoSpaceDN/>
        <w:bidi w:val="0"/>
        <w:adjustRightInd w:val="0"/>
        <w:snapToGrid w:val="0"/>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加强对何宝珍故居的管理；加强对何宝珍纪念馆、铜像广场和文物的管理</w:t>
      </w:r>
      <w:bookmarkStart w:id="1" w:name="_GoBack"/>
      <w:bookmarkEnd w:id="1"/>
      <w:r>
        <w:rPr>
          <w:rFonts w:hint="eastAsia" w:ascii="仿宋_GB2312" w:hAnsi="仿宋_GB2312" w:eastAsia="仿宋_GB2312" w:cs="仿宋_GB2312"/>
          <w:sz w:val="32"/>
          <w:szCs w:val="32"/>
          <w:lang w:eastAsia="zh-CN"/>
        </w:rPr>
        <w:t>。</w:t>
      </w:r>
    </w:p>
    <w:p>
      <w:pPr>
        <w:keepNext w:val="0"/>
        <w:keepLines w:val="0"/>
        <w:pageBreakBefore w:val="0"/>
        <w:kinsoku/>
        <w:wordWrap/>
        <w:overflowPunct/>
        <w:topLinePunct w:val="0"/>
        <w:autoSpaceDE/>
        <w:autoSpaceDN/>
        <w:bidi w:val="0"/>
        <w:adjustRightInd w:val="0"/>
        <w:snapToGrid w:val="0"/>
        <w:spacing w:line="560" w:lineRule="exact"/>
        <w:ind w:firstLine="643" w:firstLineChars="200"/>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（二）部门资金来源情况</w:t>
      </w:r>
    </w:p>
    <w:p>
      <w:pPr>
        <w:keepNext w:val="0"/>
        <w:keepLines w:val="0"/>
        <w:pageBreakBefore w:val="0"/>
        <w:kinsoku/>
        <w:wordWrap/>
        <w:overflowPunct/>
        <w:topLinePunct w:val="0"/>
        <w:autoSpaceDE/>
        <w:autoSpaceDN/>
        <w:bidi w:val="0"/>
        <w:adjustRightInd w:val="0"/>
        <w:snapToGrid w:val="0"/>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年本单位县级财政拨款</w:t>
      </w:r>
      <w:r>
        <w:rPr>
          <w:rFonts w:hint="eastAsia" w:ascii="仿宋_GB2312" w:hAnsi="仿宋_GB2312" w:eastAsia="仿宋_GB2312" w:cs="仿宋_GB2312"/>
          <w:sz w:val="32"/>
          <w:szCs w:val="32"/>
          <w:lang w:val="en-US" w:eastAsia="zh-CN"/>
        </w:rPr>
        <w:t>74.33</w:t>
      </w:r>
      <w:r>
        <w:rPr>
          <w:rFonts w:hint="eastAsia" w:ascii="仿宋_GB2312" w:hAnsi="仿宋_GB2312" w:eastAsia="仿宋_GB2312" w:cs="仿宋_GB2312"/>
          <w:sz w:val="32"/>
          <w:szCs w:val="32"/>
        </w:rPr>
        <w:t>万元，</w:t>
      </w:r>
      <w:bookmarkStart w:id="0" w:name="OLE_LINK1"/>
      <w:r>
        <w:rPr>
          <w:rFonts w:hint="eastAsia" w:ascii="仿宋_GB2312" w:hAnsi="仿宋_GB2312" w:eastAsia="仿宋_GB2312" w:cs="仿宋_GB2312"/>
          <w:sz w:val="32"/>
          <w:szCs w:val="32"/>
          <w:lang w:val="en-US" w:eastAsia="zh-CN"/>
        </w:rPr>
        <w:t>湖南省委宣传部拨款30万元何宝珍故里标准化建设</w:t>
      </w:r>
      <w:bookmarkEnd w:id="0"/>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具体内容如下:</w:t>
      </w:r>
    </w:p>
    <w:p>
      <w:pPr>
        <w:keepNext w:val="0"/>
        <w:keepLines w:val="0"/>
        <w:pageBreakBefore w:val="0"/>
        <w:kinsoku/>
        <w:wordWrap/>
        <w:overflowPunct/>
        <w:topLinePunct w:val="0"/>
        <w:autoSpaceDE/>
        <w:autoSpaceDN/>
        <w:bidi w:val="0"/>
        <w:adjustRightInd w:val="0"/>
        <w:snapToGrid w:val="0"/>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县级财政拨款</w:t>
      </w:r>
      <w:r>
        <w:rPr>
          <w:rFonts w:hint="eastAsia" w:ascii="仿宋_GB2312" w:hAnsi="仿宋_GB2312" w:eastAsia="仿宋_GB2312" w:cs="仿宋_GB2312"/>
          <w:sz w:val="32"/>
          <w:szCs w:val="32"/>
          <w:lang w:val="en-US" w:eastAsia="zh-CN"/>
        </w:rPr>
        <w:t>74.33</w:t>
      </w:r>
      <w:r>
        <w:rPr>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lang w:val="en-US" w:eastAsia="zh-CN"/>
        </w:rPr>
        <w:t>湖南省委宣传部拨款30万元何宝珍故里标准化建设，</w:t>
      </w:r>
      <w:r>
        <w:rPr>
          <w:rFonts w:hint="eastAsia" w:ascii="仿宋_GB2312" w:hAnsi="仿宋_GB2312" w:eastAsia="仿宋_GB2312" w:cs="仿宋_GB2312"/>
          <w:sz w:val="32"/>
          <w:szCs w:val="32"/>
        </w:rPr>
        <w:t>占本年全部收入，主要用于发放干部职工工资及机关运转、专项经费等。</w:t>
      </w:r>
    </w:p>
    <w:p>
      <w:pPr>
        <w:keepNext w:val="0"/>
        <w:keepLines w:val="0"/>
        <w:pageBreakBefore w:val="0"/>
        <w:kinsoku/>
        <w:wordWrap/>
        <w:overflowPunct/>
        <w:topLinePunct w:val="0"/>
        <w:autoSpaceDE/>
        <w:autoSpaceDN/>
        <w:bidi w:val="0"/>
        <w:adjustRightInd w:val="0"/>
        <w:snapToGrid w:val="0"/>
        <w:spacing w:line="560" w:lineRule="exact"/>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二、部门整体支出使用情况</w:t>
      </w:r>
    </w:p>
    <w:p>
      <w:pPr>
        <w:keepNext w:val="0"/>
        <w:keepLines w:val="0"/>
        <w:pageBreakBefore w:val="0"/>
        <w:kinsoku/>
        <w:wordWrap/>
        <w:overflowPunct/>
        <w:topLinePunct w:val="0"/>
        <w:autoSpaceDE/>
        <w:autoSpaceDN/>
        <w:bidi w:val="0"/>
        <w:adjustRightInd w:val="0"/>
        <w:snapToGrid w:val="0"/>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本单位202</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年总支出</w:t>
      </w:r>
      <w:r>
        <w:rPr>
          <w:rFonts w:hint="eastAsia" w:ascii="仿宋_GB2312" w:hAnsi="仿宋_GB2312" w:eastAsia="仿宋_GB2312" w:cs="仿宋_GB2312"/>
          <w:sz w:val="32"/>
          <w:szCs w:val="32"/>
          <w:lang w:val="en-US" w:eastAsia="zh-CN"/>
        </w:rPr>
        <w:t>99.68</w:t>
      </w:r>
      <w:r>
        <w:rPr>
          <w:rFonts w:hint="eastAsia" w:ascii="仿宋_GB2312" w:hAnsi="仿宋_GB2312" w:eastAsia="仿宋_GB2312" w:cs="仿宋_GB2312"/>
          <w:sz w:val="32"/>
          <w:szCs w:val="32"/>
        </w:rPr>
        <w:t>万元，具体使用情况如下：</w:t>
      </w:r>
    </w:p>
    <w:p>
      <w:pPr>
        <w:keepNext w:val="0"/>
        <w:keepLines w:val="0"/>
        <w:pageBreakBefore w:val="0"/>
        <w:kinsoku/>
        <w:wordWrap/>
        <w:overflowPunct/>
        <w:topLinePunct w:val="0"/>
        <w:autoSpaceDE/>
        <w:autoSpaceDN/>
        <w:bidi w:val="0"/>
        <w:adjustRightInd w:val="0"/>
        <w:snapToGrid w:val="0"/>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1、基本支出：</w:t>
      </w:r>
      <w:r>
        <w:rPr>
          <w:rFonts w:hint="eastAsia" w:ascii="仿宋_GB2312" w:hAnsi="仿宋_GB2312" w:eastAsia="仿宋_GB2312" w:cs="仿宋_GB2312"/>
          <w:sz w:val="32"/>
          <w:szCs w:val="32"/>
          <w:lang w:val="en-US" w:eastAsia="zh-CN"/>
        </w:rPr>
        <w:t>53.43</w:t>
      </w:r>
      <w:r>
        <w:rPr>
          <w:rFonts w:hint="eastAsia" w:ascii="仿宋_GB2312" w:hAnsi="仿宋_GB2312" w:eastAsia="仿宋_GB2312" w:cs="仿宋_GB2312"/>
          <w:sz w:val="32"/>
          <w:szCs w:val="32"/>
        </w:rPr>
        <w:t>万元，其中</w:t>
      </w:r>
      <w:r>
        <w:rPr>
          <w:rFonts w:hint="eastAsia" w:ascii="仿宋_GB2312" w:hAnsi="仿宋_GB2312" w:eastAsia="仿宋_GB2312" w:cs="仿宋_GB2312"/>
          <w:sz w:val="32"/>
          <w:szCs w:val="32"/>
          <w:lang w:eastAsia="zh-CN"/>
        </w:rPr>
        <w:t>工资和福利费用</w:t>
      </w:r>
      <w:r>
        <w:rPr>
          <w:rFonts w:hint="eastAsia" w:ascii="仿宋_GB2312" w:hAnsi="仿宋_GB2312" w:eastAsia="仿宋_GB2312" w:cs="仿宋_GB2312"/>
          <w:sz w:val="32"/>
          <w:szCs w:val="32"/>
          <w:lang w:val="en-US" w:eastAsia="zh-CN"/>
        </w:rPr>
        <w:t>47.43</w:t>
      </w:r>
      <w:r>
        <w:rPr>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lang w:eastAsia="zh-CN"/>
        </w:rPr>
        <w:t>商品和服务费用</w:t>
      </w: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资本性支出0万元</w:t>
      </w:r>
      <w:r>
        <w:rPr>
          <w:rFonts w:hint="eastAsia" w:ascii="仿宋_GB2312" w:hAnsi="仿宋_GB2312" w:eastAsia="仿宋_GB2312" w:cs="仿宋_GB2312"/>
          <w:sz w:val="32"/>
          <w:szCs w:val="32"/>
        </w:rPr>
        <w:t>。</w:t>
      </w:r>
    </w:p>
    <w:p>
      <w:pPr>
        <w:keepNext w:val="0"/>
        <w:keepLines w:val="0"/>
        <w:pageBreakBefore w:val="0"/>
        <w:kinsoku/>
        <w:wordWrap/>
        <w:overflowPunct/>
        <w:topLinePunct w:val="0"/>
        <w:autoSpaceDE/>
        <w:autoSpaceDN/>
        <w:bidi w:val="0"/>
        <w:adjustRightInd w:val="0"/>
        <w:snapToGrid w:val="0"/>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2、项目支出：</w:t>
      </w:r>
      <w:r>
        <w:rPr>
          <w:rFonts w:hint="eastAsia" w:ascii="仿宋_GB2312" w:hAnsi="仿宋_GB2312" w:eastAsia="仿宋_GB2312" w:cs="仿宋_GB2312"/>
          <w:sz w:val="32"/>
          <w:szCs w:val="32"/>
          <w:lang w:val="en-US" w:eastAsia="zh-CN"/>
        </w:rPr>
        <w:t>46.25</w:t>
      </w:r>
      <w:r>
        <w:rPr>
          <w:rFonts w:hint="eastAsia" w:ascii="仿宋_GB2312" w:hAnsi="仿宋_GB2312" w:eastAsia="仿宋_GB2312" w:cs="仿宋_GB2312"/>
          <w:sz w:val="32"/>
          <w:szCs w:val="32"/>
        </w:rPr>
        <w:t>万元。</w:t>
      </w:r>
    </w:p>
    <w:p>
      <w:pPr>
        <w:keepNext w:val="0"/>
        <w:keepLines w:val="0"/>
        <w:pageBreakBefore w:val="0"/>
        <w:kinsoku/>
        <w:wordWrap/>
        <w:overflowPunct/>
        <w:topLinePunct w:val="0"/>
        <w:autoSpaceDE/>
        <w:autoSpaceDN/>
        <w:bidi w:val="0"/>
        <w:adjustRightInd w:val="0"/>
        <w:snapToGrid w:val="0"/>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3、机关运行经费情况：202</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年决算安排机关运行经费</w:t>
      </w:r>
      <w:r>
        <w:rPr>
          <w:rFonts w:hint="eastAsia" w:ascii="仿宋_GB2312" w:hAnsi="仿宋_GB2312" w:eastAsia="仿宋_GB2312" w:cs="仿宋_GB2312"/>
          <w:sz w:val="32"/>
          <w:szCs w:val="32"/>
          <w:lang w:val="en-US" w:eastAsia="zh-CN"/>
        </w:rPr>
        <w:t>54.65万</w:t>
      </w:r>
      <w:r>
        <w:rPr>
          <w:rFonts w:hint="eastAsia" w:ascii="仿宋_GB2312" w:hAnsi="仿宋_GB2312" w:eastAsia="仿宋_GB2312" w:cs="仿宋_GB2312"/>
          <w:sz w:val="32"/>
          <w:szCs w:val="32"/>
        </w:rPr>
        <w:t>元，主要包括办公费</w:t>
      </w:r>
      <w:r>
        <w:rPr>
          <w:rFonts w:hint="eastAsia" w:ascii="仿宋_GB2312" w:hAnsi="仿宋_GB2312" w:eastAsia="仿宋_GB2312" w:cs="仿宋_GB2312"/>
          <w:sz w:val="32"/>
          <w:szCs w:val="32"/>
          <w:lang w:val="en-US" w:eastAsia="zh-CN"/>
        </w:rPr>
        <w:t>36.99</w:t>
      </w:r>
      <w:r>
        <w:rPr>
          <w:rFonts w:hint="eastAsia" w:ascii="仿宋_GB2312" w:hAnsi="仿宋_GB2312" w:eastAsia="仿宋_GB2312" w:cs="仿宋_GB2312"/>
          <w:sz w:val="32"/>
          <w:szCs w:val="32"/>
        </w:rPr>
        <w:t>万元 、印刷费</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万元、水电费</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lang w:val="en-US" w:eastAsia="zh-CN"/>
        </w:rPr>
        <w:t>邮电费0.6万元、</w:t>
      </w:r>
      <w:r>
        <w:rPr>
          <w:rFonts w:hint="eastAsia" w:ascii="仿宋_GB2312" w:hAnsi="仿宋_GB2312" w:eastAsia="仿宋_GB2312" w:cs="仿宋_GB2312"/>
          <w:sz w:val="32"/>
          <w:szCs w:val="32"/>
        </w:rPr>
        <w:t>差旅费</w:t>
      </w:r>
      <w:r>
        <w:rPr>
          <w:rFonts w:hint="eastAsia" w:ascii="仿宋_GB2312" w:hAnsi="仿宋_GB2312" w:eastAsia="仿宋_GB2312" w:cs="仿宋_GB2312"/>
          <w:sz w:val="32"/>
          <w:szCs w:val="32"/>
          <w:lang w:val="en-US" w:eastAsia="zh-CN"/>
        </w:rPr>
        <w:t>0.9</w:t>
      </w:r>
      <w:r>
        <w:rPr>
          <w:rFonts w:hint="eastAsia" w:ascii="仿宋_GB2312" w:hAnsi="仿宋_GB2312" w:eastAsia="仿宋_GB2312" w:cs="仿宋_GB2312"/>
          <w:sz w:val="32"/>
          <w:szCs w:val="32"/>
        </w:rPr>
        <w:t>万元、公务接待费</w:t>
      </w:r>
      <w:r>
        <w:rPr>
          <w:rFonts w:hint="eastAsia" w:ascii="仿宋_GB2312" w:hAnsi="仿宋_GB2312" w:eastAsia="仿宋_GB2312" w:cs="仿宋_GB2312"/>
          <w:sz w:val="32"/>
          <w:szCs w:val="32"/>
          <w:lang w:val="en-US" w:eastAsia="zh-CN"/>
        </w:rPr>
        <w:t>0.27</w:t>
      </w:r>
      <w:r>
        <w:rPr>
          <w:rFonts w:hint="eastAsia" w:ascii="仿宋_GB2312" w:hAnsi="仿宋_GB2312" w:eastAsia="仿宋_GB2312" w:cs="仿宋_GB2312"/>
          <w:sz w:val="32"/>
          <w:szCs w:val="32"/>
        </w:rPr>
        <w:t>万元、劳务费</w:t>
      </w:r>
      <w:r>
        <w:rPr>
          <w:rFonts w:hint="eastAsia" w:ascii="仿宋_GB2312" w:hAnsi="仿宋_GB2312" w:eastAsia="仿宋_GB2312" w:cs="仿宋_GB2312"/>
          <w:sz w:val="32"/>
          <w:szCs w:val="32"/>
          <w:lang w:val="en-US" w:eastAsia="zh-CN"/>
        </w:rPr>
        <w:t>8</w:t>
      </w:r>
      <w:r>
        <w:rPr>
          <w:rFonts w:hint="eastAsia" w:ascii="仿宋_GB2312" w:hAnsi="仿宋_GB2312" w:eastAsia="仿宋_GB2312" w:cs="仿宋_GB2312"/>
          <w:sz w:val="32"/>
          <w:szCs w:val="32"/>
        </w:rPr>
        <w:t>万元，工会经费</w:t>
      </w:r>
      <w:r>
        <w:rPr>
          <w:rFonts w:hint="eastAsia" w:ascii="仿宋_GB2312" w:hAnsi="仿宋_GB2312" w:eastAsia="仿宋_GB2312" w:cs="仿宋_GB2312"/>
          <w:sz w:val="32"/>
          <w:szCs w:val="32"/>
          <w:lang w:val="en-US" w:eastAsia="zh-CN"/>
        </w:rPr>
        <w:t>1.8</w:t>
      </w:r>
      <w:r>
        <w:rPr>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lang w:val="en-US" w:eastAsia="zh-CN"/>
        </w:rPr>
        <w:t>福利费0.59万元、</w:t>
      </w:r>
      <w:r>
        <w:rPr>
          <w:rFonts w:hint="eastAsia" w:ascii="仿宋_GB2312" w:hAnsi="仿宋_GB2312" w:eastAsia="仿宋_GB2312" w:cs="仿宋_GB2312"/>
          <w:sz w:val="32"/>
          <w:szCs w:val="32"/>
        </w:rPr>
        <w:t>其他</w:t>
      </w:r>
      <w:r>
        <w:rPr>
          <w:rFonts w:hint="eastAsia" w:ascii="仿宋_GB2312" w:hAnsi="仿宋_GB2312" w:eastAsia="仿宋_GB2312" w:cs="仿宋_GB2312"/>
          <w:sz w:val="32"/>
          <w:szCs w:val="32"/>
          <w:lang w:val="en-US" w:eastAsia="zh-CN"/>
        </w:rPr>
        <w:t>商品和服务1.5</w:t>
      </w:r>
      <w:r>
        <w:rPr>
          <w:rFonts w:hint="eastAsia" w:ascii="仿宋_GB2312" w:hAnsi="仿宋_GB2312" w:eastAsia="仿宋_GB2312" w:cs="仿宋_GB2312"/>
          <w:sz w:val="32"/>
          <w:szCs w:val="32"/>
        </w:rPr>
        <w:t>万元等日常公用经费。</w:t>
      </w:r>
    </w:p>
    <w:p>
      <w:pPr>
        <w:keepNext w:val="0"/>
        <w:keepLines w:val="0"/>
        <w:pageBreakBefore w:val="0"/>
        <w:kinsoku/>
        <w:wordWrap/>
        <w:overflowPunct/>
        <w:topLinePunct w:val="0"/>
        <w:autoSpaceDE/>
        <w:autoSpaceDN/>
        <w:bidi w:val="0"/>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4、202</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年“三公”经费决算</w:t>
      </w:r>
      <w:r>
        <w:rPr>
          <w:rFonts w:hint="eastAsia" w:ascii="仿宋_GB2312" w:hAnsi="仿宋_GB2312" w:eastAsia="仿宋_GB2312" w:cs="仿宋_GB2312"/>
          <w:sz w:val="32"/>
          <w:szCs w:val="32"/>
          <w:lang w:val="en-US" w:eastAsia="zh-CN"/>
        </w:rPr>
        <w:t>0.27</w:t>
      </w:r>
      <w:r>
        <w:rPr>
          <w:rFonts w:hint="eastAsia" w:ascii="仿宋_GB2312" w:hAnsi="仿宋_GB2312" w:eastAsia="仿宋_GB2312" w:cs="仿宋_GB2312"/>
          <w:sz w:val="32"/>
          <w:szCs w:val="32"/>
        </w:rPr>
        <w:t>万元，其中：公务接待费</w:t>
      </w:r>
      <w:r>
        <w:rPr>
          <w:rFonts w:hint="eastAsia" w:ascii="仿宋_GB2312" w:hAnsi="仿宋_GB2312" w:eastAsia="仿宋_GB2312" w:cs="仿宋_GB2312"/>
          <w:sz w:val="32"/>
          <w:szCs w:val="32"/>
          <w:lang w:val="en-US" w:eastAsia="zh-CN"/>
        </w:rPr>
        <w:t>0.27</w:t>
      </w:r>
      <w:r>
        <w:rPr>
          <w:rFonts w:hint="eastAsia" w:ascii="仿宋_GB2312" w:hAnsi="仿宋_GB2312" w:eastAsia="仿宋_GB2312" w:cs="仿宋_GB2312"/>
          <w:sz w:val="32"/>
          <w:szCs w:val="32"/>
        </w:rPr>
        <w:t>万元、无公务用车经费、无因公出国（境）费用；比202</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val="en-US" w:eastAsia="zh-CN"/>
        </w:rPr>
        <w:t>减少0.3</w:t>
      </w:r>
      <w:r>
        <w:rPr>
          <w:rFonts w:hint="eastAsia" w:ascii="仿宋_GB2312" w:hAnsi="仿宋_GB2312" w:eastAsia="仿宋_GB2312" w:cs="仿宋_GB2312"/>
          <w:sz w:val="32"/>
          <w:szCs w:val="32"/>
        </w:rPr>
        <w:t>万元，原因主要是</w:t>
      </w:r>
      <w:r>
        <w:rPr>
          <w:rFonts w:hint="eastAsia" w:ascii="仿宋_GB2312" w:hAnsi="仿宋_GB2312" w:eastAsia="仿宋_GB2312" w:cs="仿宋_GB2312"/>
          <w:sz w:val="32"/>
          <w:szCs w:val="32"/>
          <w:lang w:val="en-US" w:eastAsia="zh-CN"/>
        </w:rPr>
        <w:t>经费紧张厉行节约</w:t>
      </w:r>
      <w:r>
        <w:rPr>
          <w:rFonts w:hint="eastAsia" w:ascii="仿宋_GB2312" w:hAnsi="仿宋_GB2312" w:eastAsia="仿宋_GB2312" w:cs="仿宋_GB2312"/>
          <w:sz w:val="32"/>
          <w:szCs w:val="32"/>
        </w:rPr>
        <w:t>。</w:t>
      </w:r>
    </w:p>
    <w:p>
      <w:pPr>
        <w:pStyle w:val="9"/>
        <w:keepNext w:val="0"/>
        <w:keepLines w:val="0"/>
        <w:pageBreakBefore w:val="0"/>
        <w:widowControl/>
        <w:kinsoku/>
        <w:wordWrap/>
        <w:overflowPunct/>
        <w:topLinePunct w:val="0"/>
        <w:autoSpaceDE/>
        <w:autoSpaceDN/>
        <w:bidi w:val="0"/>
        <w:spacing w:line="560" w:lineRule="exact"/>
        <w:jc w:val="left"/>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三、政府性基金预算支出情况</w:t>
      </w:r>
    </w:p>
    <w:p>
      <w:pPr>
        <w:pStyle w:val="9"/>
        <w:keepNext w:val="0"/>
        <w:keepLines w:val="0"/>
        <w:pageBreakBefore w:val="0"/>
        <w:widowControl/>
        <w:kinsoku/>
        <w:wordWrap/>
        <w:overflowPunct/>
        <w:topLinePunct w:val="0"/>
        <w:autoSpaceDE/>
        <w:autoSpaceDN/>
        <w:bidi w:val="0"/>
        <w:spacing w:line="560" w:lineRule="exact"/>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4</w:t>
      </w:r>
      <w:r>
        <w:rPr>
          <w:rFonts w:ascii="仿宋_GB2312" w:hAnsi="仿宋_GB2312" w:eastAsia="仿宋_GB2312" w:cs="仿宋_GB2312"/>
          <w:sz w:val="32"/>
          <w:szCs w:val="32"/>
        </w:rPr>
        <w:t>年度本单位无政府性基金收支</w:t>
      </w:r>
      <w:r>
        <w:rPr>
          <w:rFonts w:hint="eastAsia" w:ascii="仿宋_GB2312" w:hAnsi="仿宋_GB2312" w:eastAsia="仿宋_GB2312" w:cs="仿宋_GB2312"/>
          <w:sz w:val="32"/>
          <w:szCs w:val="32"/>
        </w:rPr>
        <w:t>。</w:t>
      </w:r>
    </w:p>
    <w:p>
      <w:pPr>
        <w:pStyle w:val="9"/>
        <w:keepNext w:val="0"/>
        <w:keepLines w:val="0"/>
        <w:pageBreakBefore w:val="0"/>
        <w:widowControl/>
        <w:kinsoku/>
        <w:wordWrap/>
        <w:overflowPunct/>
        <w:topLinePunct w:val="0"/>
        <w:autoSpaceDE/>
        <w:autoSpaceDN/>
        <w:bidi w:val="0"/>
        <w:spacing w:line="560" w:lineRule="exact"/>
        <w:jc w:val="left"/>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四、国有资本经营预算支出情况</w:t>
      </w:r>
    </w:p>
    <w:p>
      <w:pPr>
        <w:pStyle w:val="9"/>
        <w:keepNext w:val="0"/>
        <w:keepLines w:val="0"/>
        <w:pageBreakBefore w:val="0"/>
        <w:widowControl/>
        <w:kinsoku/>
        <w:wordWrap/>
        <w:overflowPunct/>
        <w:topLinePunct w:val="0"/>
        <w:autoSpaceDE/>
        <w:autoSpaceDN/>
        <w:bidi w:val="0"/>
        <w:spacing w:line="560" w:lineRule="exact"/>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4</w:t>
      </w:r>
      <w:r>
        <w:rPr>
          <w:rFonts w:ascii="仿宋_GB2312" w:hAnsi="仿宋_GB2312" w:eastAsia="仿宋_GB2312" w:cs="仿宋_GB2312"/>
          <w:sz w:val="32"/>
          <w:szCs w:val="32"/>
        </w:rPr>
        <w:t>年度本单位无</w:t>
      </w:r>
      <w:r>
        <w:rPr>
          <w:rFonts w:hint="eastAsia" w:ascii="仿宋_GB2312" w:hAnsi="仿宋_GB2312" w:eastAsia="仿宋_GB2312" w:cs="仿宋_GB2312"/>
          <w:sz w:val="32"/>
          <w:szCs w:val="32"/>
        </w:rPr>
        <w:t>国有资本经营预算</w:t>
      </w:r>
      <w:r>
        <w:rPr>
          <w:rFonts w:ascii="仿宋_GB2312" w:hAnsi="仿宋_GB2312" w:eastAsia="仿宋_GB2312" w:cs="仿宋_GB2312"/>
          <w:sz w:val="32"/>
          <w:szCs w:val="32"/>
        </w:rPr>
        <w:t>收支</w:t>
      </w:r>
      <w:r>
        <w:rPr>
          <w:rFonts w:hint="eastAsia" w:ascii="仿宋_GB2312" w:hAnsi="仿宋_GB2312" w:eastAsia="仿宋_GB2312" w:cs="仿宋_GB2312"/>
          <w:sz w:val="32"/>
          <w:szCs w:val="32"/>
        </w:rPr>
        <w:t>。</w:t>
      </w:r>
    </w:p>
    <w:p>
      <w:pPr>
        <w:pStyle w:val="9"/>
        <w:keepNext w:val="0"/>
        <w:keepLines w:val="0"/>
        <w:pageBreakBefore w:val="0"/>
        <w:widowControl/>
        <w:kinsoku/>
        <w:wordWrap/>
        <w:overflowPunct/>
        <w:topLinePunct w:val="0"/>
        <w:autoSpaceDE/>
        <w:autoSpaceDN/>
        <w:bidi w:val="0"/>
        <w:spacing w:line="560" w:lineRule="exact"/>
        <w:jc w:val="left"/>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五、社会保险基金预算支出情况</w:t>
      </w:r>
    </w:p>
    <w:p>
      <w:pPr>
        <w:pStyle w:val="9"/>
        <w:keepNext w:val="0"/>
        <w:keepLines w:val="0"/>
        <w:pageBreakBefore w:val="0"/>
        <w:widowControl/>
        <w:kinsoku/>
        <w:wordWrap/>
        <w:overflowPunct/>
        <w:topLinePunct w:val="0"/>
        <w:autoSpaceDE/>
        <w:autoSpaceDN/>
        <w:bidi w:val="0"/>
        <w:spacing w:line="560" w:lineRule="exact"/>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w:t>
      </w:r>
      <w:r>
        <w:rPr>
          <w:rFonts w:hint="eastAsia" w:ascii="仿宋_GB2312" w:hAnsi="仿宋_GB2312" w:eastAsia="仿宋_GB2312" w:cs="仿宋_GB2312"/>
          <w:sz w:val="32"/>
          <w:szCs w:val="32"/>
          <w:lang w:val="en-US" w:eastAsia="zh-CN"/>
        </w:rPr>
        <w:t>24</w:t>
      </w:r>
      <w:r>
        <w:rPr>
          <w:rFonts w:ascii="仿宋_GB2312" w:hAnsi="仿宋_GB2312" w:eastAsia="仿宋_GB2312" w:cs="仿宋_GB2312"/>
          <w:sz w:val="32"/>
          <w:szCs w:val="32"/>
        </w:rPr>
        <w:t>年度本单位无</w:t>
      </w:r>
      <w:r>
        <w:rPr>
          <w:rFonts w:hint="eastAsia" w:ascii="仿宋_GB2312" w:hAnsi="仿宋_GB2312" w:eastAsia="仿宋_GB2312" w:cs="仿宋_GB2312"/>
          <w:sz w:val="32"/>
          <w:szCs w:val="32"/>
        </w:rPr>
        <w:t>社会保险基金预算</w:t>
      </w:r>
      <w:r>
        <w:rPr>
          <w:rFonts w:ascii="仿宋_GB2312" w:hAnsi="仿宋_GB2312" w:eastAsia="仿宋_GB2312" w:cs="仿宋_GB2312"/>
          <w:sz w:val="32"/>
          <w:szCs w:val="32"/>
        </w:rPr>
        <w:t>收支</w:t>
      </w:r>
      <w:r>
        <w:rPr>
          <w:rFonts w:hint="eastAsia" w:ascii="仿宋_GB2312" w:hAnsi="仿宋_GB2312" w:eastAsia="仿宋_GB2312" w:cs="仿宋_GB2312"/>
          <w:sz w:val="32"/>
          <w:szCs w:val="32"/>
        </w:rPr>
        <w:t>。</w:t>
      </w:r>
    </w:p>
    <w:p>
      <w:pPr>
        <w:pStyle w:val="9"/>
        <w:keepNext w:val="0"/>
        <w:keepLines w:val="0"/>
        <w:pageBreakBefore w:val="0"/>
        <w:widowControl/>
        <w:kinsoku/>
        <w:wordWrap/>
        <w:overflowPunct/>
        <w:topLinePunct w:val="0"/>
        <w:autoSpaceDE/>
        <w:autoSpaceDN/>
        <w:bidi w:val="0"/>
        <w:spacing w:line="560" w:lineRule="exact"/>
        <w:jc w:val="left"/>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六、部门整体支出绩效情况</w:t>
      </w:r>
    </w:p>
    <w:p>
      <w:pPr>
        <w:keepNext w:val="0"/>
        <w:keepLines w:val="0"/>
        <w:pageBreakBefore w:val="0"/>
        <w:kinsoku/>
        <w:wordWrap/>
        <w:overflowPunct/>
        <w:topLinePunct w:val="0"/>
        <w:autoSpaceDE/>
        <w:autoSpaceDN/>
        <w:bidi w:val="0"/>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“主阵地”成色大提升</w:t>
      </w:r>
    </w:p>
    <w:p>
      <w:pPr>
        <w:keepNext w:val="0"/>
        <w:keepLines w:val="0"/>
        <w:pageBreakBefore w:val="0"/>
        <w:kinsoku/>
        <w:wordWrap/>
        <w:overflowPunct/>
        <w:topLinePunct w:val="0"/>
        <w:autoSpaceDE/>
        <w:autoSpaceDN/>
        <w:bidi w:val="0"/>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加强故里管理。道县财政拨付专项资金，使何宝珍故里管理正常化、日常化，各项管理工作步入正轨。为故里添置了消防设施，补齐了绿化带中的花草。环境卫生保持一个比较高的水准。强化“防控结合，预防为主”安全措施，添置巡更系统，严格落实24小时巡逻制度和节假日以及特护期的安保轮值工作。以学雷锋志愿服务站为平台，打造“红色志愿服务队”，推动了文明劝导、文明礼让参观常态化。深耕红色文化，开展党性教育微党课活动，申报永州市党员党性教育基地。</w:t>
      </w:r>
    </w:p>
    <w:p>
      <w:pPr>
        <w:keepNext w:val="0"/>
        <w:keepLines w:val="0"/>
        <w:pageBreakBefore w:val="0"/>
        <w:kinsoku/>
        <w:wordWrap/>
        <w:overflowPunct/>
        <w:topLinePunct w:val="0"/>
        <w:autoSpaceDE/>
        <w:autoSpaceDN/>
        <w:bidi w:val="0"/>
        <w:spacing w:line="560" w:lineRule="exact"/>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提升讲解服务。讲解员薪酬待遇与讲解绩效直接挂钩；发放讲解评价卡，由观众实时评价，纳入绩效考核；主动对接学校，提升宣讲服务的主动性与积极性。</w:t>
      </w:r>
      <w:r>
        <w:rPr>
          <w:rFonts w:hint="eastAsia" w:ascii="仿宋_GB2312" w:hAnsi="仿宋_GB2312" w:eastAsia="仿宋_GB2312" w:cs="仿宋_GB2312"/>
          <w:sz w:val="32"/>
          <w:szCs w:val="32"/>
          <w:lang w:val="en-US" w:eastAsia="zh-CN"/>
        </w:rPr>
        <w:t>本年</w:t>
      </w:r>
      <w:r>
        <w:rPr>
          <w:rFonts w:hint="eastAsia" w:ascii="仿宋_GB2312" w:hAnsi="仿宋_GB2312" w:eastAsia="仿宋_GB2312" w:cs="仿宋_GB2312"/>
          <w:sz w:val="32"/>
          <w:szCs w:val="32"/>
        </w:rPr>
        <w:t>共完成讲解接待</w:t>
      </w:r>
      <w:r>
        <w:rPr>
          <w:rFonts w:hint="eastAsia" w:ascii="仿宋_GB2312" w:hAnsi="仿宋_GB2312" w:eastAsia="仿宋_GB2312" w:cs="仿宋_GB2312"/>
          <w:sz w:val="32"/>
          <w:szCs w:val="32"/>
          <w:lang w:val="en-US" w:eastAsia="zh-CN"/>
        </w:rPr>
        <w:t>400</w:t>
      </w:r>
      <w:r>
        <w:rPr>
          <w:rFonts w:hint="eastAsia" w:ascii="仿宋_GB2312" w:hAnsi="仿宋_GB2312" w:eastAsia="仿宋_GB2312" w:cs="仿宋_GB2312"/>
          <w:sz w:val="32"/>
          <w:szCs w:val="32"/>
        </w:rPr>
        <w:t>批次，讲解率达</w:t>
      </w:r>
      <w:r>
        <w:rPr>
          <w:rFonts w:hint="eastAsia" w:ascii="仿宋_GB2312" w:hAnsi="仿宋_GB2312" w:eastAsia="仿宋_GB2312" w:cs="仿宋_GB2312"/>
          <w:sz w:val="32"/>
          <w:szCs w:val="32"/>
          <w:lang w:val="en-US" w:eastAsia="zh-CN"/>
        </w:rPr>
        <w:t>90</w:t>
      </w:r>
      <w:r>
        <w:rPr>
          <w:rFonts w:hint="eastAsia" w:ascii="仿宋_GB2312" w:hAnsi="仿宋_GB2312" w:eastAsia="仿宋_GB2312" w:cs="仿宋_GB2312"/>
          <w:sz w:val="32"/>
          <w:szCs w:val="32"/>
        </w:rPr>
        <w:t>%，满意度达100%。</w:t>
      </w:r>
    </w:p>
    <w:p>
      <w:pPr>
        <w:keepNext w:val="0"/>
        <w:keepLines w:val="0"/>
        <w:pageBreakBefore w:val="0"/>
        <w:kinsoku/>
        <w:wordWrap/>
        <w:overflowPunct/>
        <w:topLinePunct w:val="0"/>
        <w:autoSpaceDE/>
        <w:autoSpaceDN/>
        <w:bidi w:val="0"/>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“目的地”影响大彰显</w:t>
      </w:r>
    </w:p>
    <w:p>
      <w:pPr>
        <w:keepNext w:val="0"/>
        <w:keepLines w:val="0"/>
        <w:pageBreakBefore w:val="0"/>
        <w:kinsoku/>
        <w:wordWrap/>
        <w:overflowPunct/>
        <w:topLinePunct w:val="0"/>
        <w:autoSpaceDE/>
        <w:autoSpaceDN/>
        <w:bidi w:val="0"/>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故里知名度、美誉度大幅提升。</w:t>
      </w:r>
      <w:r>
        <w:rPr>
          <w:rFonts w:hint="eastAsia" w:ascii="仿宋_GB2312" w:hAnsi="仿宋_GB2312" w:eastAsia="仿宋_GB2312" w:cs="仿宋_GB2312"/>
          <w:sz w:val="32"/>
          <w:szCs w:val="32"/>
          <w:lang w:val="en-US" w:eastAsia="zh-CN"/>
        </w:rPr>
        <w:t>本年</w:t>
      </w:r>
      <w:r>
        <w:rPr>
          <w:rFonts w:hint="eastAsia" w:ascii="仿宋_GB2312" w:hAnsi="仿宋_GB2312" w:eastAsia="仿宋_GB2312" w:cs="仿宋_GB2312"/>
          <w:sz w:val="32"/>
          <w:szCs w:val="32"/>
        </w:rPr>
        <w:t>接待游客达</w:t>
      </w:r>
      <w:r>
        <w:rPr>
          <w:rFonts w:hint="eastAsia" w:ascii="仿宋_GB2312" w:hAnsi="仿宋_GB2312" w:eastAsia="仿宋_GB2312" w:cs="仿宋_GB2312"/>
          <w:sz w:val="32"/>
          <w:szCs w:val="32"/>
          <w:lang w:val="en-US" w:eastAsia="zh-CN"/>
        </w:rPr>
        <w:t>20</w:t>
      </w:r>
      <w:r>
        <w:rPr>
          <w:rFonts w:hint="eastAsia" w:ascii="仿宋_GB2312" w:hAnsi="仿宋_GB2312" w:eastAsia="仿宋_GB2312" w:cs="仿宋_GB2312"/>
          <w:sz w:val="32"/>
          <w:szCs w:val="32"/>
        </w:rPr>
        <w:t>万人次，参观游客覆盖到周边省市县，成为红色文化、爱国主义教育的重要目的地</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梅花镇中学、宁远县水市完全小学、永州一中等中小学生前来何宝珍故里参观接受红色教育。去年</w:t>
      </w:r>
      <w:r>
        <w:rPr>
          <w:rFonts w:hint="eastAsia" w:ascii="仿宋_GB2312" w:hAnsi="仿宋_GB2312" w:eastAsia="仿宋_GB2312" w:cs="仿宋_GB2312"/>
          <w:sz w:val="32"/>
          <w:szCs w:val="32"/>
        </w:rPr>
        <w:t>同刘少奇纪念馆达成结对联盟，实现资源共享、游客互达；获得永州市社会科学普及基地称号。</w:t>
      </w:r>
    </w:p>
    <w:p>
      <w:pPr>
        <w:keepNext w:val="0"/>
        <w:keepLines w:val="0"/>
        <w:pageBreakBefore w:val="0"/>
        <w:kinsoku/>
        <w:wordWrap/>
        <w:overflowPunct/>
        <w:topLinePunct w:val="0"/>
        <w:autoSpaceDE/>
        <w:autoSpaceDN/>
        <w:bidi w:val="0"/>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配套设施不断完善</w:t>
      </w:r>
    </w:p>
    <w:p>
      <w:pPr>
        <w:keepNext w:val="0"/>
        <w:keepLines w:val="0"/>
        <w:pageBreakBefore w:val="0"/>
        <w:kinsoku/>
        <w:wordWrap/>
        <w:overflowPunct/>
        <w:topLinePunct w:val="0"/>
        <w:autoSpaceDE/>
        <w:autoSpaceDN/>
        <w:bidi w:val="0"/>
        <w:spacing w:line="560" w:lineRule="exact"/>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强力推进何宝珍故里红色旅游景区“美化、亮化、绿化、净化”工程，1100平米的村级活动中心兼游客中心建成，建设了汀步叠水坝，目前，成为网红坝。</w:t>
      </w:r>
      <w:r>
        <w:rPr>
          <w:rFonts w:hint="eastAsia" w:ascii="仿宋_GB2312" w:hAnsi="仿宋_GB2312" w:eastAsia="仿宋_GB2312" w:cs="仿宋_GB2312"/>
          <w:sz w:val="32"/>
          <w:szCs w:val="32"/>
          <w:lang w:val="en-US" w:eastAsia="zh-CN"/>
        </w:rPr>
        <w:t>建好了</w:t>
      </w:r>
      <w:r>
        <w:rPr>
          <w:rFonts w:hint="eastAsia" w:ascii="仿宋_GB2312" w:hAnsi="仿宋_GB2312" w:eastAsia="仿宋_GB2312" w:cs="仿宋_GB2312"/>
          <w:sz w:val="32"/>
          <w:szCs w:val="32"/>
        </w:rPr>
        <w:t>二期沿河护堤工程</w:t>
      </w:r>
      <w:r>
        <w:rPr>
          <w:rFonts w:hint="eastAsia" w:ascii="仿宋_GB2312" w:hAnsi="仿宋_GB2312" w:eastAsia="仿宋_GB2312" w:cs="仿宋_GB2312"/>
          <w:sz w:val="32"/>
          <w:szCs w:val="32"/>
          <w:lang w:val="en-US" w:eastAsia="zh-CN"/>
        </w:rPr>
        <w:t>和荷塘游步道</w:t>
      </w:r>
      <w:r>
        <w:rPr>
          <w:rFonts w:hint="eastAsia" w:ascii="仿宋_GB2312" w:hAnsi="仿宋_GB2312" w:eastAsia="仿宋_GB2312" w:cs="仿宋_GB2312"/>
          <w:sz w:val="32"/>
          <w:szCs w:val="32"/>
        </w:rPr>
        <w:t>。在核心景区安装垃圾箱20个；请专业公司制作了景区内的标识标牌并</w:t>
      </w:r>
      <w:r>
        <w:rPr>
          <w:rFonts w:hint="eastAsia" w:ascii="仿宋_GB2312" w:hAnsi="仿宋_GB2312" w:eastAsia="仿宋_GB2312" w:cs="仿宋_GB2312"/>
          <w:sz w:val="32"/>
          <w:szCs w:val="32"/>
          <w:lang w:eastAsia="zh-CN"/>
        </w:rPr>
        <w:t>安装</w:t>
      </w:r>
      <w:r>
        <w:rPr>
          <w:rFonts w:hint="eastAsia" w:ascii="仿宋_GB2312" w:hAnsi="仿宋_GB2312" w:eastAsia="仿宋_GB2312" w:cs="仿宋_GB2312"/>
          <w:sz w:val="32"/>
          <w:szCs w:val="32"/>
        </w:rPr>
        <w:t>。积极推进景区绿化，完成故里入口大道两侧花草种植。进行宝珍公园的规划和建设工作</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长征微缩电影步道也在快速推进中。何宝珍生平陈列室扩馆也做好了设计和财政评审工作。</w:t>
      </w:r>
    </w:p>
    <w:p>
      <w:pPr>
        <w:keepNext w:val="0"/>
        <w:keepLines w:val="0"/>
        <w:pageBreakBefore w:val="0"/>
        <w:kinsoku/>
        <w:wordWrap/>
        <w:overflowPunct/>
        <w:topLinePunct w:val="0"/>
        <w:autoSpaceDE/>
        <w:autoSpaceDN/>
        <w:bidi w:val="0"/>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加大宣传力度，提高故里知名度</w:t>
      </w:r>
    </w:p>
    <w:p>
      <w:pPr>
        <w:keepNext w:val="0"/>
        <w:keepLines w:val="0"/>
        <w:pageBreakBefore w:val="0"/>
        <w:kinsoku/>
        <w:wordWrap/>
        <w:overflowPunct/>
        <w:topLinePunct w:val="0"/>
        <w:autoSpaceDE/>
        <w:autoSpaceDN/>
        <w:bidi w:val="0"/>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我所以多种形式开展教育宣传活动，不断拓展扩大教育市场，让更多人走进何宝珍故里，了解何宝珍烈士的事迹，学习红色文化。</w:t>
      </w:r>
      <w:r>
        <w:rPr>
          <w:rFonts w:hint="eastAsia" w:ascii="仿宋_GB2312" w:hAnsi="仿宋_GB2312" w:eastAsia="仿宋_GB2312" w:cs="仿宋_GB2312"/>
          <w:sz w:val="32"/>
          <w:szCs w:val="32"/>
          <w:lang w:val="en-US" w:eastAsia="zh-CN"/>
        </w:rPr>
        <w:t>清明节期间，开展网上祭英烈活动。</w:t>
      </w:r>
      <w:r>
        <w:rPr>
          <w:rFonts w:hint="eastAsia" w:ascii="仿宋_GB2312" w:hAnsi="仿宋_GB2312" w:eastAsia="仿宋_GB2312" w:cs="仿宋_GB2312"/>
          <w:sz w:val="32"/>
          <w:szCs w:val="32"/>
        </w:rPr>
        <w:t>在新华社、湖南日报、永州日报、红网发表何宝珍故里新闻</w:t>
      </w:r>
      <w:r>
        <w:rPr>
          <w:rFonts w:hint="eastAsia" w:ascii="仿宋_GB2312" w:hAnsi="仿宋_GB2312" w:eastAsia="仿宋_GB2312" w:cs="仿宋_GB2312"/>
          <w:sz w:val="32"/>
          <w:szCs w:val="32"/>
          <w:lang w:val="en-US" w:eastAsia="zh-CN"/>
        </w:rPr>
        <w:t>40</w:t>
      </w:r>
      <w:r>
        <w:rPr>
          <w:rFonts w:hint="eastAsia" w:ascii="仿宋_GB2312" w:hAnsi="仿宋_GB2312" w:eastAsia="仿宋_GB2312" w:cs="仿宋_GB2312"/>
          <w:sz w:val="32"/>
          <w:szCs w:val="32"/>
        </w:rPr>
        <w:t>多篇</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今年</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宁远县水市完全小学</w:t>
      </w:r>
      <w:r>
        <w:rPr>
          <w:rFonts w:hint="eastAsia" w:ascii="仿宋_GB2312" w:hAnsi="仿宋_GB2312" w:eastAsia="仿宋_GB2312" w:cs="仿宋_GB2312"/>
          <w:sz w:val="32"/>
          <w:szCs w:val="32"/>
        </w:rPr>
        <w:t>组织</w:t>
      </w:r>
      <w:r>
        <w:rPr>
          <w:rFonts w:hint="eastAsia" w:ascii="仿宋_GB2312" w:hAnsi="仿宋_GB2312" w:eastAsia="仿宋_GB2312" w:cs="仿宋_GB2312"/>
          <w:sz w:val="32"/>
          <w:szCs w:val="32"/>
          <w:lang w:val="en-US" w:eastAsia="zh-CN"/>
        </w:rPr>
        <w:t>600</w:t>
      </w:r>
      <w:r>
        <w:rPr>
          <w:rFonts w:hint="eastAsia" w:ascii="仿宋_GB2312" w:hAnsi="仿宋_GB2312" w:eastAsia="仿宋_GB2312" w:cs="仿宋_GB2312"/>
          <w:sz w:val="32"/>
          <w:szCs w:val="32"/>
        </w:rPr>
        <w:t>多名学生到何宝珍故里学习红色文化，缅怀革命先烈，弘扬先烈的革命精神，加强青少年思想道德建设。</w:t>
      </w:r>
    </w:p>
    <w:p>
      <w:pPr>
        <w:keepNext w:val="0"/>
        <w:keepLines w:val="0"/>
        <w:pageBreakBefore w:val="0"/>
        <w:widowControl w:val="0"/>
        <w:kinsoku/>
        <w:wordWrap/>
        <w:overflowPunct/>
        <w:topLinePunct w:val="0"/>
        <w:autoSpaceDE/>
        <w:autoSpaceDN/>
        <w:bidi w:val="0"/>
        <w:adjustRightInd/>
        <w:spacing w:before="0" w:after="240" w:line="560" w:lineRule="exact"/>
        <w:ind w:left="0" w:right="0" w:firstLine="643" w:firstLineChars="200"/>
        <w:jc w:val="left"/>
        <w:textAlignment w:val="auto"/>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七、</w:t>
      </w:r>
      <w:r>
        <w:rPr>
          <w:rFonts w:ascii="仿宋_GB2312" w:hAnsi="仿宋_GB2312" w:eastAsia="仿宋_GB2312" w:cs="仿宋_GB2312"/>
          <w:b/>
          <w:bCs/>
          <w:sz w:val="32"/>
          <w:szCs w:val="32"/>
        </w:rPr>
        <w:t>存在的问题及原因分析</w:t>
      </w:r>
    </w:p>
    <w:p>
      <w:pPr>
        <w:keepNext w:val="0"/>
        <w:keepLines w:val="0"/>
        <w:pageBreakBefore w:val="0"/>
        <w:kinsoku/>
        <w:wordWrap/>
        <w:overflowPunct/>
        <w:topLinePunct w:val="0"/>
        <w:autoSpaceDE/>
        <w:autoSpaceDN/>
        <w:bidi w:val="0"/>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w:t>
      </w:r>
      <w:r>
        <w:rPr>
          <w:rFonts w:ascii="仿宋_GB2312" w:hAnsi="仿宋_GB2312" w:eastAsia="仿宋_GB2312" w:cs="仿宋_GB2312"/>
          <w:sz w:val="32"/>
          <w:szCs w:val="32"/>
        </w:rPr>
        <w:t>预算绩效管理机制有待进一步完善</w:t>
      </w:r>
      <w:r>
        <w:rPr>
          <w:rFonts w:hint="eastAsia" w:ascii="仿宋_GB2312" w:hAnsi="仿宋_GB2312" w:eastAsia="仿宋_GB2312" w:cs="仿宋_GB2312"/>
          <w:sz w:val="32"/>
          <w:szCs w:val="32"/>
        </w:rPr>
        <w:t>，</w:t>
      </w:r>
      <w:r>
        <w:rPr>
          <w:rFonts w:ascii="仿宋_GB2312" w:hAnsi="仿宋_GB2312" w:eastAsia="仿宋_GB2312" w:cs="仿宋_GB2312"/>
          <w:sz w:val="32"/>
          <w:szCs w:val="32"/>
        </w:rPr>
        <w:t>需进一步结合工作实际完善资金管理文件办法等</w:t>
      </w:r>
      <w:r>
        <w:rPr>
          <w:rFonts w:hint="eastAsia" w:ascii="仿宋_GB2312" w:hAnsi="仿宋_GB2312" w:eastAsia="仿宋_GB2312" w:cs="仿宋_GB2312"/>
          <w:sz w:val="32"/>
          <w:szCs w:val="32"/>
        </w:rPr>
        <w:t>。</w:t>
      </w:r>
    </w:p>
    <w:p>
      <w:pPr>
        <w:keepNext w:val="0"/>
        <w:keepLines w:val="0"/>
        <w:pageBreakBefore w:val="0"/>
        <w:kinsoku/>
        <w:wordWrap/>
        <w:overflowPunct/>
        <w:topLinePunct w:val="0"/>
        <w:autoSpaceDE/>
        <w:autoSpaceDN/>
        <w:bidi w:val="0"/>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w:t>
      </w:r>
      <w:r>
        <w:rPr>
          <w:rFonts w:ascii="仿宋_GB2312" w:hAnsi="仿宋_GB2312" w:eastAsia="仿宋_GB2312" w:cs="仿宋_GB2312"/>
          <w:sz w:val="32"/>
          <w:szCs w:val="32"/>
        </w:rPr>
        <w:t>绩效目标设定不够细化</w:t>
      </w:r>
      <w:r>
        <w:rPr>
          <w:rFonts w:hint="eastAsia" w:ascii="仿宋_GB2312" w:hAnsi="仿宋_GB2312" w:eastAsia="仿宋_GB2312" w:cs="仿宋_GB2312"/>
          <w:sz w:val="32"/>
          <w:szCs w:val="32"/>
        </w:rPr>
        <w:t>，</w:t>
      </w:r>
      <w:r>
        <w:rPr>
          <w:rFonts w:ascii="仿宋_GB2312" w:hAnsi="仿宋_GB2312" w:eastAsia="仿宋_GB2312" w:cs="仿宋_GB2312"/>
          <w:sz w:val="32"/>
          <w:szCs w:val="32"/>
        </w:rPr>
        <w:t>绩效目标的科学性、合理性以及量化可考核性有待进一步加强</w:t>
      </w:r>
      <w:r>
        <w:rPr>
          <w:rFonts w:hint="eastAsia" w:ascii="仿宋_GB2312" w:hAnsi="仿宋_GB2312" w:eastAsia="仿宋_GB2312" w:cs="仿宋_GB2312"/>
          <w:sz w:val="32"/>
          <w:szCs w:val="32"/>
        </w:rPr>
        <w:t>。</w:t>
      </w:r>
    </w:p>
    <w:p>
      <w:pPr>
        <w:keepNext w:val="0"/>
        <w:keepLines w:val="0"/>
        <w:pageBreakBefore w:val="0"/>
        <w:kinsoku/>
        <w:wordWrap/>
        <w:overflowPunct/>
        <w:topLinePunct w:val="0"/>
        <w:autoSpaceDE/>
        <w:autoSpaceDN/>
        <w:bidi w:val="0"/>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w:t>
      </w:r>
      <w:r>
        <w:rPr>
          <w:rFonts w:ascii="仿宋_GB2312" w:hAnsi="仿宋_GB2312" w:eastAsia="仿宋_GB2312" w:cs="仿宋_GB2312"/>
          <w:sz w:val="32"/>
          <w:szCs w:val="32"/>
        </w:rPr>
        <w:t>内控制度执行有待进一步规范</w:t>
      </w:r>
      <w:r>
        <w:rPr>
          <w:rFonts w:hint="eastAsia" w:ascii="仿宋_GB2312" w:hAnsi="仿宋_GB2312" w:eastAsia="仿宋_GB2312" w:cs="仿宋_GB2312"/>
          <w:sz w:val="32"/>
          <w:szCs w:val="32"/>
        </w:rPr>
        <w:t>。</w:t>
      </w:r>
    </w:p>
    <w:p>
      <w:pPr>
        <w:keepNext w:val="0"/>
        <w:keepLines w:val="0"/>
        <w:pageBreakBefore w:val="0"/>
        <w:kinsoku/>
        <w:wordWrap/>
        <w:overflowPunct/>
        <w:topLinePunct w:val="0"/>
        <w:autoSpaceDE/>
        <w:autoSpaceDN/>
        <w:bidi w:val="0"/>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4、存在预算资金不够细，支出与预算不够专的问题。</w:t>
      </w:r>
    </w:p>
    <w:p>
      <w:pPr>
        <w:pStyle w:val="9"/>
        <w:keepNext w:val="0"/>
        <w:keepLines w:val="0"/>
        <w:pageBreakBefore w:val="0"/>
        <w:widowControl/>
        <w:kinsoku/>
        <w:wordWrap/>
        <w:overflowPunct/>
        <w:topLinePunct w:val="0"/>
        <w:autoSpaceDE/>
        <w:autoSpaceDN/>
        <w:bidi w:val="0"/>
        <w:spacing w:line="560" w:lineRule="exact"/>
        <w:jc w:val="left"/>
        <w:rPr>
          <w:rFonts w:hint="eastAsia" w:ascii="仿宋_GB2312" w:hAnsi="仿宋_GB2312" w:eastAsia="仿宋_GB2312" w:cs="仿宋_GB2312"/>
          <w:b/>
          <w:bCs/>
          <w:sz w:val="32"/>
          <w:szCs w:val="32"/>
        </w:rPr>
      </w:pPr>
      <w:r>
        <w:rPr>
          <w:rFonts w:ascii="仿宋_GB2312" w:hAnsi="仿宋_GB2312" w:eastAsia="仿宋_GB2312" w:cs="仿宋_GB2312"/>
          <w:b/>
          <w:bCs/>
          <w:sz w:val="32"/>
          <w:szCs w:val="32"/>
        </w:rPr>
        <w:t>八、下一步改进措施</w:t>
      </w:r>
    </w:p>
    <w:p>
      <w:pPr>
        <w:keepNext w:val="0"/>
        <w:keepLines w:val="0"/>
        <w:pageBreakBefore w:val="0"/>
        <w:kinsoku/>
        <w:wordWrap/>
        <w:overflowPunct/>
        <w:topLinePunct w:val="0"/>
        <w:autoSpaceDE/>
        <w:autoSpaceDN/>
        <w:bidi w:val="0"/>
        <w:spacing w:line="560" w:lineRule="exact"/>
        <w:ind w:firstLine="640" w:firstLineChars="200"/>
        <w:rPr>
          <w:rFonts w:hint="eastAsia" w:ascii="仿宋_GB2312" w:hAnsi="仿宋_GB2312" w:eastAsia="仿宋_GB2312" w:cs="仿宋_GB2312"/>
          <w:color w:val="010101"/>
          <w:kern w:val="0"/>
          <w:sz w:val="32"/>
          <w:szCs w:val="32"/>
        </w:rPr>
      </w:pPr>
      <w:r>
        <w:rPr>
          <w:rFonts w:hint="eastAsia" w:ascii="仿宋_GB2312" w:hAnsi="仿宋_GB2312" w:eastAsia="仿宋_GB2312" w:cs="仿宋_GB2312"/>
          <w:color w:val="010101"/>
          <w:kern w:val="0"/>
          <w:sz w:val="32"/>
          <w:szCs w:val="32"/>
        </w:rPr>
        <w:t>（一）规范账务处理，提高财务信息质量 。</w:t>
      </w:r>
    </w:p>
    <w:p>
      <w:pPr>
        <w:keepNext w:val="0"/>
        <w:keepLines w:val="0"/>
        <w:pageBreakBefore w:val="0"/>
        <w:kinsoku/>
        <w:wordWrap/>
        <w:overflowPunct/>
        <w:topLinePunct w:val="0"/>
        <w:autoSpaceDE/>
        <w:autoSpaceDN/>
        <w:bidi w:val="0"/>
        <w:spacing w:line="560" w:lineRule="exact"/>
        <w:ind w:firstLine="640" w:firstLineChars="200"/>
        <w:rPr>
          <w:rFonts w:hint="eastAsia" w:ascii="仿宋_GB2312" w:hAnsi="仿宋_GB2312" w:eastAsia="仿宋_GB2312" w:cs="仿宋_GB2312"/>
          <w:color w:val="010101"/>
          <w:kern w:val="0"/>
          <w:sz w:val="32"/>
          <w:szCs w:val="32"/>
        </w:rPr>
      </w:pPr>
      <w:r>
        <w:rPr>
          <w:rFonts w:hint="eastAsia" w:ascii="仿宋_GB2312" w:hAnsi="仿宋_GB2312" w:eastAsia="仿宋_GB2312" w:cs="仿宋_GB2312"/>
          <w:color w:val="010101"/>
          <w:kern w:val="0"/>
          <w:sz w:val="32"/>
          <w:szCs w:val="32"/>
        </w:rPr>
        <w:t>严格按照《会计法》、《行政单位会计制度》、《行政单位财务规则》等规定执行财务核算，并结合实际情况，完整、准确地披露相关信息，做到决算与预算相衔接。</w:t>
      </w:r>
    </w:p>
    <w:p>
      <w:pPr>
        <w:keepNext w:val="0"/>
        <w:keepLines w:val="0"/>
        <w:pageBreakBefore w:val="0"/>
        <w:kinsoku/>
        <w:wordWrap/>
        <w:overflowPunct/>
        <w:topLinePunct w:val="0"/>
        <w:autoSpaceDE/>
        <w:autoSpaceDN/>
        <w:bidi w:val="0"/>
        <w:spacing w:line="560" w:lineRule="exact"/>
        <w:ind w:firstLine="640" w:firstLineChars="200"/>
        <w:rPr>
          <w:rFonts w:hint="eastAsia" w:ascii="仿宋_GB2312" w:hAnsi="仿宋_GB2312" w:eastAsia="仿宋_GB2312" w:cs="仿宋_GB2312"/>
          <w:color w:val="010101"/>
          <w:kern w:val="0"/>
          <w:sz w:val="32"/>
          <w:szCs w:val="32"/>
        </w:rPr>
      </w:pPr>
      <w:r>
        <w:rPr>
          <w:rFonts w:hint="eastAsia" w:ascii="仿宋_GB2312" w:hAnsi="仿宋_GB2312" w:eastAsia="仿宋_GB2312" w:cs="仿宋_GB2312"/>
          <w:color w:val="010101"/>
          <w:kern w:val="0"/>
          <w:sz w:val="32"/>
          <w:szCs w:val="32"/>
        </w:rPr>
        <w:t>（二）落实管理制度，进一步加强接待管理。</w:t>
      </w:r>
    </w:p>
    <w:p>
      <w:pPr>
        <w:keepNext w:val="0"/>
        <w:keepLines w:val="0"/>
        <w:pageBreakBefore w:val="0"/>
        <w:kinsoku/>
        <w:wordWrap/>
        <w:overflowPunct/>
        <w:topLinePunct w:val="0"/>
        <w:autoSpaceDE/>
        <w:autoSpaceDN/>
        <w:bidi w:val="0"/>
        <w:spacing w:line="560" w:lineRule="exact"/>
        <w:ind w:firstLine="640" w:firstLineChars="200"/>
        <w:rPr>
          <w:rFonts w:hint="eastAsia" w:ascii="仿宋_GB2312" w:hAnsi="仿宋_GB2312" w:eastAsia="仿宋_GB2312" w:cs="仿宋_GB2312"/>
          <w:color w:val="010101"/>
          <w:kern w:val="0"/>
          <w:sz w:val="32"/>
          <w:szCs w:val="32"/>
        </w:rPr>
      </w:pPr>
      <w:r>
        <w:rPr>
          <w:rFonts w:hint="eastAsia" w:ascii="仿宋_GB2312" w:hAnsi="仿宋_GB2312" w:eastAsia="仿宋_GB2312" w:cs="仿宋_GB2312"/>
          <w:color w:val="010101"/>
          <w:kern w:val="0"/>
          <w:sz w:val="32"/>
          <w:szCs w:val="32"/>
        </w:rPr>
        <w:t>按照《道县党政机关公务接待管理实施细则》的加强接待管理工作，对被接待单位人员要及时索取接待函对存在的问题。</w:t>
      </w:r>
    </w:p>
    <w:p>
      <w:pPr>
        <w:keepNext w:val="0"/>
        <w:keepLines w:val="0"/>
        <w:pageBreakBefore w:val="0"/>
        <w:kinsoku/>
        <w:wordWrap/>
        <w:overflowPunct/>
        <w:topLinePunct w:val="0"/>
        <w:autoSpaceDE/>
        <w:autoSpaceDN/>
        <w:bidi w:val="0"/>
        <w:adjustRightInd w:val="0"/>
        <w:snapToGrid w:val="0"/>
        <w:spacing w:line="560" w:lineRule="exact"/>
        <w:ind w:firstLine="640" w:firstLineChars="200"/>
        <w:rPr>
          <w:rFonts w:hint="eastAsia" w:ascii="仿宋_GB2312" w:hAnsi="仿宋_GB2312" w:eastAsia="仿宋_GB2312" w:cs="仿宋_GB2312"/>
          <w:color w:val="010101"/>
          <w:kern w:val="0"/>
          <w:sz w:val="32"/>
          <w:szCs w:val="32"/>
        </w:rPr>
      </w:pPr>
      <w:r>
        <w:rPr>
          <w:rFonts w:hint="eastAsia" w:ascii="仿宋_GB2312" w:hAnsi="仿宋_GB2312" w:eastAsia="仿宋_GB2312" w:cs="仿宋_GB2312"/>
          <w:color w:val="010101"/>
          <w:kern w:val="0"/>
          <w:sz w:val="32"/>
          <w:szCs w:val="32"/>
        </w:rPr>
        <w:t>（三）加强会计机构队伍建设</w:t>
      </w:r>
    </w:p>
    <w:p>
      <w:pPr>
        <w:keepNext w:val="0"/>
        <w:keepLines w:val="0"/>
        <w:pageBreakBefore w:val="0"/>
        <w:kinsoku/>
        <w:wordWrap/>
        <w:overflowPunct/>
        <w:topLinePunct w:val="0"/>
        <w:autoSpaceDE/>
        <w:autoSpaceDN/>
        <w:bidi w:val="0"/>
        <w:adjustRightInd w:val="0"/>
        <w:snapToGrid w:val="0"/>
        <w:spacing w:line="560" w:lineRule="exact"/>
        <w:ind w:firstLine="640" w:firstLineChars="200"/>
        <w:rPr>
          <w:rFonts w:hint="eastAsia" w:ascii="仿宋_GB2312" w:hAnsi="仿宋_GB2312" w:eastAsia="仿宋_GB2312" w:cs="仿宋_GB2312"/>
          <w:color w:val="010101"/>
          <w:kern w:val="0"/>
          <w:sz w:val="32"/>
          <w:szCs w:val="32"/>
        </w:rPr>
      </w:pPr>
      <w:r>
        <w:rPr>
          <w:rFonts w:hint="eastAsia" w:ascii="仿宋_GB2312" w:hAnsi="仿宋_GB2312" w:eastAsia="仿宋_GB2312" w:cs="仿宋_GB2312"/>
          <w:color w:val="010101"/>
          <w:kern w:val="0"/>
          <w:sz w:val="32"/>
          <w:szCs w:val="32"/>
        </w:rPr>
        <w:t>按照《中华人民共和国会计法》要求建立会计机关，配备齐会计人员，做到不相容岗位分设，加强会计监督。</w:t>
      </w:r>
    </w:p>
    <w:p>
      <w:pPr>
        <w:pStyle w:val="9"/>
        <w:keepNext w:val="0"/>
        <w:keepLines w:val="0"/>
        <w:pageBreakBefore w:val="0"/>
        <w:widowControl/>
        <w:kinsoku/>
        <w:wordWrap/>
        <w:overflowPunct/>
        <w:topLinePunct w:val="0"/>
        <w:autoSpaceDE/>
        <w:autoSpaceDN/>
        <w:bidi w:val="0"/>
        <w:spacing w:line="560" w:lineRule="exact"/>
        <w:jc w:val="left"/>
        <w:rPr>
          <w:rFonts w:hint="eastAsia" w:ascii="仿宋_GB2312" w:hAnsi="仿宋_GB2312" w:eastAsia="仿宋_GB2312" w:cs="仿宋_GB2312"/>
          <w:bCs/>
          <w:sz w:val="32"/>
          <w:szCs w:val="32"/>
        </w:rPr>
      </w:pPr>
      <w:r>
        <w:rPr>
          <w:rFonts w:hint="eastAsia" w:ascii="仿宋_GB2312" w:hAnsi="仿宋_GB2312" w:eastAsia="仿宋_GB2312" w:cs="仿宋_GB2312"/>
          <w:b/>
          <w:bCs/>
          <w:sz w:val="32"/>
          <w:szCs w:val="32"/>
        </w:rPr>
        <w:t>九、绩效自评结果拟应用和公开情况</w:t>
      </w:r>
    </w:p>
    <w:p>
      <w:pPr>
        <w:keepNext w:val="0"/>
        <w:keepLines w:val="0"/>
        <w:pageBreakBefore w:val="0"/>
        <w:kinsoku/>
        <w:wordWrap/>
        <w:overflowPunct/>
        <w:topLinePunct w:val="0"/>
        <w:autoSpaceDE/>
        <w:autoSpaceDN/>
        <w:bidi w:val="0"/>
        <w:spacing w:line="560" w:lineRule="exact"/>
        <w:ind w:firstLine="640" w:firstLineChars="200"/>
        <w:rPr>
          <w:rFonts w:hint="eastAsia" w:ascii="仿宋_GB2312" w:hAnsi="仿宋_GB2312" w:eastAsia="仿宋_GB2312" w:cs="仿宋_GB2312"/>
          <w:color w:val="010101"/>
          <w:kern w:val="0"/>
          <w:sz w:val="32"/>
          <w:szCs w:val="32"/>
        </w:rPr>
      </w:pPr>
      <w:r>
        <w:rPr>
          <w:rFonts w:hint="eastAsia" w:ascii="仿宋_GB2312" w:hAnsi="仿宋_GB2312" w:eastAsia="仿宋_GB2312" w:cs="仿宋_GB2312"/>
          <w:color w:val="010101"/>
          <w:kern w:val="0"/>
          <w:sz w:val="32"/>
          <w:szCs w:val="32"/>
        </w:rPr>
        <w:t>按照要求将部门整体支出自评结果在部门门户网站进行公开，优化支出结构、完善相关办法、改进预算管理。强化结果应用，建立完善评价结果与预算调整、改进管理、完善政策挂钩机制。</w:t>
      </w:r>
    </w:p>
    <w:p>
      <w:pPr>
        <w:keepNext w:val="0"/>
        <w:keepLines w:val="0"/>
        <w:pageBreakBefore w:val="0"/>
        <w:kinsoku/>
        <w:wordWrap/>
        <w:overflowPunct/>
        <w:topLinePunct w:val="0"/>
        <w:autoSpaceDE/>
        <w:autoSpaceDN/>
        <w:bidi w:val="0"/>
        <w:spacing w:line="560" w:lineRule="exact"/>
        <w:ind w:firstLine="643" w:firstLineChars="200"/>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十、其他需要说明的情况</w:t>
      </w:r>
    </w:p>
    <w:p>
      <w:pPr>
        <w:keepNext w:val="0"/>
        <w:keepLines w:val="0"/>
        <w:pageBreakBefore w:val="0"/>
        <w:kinsoku/>
        <w:wordWrap/>
        <w:overflowPunct/>
        <w:topLinePunct w:val="0"/>
        <w:autoSpaceDE/>
        <w:autoSpaceDN/>
        <w:bidi w:val="0"/>
        <w:spacing w:line="560" w:lineRule="exact"/>
        <w:ind w:firstLine="640" w:firstLineChars="200"/>
        <w:rPr>
          <w:rFonts w:hint="eastAsia" w:ascii="仿宋_GB2312" w:hAnsi="仿宋_GB2312" w:eastAsia="仿宋_GB2312" w:cs="仿宋_GB2312"/>
          <w:color w:val="010101"/>
          <w:kern w:val="0"/>
          <w:sz w:val="32"/>
          <w:szCs w:val="32"/>
        </w:rPr>
      </w:pPr>
      <w:r>
        <w:rPr>
          <w:rFonts w:hint="eastAsia" w:ascii="仿宋_GB2312" w:hAnsi="仿宋_GB2312" w:eastAsia="仿宋_GB2312" w:cs="仿宋_GB2312"/>
          <w:color w:val="010101"/>
          <w:kern w:val="0"/>
          <w:sz w:val="32"/>
          <w:szCs w:val="32"/>
        </w:rPr>
        <w:t>无。</w:t>
      </w:r>
    </w:p>
    <w:p>
      <w:pPr>
        <w:keepNext w:val="0"/>
        <w:keepLines w:val="0"/>
        <w:pageBreakBefore w:val="0"/>
        <w:kinsoku/>
        <w:wordWrap/>
        <w:overflowPunct/>
        <w:topLinePunct w:val="0"/>
        <w:autoSpaceDE/>
        <w:autoSpaceDN/>
        <w:bidi w:val="0"/>
        <w:spacing w:line="560" w:lineRule="exact"/>
        <w:ind w:firstLine="640" w:firstLineChars="200"/>
        <w:jc w:val="right"/>
        <w:rPr>
          <w:rFonts w:hint="eastAsia" w:ascii="仿宋_GB2312" w:hAnsi="仿宋_GB2312" w:eastAsia="仿宋_GB2312" w:cs="仿宋_GB2312"/>
          <w:color w:val="010101"/>
          <w:kern w:val="0"/>
          <w:sz w:val="32"/>
          <w:szCs w:val="32"/>
          <w:lang w:eastAsia="zh-CN"/>
        </w:rPr>
      </w:pPr>
      <w:r>
        <w:rPr>
          <w:rFonts w:hint="eastAsia" w:ascii="仿宋_GB2312" w:hAnsi="仿宋_GB2312" w:eastAsia="仿宋_GB2312" w:cs="仿宋_GB2312"/>
          <w:color w:val="010101"/>
          <w:kern w:val="0"/>
          <w:sz w:val="32"/>
          <w:szCs w:val="32"/>
          <w:lang w:eastAsia="zh-CN"/>
        </w:rPr>
        <w:t>何宝珍故里管理所</w:t>
      </w:r>
    </w:p>
    <w:p>
      <w:pPr>
        <w:pStyle w:val="5"/>
        <w:keepNext w:val="0"/>
        <w:keepLines w:val="0"/>
        <w:pageBreakBefore w:val="0"/>
        <w:kinsoku/>
        <w:wordWrap/>
        <w:overflowPunct/>
        <w:topLinePunct w:val="0"/>
        <w:autoSpaceDE/>
        <w:autoSpaceDN/>
        <w:bidi w:val="0"/>
        <w:spacing w:line="560" w:lineRule="exact"/>
        <w:ind w:firstLine="640" w:firstLineChars="200"/>
        <w:jc w:val="right"/>
        <w:rPr>
          <w:sz w:val="32"/>
          <w:szCs w:val="32"/>
        </w:rPr>
      </w:pPr>
      <w:r>
        <w:rPr>
          <w:rFonts w:hint="eastAsia" w:ascii="仿宋_GB2312" w:hAnsi="仿宋_GB2312" w:eastAsia="仿宋_GB2312" w:cs="仿宋_GB2312"/>
          <w:color w:val="010101"/>
          <w:kern w:val="0"/>
          <w:sz w:val="32"/>
          <w:szCs w:val="32"/>
        </w:rPr>
        <w:t>202</w:t>
      </w:r>
      <w:r>
        <w:rPr>
          <w:rFonts w:hint="eastAsia" w:ascii="仿宋_GB2312" w:hAnsi="仿宋_GB2312" w:eastAsia="仿宋_GB2312" w:cs="仿宋_GB2312"/>
          <w:color w:val="010101"/>
          <w:kern w:val="0"/>
          <w:sz w:val="32"/>
          <w:szCs w:val="32"/>
          <w:lang w:val="en-US" w:eastAsia="zh-CN"/>
        </w:rPr>
        <w:t>5</w:t>
      </w:r>
      <w:r>
        <w:rPr>
          <w:rFonts w:hint="eastAsia" w:ascii="仿宋_GB2312" w:hAnsi="仿宋_GB2312" w:eastAsia="仿宋_GB2312" w:cs="仿宋_GB2312"/>
          <w:color w:val="010101"/>
          <w:kern w:val="0"/>
          <w:sz w:val="32"/>
          <w:szCs w:val="32"/>
        </w:rPr>
        <w:t>年</w:t>
      </w:r>
      <w:r>
        <w:rPr>
          <w:rFonts w:hint="eastAsia" w:ascii="仿宋_GB2312" w:hAnsi="仿宋_GB2312" w:eastAsia="仿宋_GB2312" w:cs="仿宋_GB2312"/>
          <w:color w:val="010101"/>
          <w:kern w:val="0"/>
          <w:sz w:val="32"/>
          <w:szCs w:val="32"/>
          <w:lang w:val="en-US" w:eastAsia="zh-CN"/>
        </w:rPr>
        <w:t>6</w:t>
      </w:r>
      <w:r>
        <w:rPr>
          <w:rFonts w:hint="eastAsia" w:ascii="仿宋_GB2312" w:hAnsi="仿宋_GB2312" w:eastAsia="仿宋_GB2312" w:cs="仿宋_GB2312"/>
          <w:color w:val="010101"/>
          <w:kern w:val="0"/>
          <w:sz w:val="32"/>
          <w:szCs w:val="32"/>
        </w:rPr>
        <w:t>月</w:t>
      </w:r>
      <w:r>
        <w:rPr>
          <w:rFonts w:hint="eastAsia" w:ascii="仿宋_GB2312" w:hAnsi="仿宋_GB2312" w:eastAsia="仿宋_GB2312" w:cs="仿宋_GB2312"/>
          <w:color w:val="010101"/>
          <w:kern w:val="0"/>
          <w:sz w:val="32"/>
          <w:szCs w:val="32"/>
          <w:lang w:val="en-US" w:eastAsia="zh-CN"/>
        </w:rPr>
        <w:t>20</w:t>
      </w:r>
      <w:r>
        <w:rPr>
          <w:rFonts w:hint="eastAsia" w:ascii="仿宋_GB2312" w:hAnsi="仿宋_GB2312" w:eastAsia="仿宋_GB2312" w:cs="仿宋_GB2312"/>
          <w:color w:val="010101"/>
          <w:kern w:val="0"/>
          <w:sz w:val="32"/>
          <w:szCs w:val="32"/>
        </w:rPr>
        <w:t>日</w:t>
      </w:r>
    </w:p>
    <w:sectPr>
      <w:pgSz w:w="11906" w:h="16838"/>
      <w:pgMar w:top="1440" w:right="1797" w:bottom="1440" w:left="179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简体">
    <w:panose1 w:val="02000000000000000000"/>
    <w:charset w:val="86"/>
    <w:family w:val="auto"/>
    <w:pitch w:val="default"/>
    <w:sig w:usb0="A00002BF" w:usb1="184F6CFA" w:usb2="00000012" w:usb3="00000000" w:csb0="00040001" w:csb1="00000000"/>
  </w:font>
  <w:font w:name="方正小标宋简体">
    <w:panose1 w:val="02000000000000000000"/>
    <w:charset w:val="86"/>
    <w:family w:val="auto"/>
    <w:pitch w:val="default"/>
    <w:sig w:usb0="A00002BF" w:usb1="184F6CFA" w:usb2="00000012" w:usb3="00000000" w:csb0="00040001"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U0N2I1ZmZjYTU2MzUzNTU2MjhkMGVjYTcxNGI2MWEifQ=="/>
  </w:docVars>
  <w:rsids>
    <w:rsidRoot w:val="00000000"/>
    <w:rsid w:val="07B26B8E"/>
    <w:rsid w:val="1D547ED7"/>
    <w:rsid w:val="298B5F35"/>
    <w:rsid w:val="3F30723E"/>
    <w:rsid w:val="4FAD7C34"/>
    <w:rsid w:val="4FD4733F"/>
    <w:rsid w:val="61710AB5"/>
    <w:rsid w:val="769706CB"/>
    <w:rsid w:val="7B32508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qFormat="1" w:unhideWhenUsed="0" w:uiPriority="99"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character" w:default="1" w:styleId="8">
    <w:name w:val="Default Paragraph Font"/>
    <w:semiHidden/>
    <w:uiPriority w:val="0"/>
  </w:style>
  <w:style w:type="table" w:default="1" w:styleId="7">
    <w:name w:val="Normal Table"/>
    <w:semiHidden/>
    <w:qFormat/>
    <w:uiPriority w:val="0"/>
    <w:tblPr>
      <w:tblCellMar>
        <w:top w:w="0" w:type="dxa"/>
        <w:left w:w="108" w:type="dxa"/>
        <w:bottom w:w="0" w:type="dxa"/>
        <w:right w:w="108" w:type="dxa"/>
      </w:tblCellMar>
    </w:tblPr>
  </w:style>
  <w:style w:type="paragraph" w:customStyle="1" w:styleId="2">
    <w:name w:val="正文-公1"/>
    <w:basedOn w:val="3"/>
    <w:next w:val="1"/>
    <w:qFormat/>
    <w:uiPriority w:val="0"/>
    <w:pPr>
      <w:ind w:firstLine="200" w:firstLineChars="200"/>
    </w:pPr>
  </w:style>
  <w:style w:type="paragraph" w:customStyle="1" w:styleId="3">
    <w:name w:val="正文 New New New New New New New New New New New New New New New New New New New New New New New New New New New New New New New New New New New New New New New New New New New New New New New New New New New New New New New New New New New New New New Ne"/>
    <w:next w:val="2"/>
    <w:qFormat/>
    <w:uiPriority w:val="0"/>
    <w:pPr>
      <w:widowControl w:val="0"/>
      <w:jc w:val="both"/>
    </w:pPr>
    <w:rPr>
      <w:rFonts w:ascii="Times New Roman" w:hAnsi="Times New Roman" w:eastAsia="宋体" w:cs="Times New Roman"/>
      <w:kern w:val="2"/>
      <w:sz w:val="21"/>
      <w:lang w:val="en-US" w:eastAsia="zh-CN"/>
    </w:rPr>
  </w:style>
  <w:style w:type="paragraph" w:styleId="4">
    <w:name w:val="Body Text"/>
    <w:basedOn w:val="1"/>
    <w:unhideWhenUsed/>
    <w:qFormat/>
    <w:uiPriority w:val="99"/>
    <w:pPr>
      <w:spacing w:after="120" w:afterLines="0"/>
    </w:pPr>
  </w:style>
  <w:style w:type="paragraph" w:styleId="5">
    <w:name w:val="endnote text"/>
    <w:basedOn w:val="1"/>
    <w:semiHidden/>
    <w:qFormat/>
    <w:uiPriority w:val="99"/>
  </w:style>
  <w:style w:type="paragraph" w:styleId="6">
    <w:name w:val="Body Text First Indent"/>
    <w:basedOn w:val="4"/>
    <w:qFormat/>
    <w:uiPriority w:val="0"/>
    <w:pPr>
      <w:spacing w:line="630" w:lineRule="exact"/>
      <w:ind w:firstLine="420" w:firstLineChars="100"/>
      <w:textAlignment w:val="bottom"/>
    </w:pPr>
    <w:rPr>
      <w:rFonts w:eastAsia="方正仿宋简体"/>
      <w:spacing w:val="6"/>
      <w:sz w:val="32"/>
      <w:szCs w:val="32"/>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1952</Words>
  <Characters>2061</Characters>
  <Lines>0</Lines>
  <Paragraphs>0</Paragraphs>
  <TotalTime>11</TotalTime>
  <ScaleCrop>false</ScaleCrop>
  <LinksUpToDate>false</LinksUpToDate>
  <CharactersWithSpaces>2150</CharactersWithSpaces>
  <Application>WPS Office_11.8.2.10972_F1E327BC-269C-435d-A152-05C5408002CA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2022-10-13T03:04:00Z</dcterms:created>
  <dc:creator>Administrator</dc:creator>
  <cp:lastModifiedBy>MR</cp:lastModifiedBy>
  <dcterms:modified xsi:type="dcterms:W3CDTF">2025-12-04T02:21:54Z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2052-11.8.2.10972</vt:lpwstr>
  </property>
  <property fmtid="{D5CDD505-2E9C-101B-9397-08002B2CF9AE}" pid="3" name="ICV">
    <vt:lpwstr>4C7CA2903A474063BCA18A2C0F3AE625</vt:lpwstr>
  </property>
</Properties>
</file>