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bidi w:val="0"/>
        <w:spacing w:before="260" w:after="260"/>
        <w:ind w:left="700" w:leftChars="0"/>
        <w:jc w:val="both"/>
        <w:rPr>
          <w:rFonts w:hint="eastAsia" w:cs="Times New Roman" w:asciiTheme="minorEastAsia" w:hAnsiTheme="minorEastAsia"/>
          <w:b w:val="0"/>
          <w:color w:val="auto"/>
          <w:kern w:val="2"/>
          <w:sz w:val="28"/>
          <w:szCs w:val="28"/>
          <w:lang w:val="en-US" w:eastAsia="zh-CN" w:bidi="ar-SA"/>
        </w:rPr>
      </w:pPr>
      <w:r>
        <w:rPr>
          <w:rFonts w:hint="eastAsia" w:ascii="方正小标宋简体" w:eastAsia="方正小标宋简体" w:cs="Times New Roman"/>
          <w:b w:val="0"/>
          <w:spacing w:val="-26"/>
          <w:kern w:val="2"/>
          <w:sz w:val="44"/>
          <w:szCs w:val="44"/>
          <w:lang w:val="en-US" w:eastAsia="zh-CN" w:bidi="ar-SA"/>
        </w:rPr>
        <w:t>道县信访局</w:t>
      </w:r>
      <w:r>
        <w:rPr>
          <w:rFonts w:hint="eastAsia" w:ascii="方正小标宋简体" w:hAnsi="Times New Roman" w:eastAsia="方正小标宋简体" w:cs="Times New Roman"/>
          <w:b w:val="0"/>
          <w:spacing w:val="-26"/>
          <w:kern w:val="2"/>
          <w:sz w:val="44"/>
          <w:szCs w:val="44"/>
          <w:lang w:val="en-US" w:eastAsia="zh-CN" w:bidi="ar-SA"/>
        </w:rPr>
        <w:t>202</w:t>
      </w:r>
      <w:r>
        <w:rPr>
          <w:rFonts w:hint="eastAsia" w:ascii="方正小标宋简体" w:eastAsia="方正小标宋简体" w:cs="Times New Roman"/>
          <w:b w:val="0"/>
          <w:spacing w:val="-26"/>
          <w:kern w:val="2"/>
          <w:sz w:val="44"/>
          <w:szCs w:val="44"/>
          <w:lang w:val="en-US" w:eastAsia="zh-CN" w:bidi="ar-SA"/>
        </w:rPr>
        <w:t>4</w:t>
      </w:r>
      <w:r>
        <w:rPr>
          <w:rFonts w:hint="eastAsia" w:ascii="方正小标宋简体" w:hAnsi="Times New Roman" w:eastAsia="方正小标宋简体" w:cs="Times New Roman"/>
          <w:b w:val="0"/>
          <w:spacing w:val="-26"/>
          <w:kern w:val="2"/>
          <w:sz w:val="44"/>
          <w:szCs w:val="44"/>
          <w:lang w:val="en-US" w:eastAsia="zh-CN" w:bidi="ar-SA"/>
        </w:rPr>
        <w:t>年度整体支出绩效评价报告</w:t>
      </w:r>
    </w:p>
    <w:p>
      <w:pPr>
        <w:pStyle w:val="8"/>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一、基本情况</w:t>
      </w:r>
    </w:p>
    <w:p>
      <w:pPr>
        <w:pStyle w:val="8"/>
        <w:numPr>
          <w:ilvl w:val="0"/>
          <w:numId w:val="0"/>
        </w:numPr>
        <w:ind w:left="700" w:leftChars="0"/>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(一)单位基本情况</w:t>
      </w:r>
    </w:p>
    <w:p>
      <w:pPr>
        <w:ind w:firstLine="600" w:firstLineChars="200"/>
        <w:rPr>
          <w:rFonts w:hint="default"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bCs/>
          <w:sz w:val="30"/>
          <w:szCs w:val="30"/>
        </w:rPr>
        <w:t>1</w:t>
      </w:r>
      <w:r>
        <w:rPr>
          <w:rFonts w:hint="eastAsia" w:ascii="仿宋_GB2312" w:hAnsi="宋体"/>
          <w:b/>
          <w:sz w:val="30"/>
          <w:szCs w:val="30"/>
        </w:rPr>
        <w:t>、</w:t>
      </w:r>
      <w:r>
        <w:rPr>
          <w:rFonts w:hint="eastAsia" w:ascii="仿宋_GB2312" w:hAnsi="宋体"/>
          <w:bCs/>
          <w:sz w:val="30"/>
          <w:szCs w:val="30"/>
        </w:rPr>
        <w:t>职能职责</w:t>
      </w:r>
    </w:p>
    <w:p>
      <w:pPr>
        <w:ind w:firstLine="600" w:firstLineChars="200"/>
        <w:rPr>
          <w:rFonts w:hint="eastAsia" w:ascii="仿宋_GB2312" w:hAnsi="仿宋_GB2312" w:cs="仿宋_GB2312"/>
          <w:bCs/>
          <w:sz w:val="30"/>
          <w:szCs w:val="30"/>
        </w:rPr>
      </w:pPr>
      <w:r>
        <w:rPr>
          <w:rFonts w:hint="eastAsia" w:ascii="仿宋_GB2312" w:hAnsi="仿宋_GB2312" w:cs="仿宋_GB2312"/>
          <w:bCs/>
          <w:sz w:val="30"/>
          <w:szCs w:val="30"/>
        </w:rPr>
        <w:t>根据道办</w:t>
      </w:r>
      <w:r>
        <w:rPr>
          <w:rFonts w:ascii="仿宋_GB2312" w:hAnsi="仿宋_GB2312" w:cs="仿宋_GB2312"/>
          <w:bCs/>
          <w:sz w:val="30"/>
          <w:szCs w:val="30"/>
        </w:rPr>
        <w:t>[2010]36</w:t>
      </w:r>
      <w:r>
        <w:rPr>
          <w:rFonts w:hint="eastAsia" w:ascii="仿宋_GB2312" w:hAnsi="仿宋_GB2312" w:cs="仿宋_GB2312"/>
          <w:bCs/>
          <w:sz w:val="30"/>
          <w:szCs w:val="30"/>
        </w:rPr>
        <w:t>号文件规定，本单位主要工作职责是：用群众工作统揽信访调纠工作的长效机制，构建“一站式接待、一条龙办理、一揽子解决”的工作模式。实现信息联通、工作联手、措施联动，提高处理问题、化解矛盾的效率和做好群众工作的水平，确保各类信访问题和矛盾纠纷隐患化解在基层、消除在萌芽状态，有效预防和化解群体性事件和非正常上访，维护社会和谐稳定。</w:t>
      </w:r>
      <w:r>
        <w:rPr>
          <w:rFonts w:ascii="仿宋_GB2312" w:hAnsi="仿宋_GB2312" w:cs="仿宋_GB2312"/>
          <w:bCs/>
          <w:sz w:val="30"/>
          <w:szCs w:val="30"/>
        </w:rPr>
        <w:t xml:space="preserve"> </w:t>
      </w:r>
    </w:p>
    <w:p>
      <w:pPr>
        <w:widowControl/>
        <w:ind w:firstLine="627" w:firstLineChars="196"/>
        <w:jc w:val="left"/>
        <w:rPr>
          <w:rFonts w:hint="eastAsia" w:ascii="仿宋_GB2312"/>
        </w:rPr>
      </w:pPr>
      <w:r>
        <w:rPr>
          <w:rFonts w:hint="eastAsia" w:ascii="仿宋_GB2312"/>
        </w:rPr>
        <w:t>2、机构设置</w:t>
      </w:r>
    </w:p>
    <w:p>
      <w:pPr>
        <w:ind w:firstLine="600" w:firstLineChars="200"/>
        <w:rPr>
          <w:rFonts w:ascii="仿宋_GB2312" w:hAnsi="仿宋_GB2312"/>
          <w:bCs/>
          <w:sz w:val="30"/>
          <w:szCs w:val="30"/>
        </w:rPr>
      </w:pPr>
      <w:r>
        <w:rPr>
          <w:rFonts w:hint="eastAsia" w:ascii="仿宋_GB2312" w:hAnsi="仿宋_GB2312" w:cs="仿宋_GB2312"/>
          <w:bCs/>
          <w:sz w:val="30"/>
          <w:szCs w:val="30"/>
        </w:rPr>
        <w:t>本单位含驻京办、驻长办两个二级预算单位，下设办公室（内设信访导访室、复查复核室、信访办理室等三个室）、应急处突室、接访调处一室（涉法涉诉）、接访调处二室（企业改制、交通和劳动社会保障等）、接访调处三室（国土、规划、城管）、接访调处四室（农业、农村工作）、接访调处五室（文化、教育、卫生、计生）、接访调处六室（军队退役人员、民政工作）、接访调处七室（三大权属调纠）、督办追责室等</w:t>
      </w:r>
      <w:r>
        <w:rPr>
          <w:rFonts w:ascii="仿宋_GB2312" w:hAnsi="仿宋_GB2312" w:cs="仿宋_GB2312"/>
          <w:bCs/>
          <w:sz w:val="30"/>
          <w:szCs w:val="30"/>
        </w:rPr>
        <w:t>10</w:t>
      </w:r>
      <w:r>
        <w:rPr>
          <w:rFonts w:hint="eastAsia" w:ascii="仿宋_GB2312" w:hAnsi="仿宋_GB2312" w:cs="仿宋_GB2312"/>
          <w:bCs/>
          <w:sz w:val="30"/>
          <w:szCs w:val="30"/>
        </w:rPr>
        <w:t>个职能股室。现有工作人员46人。车辆共</w:t>
      </w:r>
      <w:r>
        <w:rPr>
          <w:rFonts w:hint="eastAsia" w:ascii="仿宋_GB2312" w:hAnsi="仿宋_GB2312" w:cs="仿宋_GB2312"/>
          <w:bCs/>
          <w:sz w:val="30"/>
          <w:szCs w:val="30"/>
          <w:lang w:val="en-US" w:eastAsia="zh-CN"/>
        </w:rPr>
        <w:t>2</w:t>
      </w:r>
      <w:r>
        <w:rPr>
          <w:rFonts w:hint="eastAsia" w:ascii="仿宋_GB2312" w:hAnsi="仿宋_GB2312" w:cs="仿宋_GB2312"/>
          <w:bCs/>
          <w:sz w:val="30"/>
          <w:szCs w:val="30"/>
        </w:rPr>
        <w:t>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（二）整体支出绩效目标</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目标1、协调化解一批信访积案120个。</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目标2、确保全国省市两会期间北京零登记零挂号。</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b/>
          <w:bCs/>
          <w:i w:val="0"/>
          <w:iCs w:val="0"/>
          <w:caps w:val="0"/>
          <w:color w:val="000000"/>
          <w:spacing w:val="0"/>
          <w:sz w:val="32"/>
          <w:szCs w:val="32"/>
          <w:shd w:val="clear" w:color="auto" w:fill="FFFFFF"/>
          <w:lang w:val="en-US" w:eastAsia="zh-CN"/>
        </w:rPr>
      </w:pPr>
      <w:r>
        <w:rPr>
          <w:rFonts w:hint="eastAsia" w:ascii="仿宋_GB2312" w:hAnsi="宋体" w:eastAsia="仿宋_GB2312" w:cs="仿宋_GB2312"/>
          <w:b/>
          <w:bCs/>
          <w:i w:val="0"/>
          <w:iCs w:val="0"/>
          <w:caps w:val="0"/>
          <w:color w:val="000000"/>
          <w:spacing w:val="0"/>
          <w:sz w:val="32"/>
          <w:szCs w:val="32"/>
          <w:shd w:val="clear" w:color="auto" w:fill="FFFFFF"/>
          <w:lang w:val="en-US" w:eastAsia="zh-CN"/>
        </w:rPr>
        <w:t>目标3、及时化解、处置信访维稳案件。</w:t>
      </w:r>
    </w:p>
    <w:p>
      <w:pPr>
        <w:pStyle w:val="8"/>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p>
    <w:p>
      <w:pPr>
        <w:pStyle w:val="8"/>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b/>
          <w:bCs/>
          <w:i w:val="0"/>
          <w:iCs w:val="0"/>
          <w:caps w:val="0"/>
          <w:color w:val="000000"/>
          <w:spacing w:val="0"/>
          <w:kern w:val="2"/>
          <w:sz w:val="32"/>
          <w:szCs w:val="32"/>
          <w:shd w:val="clear" w:color="auto" w:fill="FFFFFF"/>
          <w:lang w:val="en-US" w:eastAsia="zh-CN" w:bidi="ar-SA"/>
        </w:rPr>
        <w:t>二、一般公共预算拨款支出情况</w:t>
      </w:r>
    </w:p>
    <w:p>
      <w:pPr>
        <w:autoSpaceDE w:val="0"/>
        <w:autoSpaceDN w:val="0"/>
        <w:adjustRightInd w:val="0"/>
        <w:spacing w:beforeLines="0" w:afterLines="0" w:line="360" w:lineRule="auto"/>
        <w:ind w:firstLine="640"/>
        <w:rPr>
          <w:rFonts w:hint="default" w:ascii="Times New Roman" w:hAnsi="Times New Roman" w:eastAsia="仿宋"/>
          <w:sz w:val="32"/>
        </w:rPr>
      </w:pPr>
      <w:r>
        <w:rPr>
          <w:rFonts w:hint="eastAsia" w:ascii="仿宋" w:hAnsi="Times New Roman" w:eastAsia="仿宋"/>
          <w:sz w:val="32"/>
        </w:rPr>
        <w:t>202</w:t>
      </w:r>
      <w:r>
        <w:rPr>
          <w:rFonts w:hint="eastAsia" w:ascii="仿宋" w:eastAsia="仿宋"/>
          <w:sz w:val="32"/>
          <w:lang w:val="en-US" w:eastAsia="zh-CN"/>
        </w:rPr>
        <w:t>4</w:t>
      </w:r>
      <w:r>
        <w:rPr>
          <w:rFonts w:hint="eastAsia" w:ascii="仿宋" w:hAnsi="Times New Roman" w:eastAsia="仿宋"/>
          <w:sz w:val="32"/>
        </w:rPr>
        <w:t>年，本部门年初预算收入</w:t>
      </w:r>
      <w:r>
        <w:rPr>
          <w:rFonts w:hint="eastAsia" w:ascii="仿宋" w:eastAsia="仿宋"/>
          <w:sz w:val="28"/>
          <w:lang w:val="en-US" w:eastAsia="zh-CN"/>
        </w:rPr>
        <w:t>734.2</w:t>
      </w:r>
      <w:r>
        <w:rPr>
          <w:rFonts w:hint="eastAsia" w:ascii="仿宋" w:hAnsi="Times New Roman" w:eastAsia="仿宋"/>
          <w:sz w:val="32"/>
        </w:rPr>
        <w:t>万元，比上年</w:t>
      </w:r>
      <w:r>
        <w:rPr>
          <w:rFonts w:hint="eastAsia" w:ascii="仿宋" w:eastAsia="仿宋"/>
          <w:sz w:val="32"/>
          <w:lang w:eastAsia="zh-CN"/>
        </w:rPr>
        <w:t>增加</w:t>
      </w:r>
      <w:r>
        <w:rPr>
          <w:rFonts w:hint="eastAsia" w:ascii="仿宋" w:eastAsia="仿宋"/>
          <w:sz w:val="32"/>
          <w:lang w:val="en-US" w:eastAsia="zh-CN"/>
        </w:rPr>
        <w:t>109.1</w:t>
      </w:r>
      <w:r>
        <w:rPr>
          <w:rFonts w:hint="eastAsia" w:ascii="仿宋" w:hAnsi="Times New Roman" w:eastAsia="仿宋"/>
          <w:sz w:val="32"/>
        </w:rPr>
        <w:t>万元，</w:t>
      </w:r>
      <w:r>
        <w:rPr>
          <w:rFonts w:hint="eastAsia" w:ascii="仿宋" w:eastAsia="仿宋"/>
          <w:sz w:val="32"/>
          <w:lang w:eastAsia="zh-CN"/>
        </w:rPr>
        <w:t>增加</w:t>
      </w:r>
      <w:r>
        <w:rPr>
          <w:rFonts w:hint="eastAsia" w:ascii="仿宋" w:eastAsia="仿宋"/>
          <w:sz w:val="32"/>
          <w:lang w:val="en-US" w:eastAsia="zh-CN"/>
        </w:rPr>
        <w:t>17.47</w:t>
      </w:r>
      <w:r>
        <w:rPr>
          <w:rFonts w:hint="eastAsia" w:ascii="仿宋" w:hAnsi="Times New Roman" w:eastAsia="仿宋"/>
          <w:sz w:val="32"/>
        </w:rPr>
        <w:t>%。其中：一般公共预算财政拨款收入年初预算</w:t>
      </w:r>
      <w:r>
        <w:rPr>
          <w:rFonts w:hint="eastAsia" w:ascii="仿宋" w:eastAsia="仿宋"/>
          <w:sz w:val="28"/>
          <w:lang w:val="en-US" w:eastAsia="zh-CN"/>
        </w:rPr>
        <w:t>734.2</w:t>
      </w:r>
      <w:r>
        <w:rPr>
          <w:rFonts w:hint="eastAsia" w:ascii="仿宋" w:hAnsi="Times New Roman" w:eastAsia="仿宋"/>
          <w:sz w:val="32"/>
        </w:rPr>
        <w:t>万元，比上年</w:t>
      </w:r>
      <w:r>
        <w:rPr>
          <w:rFonts w:hint="eastAsia" w:ascii="仿宋" w:eastAsia="仿宋"/>
          <w:sz w:val="32"/>
          <w:lang w:eastAsia="zh-CN"/>
        </w:rPr>
        <w:t>增加</w:t>
      </w:r>
      <w:r>
        <w:rPr>
          <w:rFonts w:hint="eastAsia" w:ascii="仿宋" w:eastAsia="仿宋"/>
          <w:sz w:val="32"/>
          <w:lang w:val="en-US" w:eastAsia="zh-CN"/>
        </w:rPr>
        <w:t>109.1</w:t>
      </w:r>
      <w:r>
        <w:rPr>
          <w:rFonts w:hint="eastAsia" w:ascii="仿宋" w:hAnsi="Times New Roman" w:eastAsia="仿宋"/>
          <w:sz w:val="32"/>
        </w:rPr>
        <w:t>万元。</w:t>
      </w:r>
      <w:r>
        <w:rPr>
          <w:rFonts w:hint="eastAsia" w:ascii="Times New Roman" w:hAnsi="Times New Roman" w:eastAsia="仿宋"/>
          <w:sz w:val="32"/>
          <w:lang w:val="zh-CN"/>
        </w:rPr>
        <w:t>主要是</w:t>
      </w:r>
      <w:r>
        <w:rPr>
          <w:rFonts w:hint="eastAsia" w:eastAsia="仿宋"/>
          <w:sz w:val="32"/>
          <w:lang w:val="en-US" w:eastAsia="zh-CN"/>
        </w:rPr>
        <w:t>2024年</w:t>
      </w:r>
      <w:r>
        <w:rPr>
          <w:rFonts w:hint="eastAsia" w:eastAsia="仿宋"/>
          <w:sz w:val="32"/>
          <w:lang w:val="zh-CN"/>
        </w:rPr>
        <w:t>信访业务增加</w:t>
      </w:r>
      <w:r>
        <w:rPr>
          <w:rFonts w:hint="eastAsia" w:ascii="Times New Roman" w:hAnsi="Times New Roman" w:eastAsia="仿宋"/>
          <w:sz w:val="32"/>
          <w:lang w:val="zh-CN"/>
        </w:rPr>
        <w:t>，</w:t>
      </w:r>
      <w:r>
        <w:rPr>
          <w:rFonts w:hint="eastAsia" w:eastAsia="仿宋"/>
          <w:sz w:val="32"/>
          <w:lang w:val="zh-CN"/>
        </w:rPr>
        <w:t>信访维稳</w:t>
      </w:r>
      <w:r>
        <w:rPr>
          <w:rFonts w:hint="eastAsia" w:ascii="Times New Roman" w:hAnsi="Times New Roman" w:eastAsia="仿宋"/>
          <w:sz w:val="32"/>
          <w:lang w:val="zh-CN"/>
        </w:rPr>
        <w:t>工作经费开支</w:t>
      </w:r>
      <w:r>
        <w:rPr>
          <w:rFonts w:hint="eastAsia" w:eastAsia="仿宋"/>
          <w:sz w:val="32"/>
          <w:lang w:val="zh-CN"/>
        </w:rPr>
        <w:t>有所增加</w:t>
      </w:r>
      <w:r>
        <w:rPr>
          <w:rFonts w:hint="eastAsia" w:ascii="仿宋" w:hAnsi="Times New Roman" w:eastAsia="仿宋"/>
          <w:sz w:val="32"/>
        </w:rPr>
        <w:t>。</w:t>
      </w:r>
    </w:p>
    <w:p>
      <w:pPr>
        <w:autoSpaceDE w:val="0"/>
        <w:autoSpaceDN w:val="0"/>
        <w:adjustRightInd w:val="0"/>
        <w:spacing w:beforeLines="0" w:afterLines="0" w:line="360" w:lineRule="auto"/>
        <w:ind w:firstLine="640"/>
        <w:rPr>
          <w:rFonts w:hint="default" w:ascii="Times New Roman" w:hAnsi="Times New Roman" w:eastAsia="仿宋"/>
          <w:sz w:val="32"/>
        </w:rPr>
      </w:pPr>
      <w:r>
        <w:rPr>
          <w:rFonts w:hint="eastAsia" w:ascii="仿宋" w:hAnsi="Times New Roman" w:eastAsia="仿宋"/>
          <w:sz w:val="32"/>
        </w:rPr>
        <w:t>其中：基本</w:t>
      </w:r>
      <w:r>
        <w:rPr>
          <w:rFonts w:hint="eastAsia" w:ascii="仿宋" w:hAnsi="Times New Roman" w:eastAsia="仿宋"/>
          <w:sz w:val="32"/>
          <w:lang w:val="zh-CN"/>
        </w:rPr>
        <w:t>支出</w:t>
      </w:r>
      <w:r>
        <w:rPr>
          <w:rFonts w:hint="eastAsia" w:ascii="仿宋" w:hAnsi="Times New Roman" w:eastAsia="仿宋"/>
          <w:sz w:val="32"/>
        </w:rPr>
        <w:t>年初预算</w:t>
      </w:r>
      <w:r>
        <w:rPr>
          <w:rFonts w:hint="eastAsia" w:ascii="仿宋" w:eastAsia="仿宋"/>
          <w:sz w:val="28"/>
          <w:lang w:val="en-US" w:eastAsia="zh-CN"/>
        </w:rPr>
        <w:t>254.3</w:t>
      </w:r>
      <w:r>
        <w:rPr>
          <w:rFonts w:hint="eastAsia" w:ascii="仿宋" w:hAnsi="Times New Roman" w:eastAsia="仿宋"/>
          <w:sz w:val="32"/>
        </w:rPr>
        <w:t>万元，</w:t>
      </w:r>
      <w:r>
        <w:rPr>
          <w:rFonts w:hint="eastAsia" w:ascii="仿宋" w:eastAsia="仿宋"/>
          <w:sz w:val="32"/>
          <w:lang w:eastAsia="zh-CN"/>
        </w:rPr>
        <w:t>比</w:t>
      </w:r>
      <w:r>
        <w:rPr>
          <w:rFonts w:hint="eastAsia" w:ascii="仿宋" w:hAnsi="Times New Roman" w:eastAsia="仿宋"/>
          <w:sz w:val="32"/>
        </w:rPr>
        <w:t>上年</w:t>
      </w:r>
      <w:r>
        <w:rPr>
          <w:rFonts w:hint="eastAsia" w:ascii="仿宋" w:eastAsia="仿宋"/>
          <w:sz w:val="32"/>
          <w:lang w:eastAsia="zh-CN"/>
        </w:rPr>
        <w:t>增加了</w:t>
      </w:r>
      <w:r>
        <w:rPr>
          <w:rFonts w:hint="eastAsia" w:ascii="仿宋" w:eastAsia="仿宋"/>
          <w:sz w:val="32"/>
          <w:lang w:val="en-US" w:eastAsia="zh-CN"/>
        </w:rPr>
        <w:t>10.3万元，增加5.54%</w:t>
      </w:r>
      <w:r>
        <w:rPr>
          <w:rFonts w:hint="eastAsia" w:ascii="仿宋" w:hAnsi="Times New Roman" w:eastAsia="仿宋"/>
          <w:sz w:val="32"/>
        </w:rPr>
        <w:t>；项目支出年初预算</w:t>
      </w:r>
      <w:r>
        <w:rPr>
          <w:rFonts w:hint="eastAsia" w:ascii="仿宋" w:eastAsia="仿宋"/>
          <w:sz w:val="28"/>
          <w:lang w:val="en-US" w:eastAsia="zh-CN"/>
        </w:rPr>
        <w:t>479.9</w:t>
      </w:r>
      <w:r>
        <w:rPr>
          <w:rFonts w:hint="eastAsia" w:ascii="仿宋" w:hAnsi="Times New Roman" w:eastAsia="仿宋"/>
          <w:sz w:val="32"/>
        </w:rPr>
        <w:t>万元，比上年</w:t>
      </w:r>
      <w:r>
        <w:rPr>
          <w:rFonts w:hint="eastAsia" w:ascii="仿宋" w:eastAsia="仿宋"/>
          <w:sz w:val="32"/>
          <w:lang w:eastAsia="zh-CN"/>
        </w:rPr>
        <w:t>增加</w:t>
      </w:r>
      <w:r>
        <w:rPr>
          <w:rFonts w:hint="eastAsia" w:ascii="仿宋" w:eastAsia="仿宋"/>
          <w:sz w:val="32"/>
          <w:lang w:val="en-US" w:eastAsia="zh-CN"/>
        </w:rPr>
        <w:t>94.9</w:t>
      </w:r>
      <w:r>
        <w:rPr>
          <w:rFonts w:hint="eastAsia" w:ascii="仿宋" w:hAnsi="Times New Roman" w:eastAsia="仿宋"/>
          <w:sz w:val="32"/>
        </w:rPr>
        <w:t>万元，</w:t>
      </w:r>
      <w:r>
        <w:rPr>
          <w:rFonts w:hint="eastAsia" w:ascii="仿宋" w:eastAsia="仿宋"/>
          <w:sz w:val="32"/>
          <w:lang w:eastAsia="zh-CN"/>
        </w:rPr>
        <w:t>增加</w:t>
      </w:r>
      <w:r>
        <w:rPr>
          <w:rFonts w:hint="eastAsia" w:ascii="仿宋" w:eastAsia="仿宋"/>
          <w:sz w:val="32"/>
          <w:lang w:val="en-US" w:eastAsia="zh-CN"/>
        </w:rPr>
        <w:t>24.65</w:t>
      </w:r>
      <w:r>
        <w:rPr>
          <w:rFonts w:hint="eastAsia" w:ascii="仿宋" w:hAnsi="Times New Roman" w:eastAsia="仿宋"/>
          <w:sz w:val="32"/>
        </w:rPr>
        <w:t>%。</w:t>
      </w:r>
      <w:r>
        <w:rPr>
          <w:rFonts w:hint="eastAsia" w:ascii="Times New Roman" w:hAnsi="Times New Roman" w:eastAsia="仿宋"/>
          <w:sz w:val="32"/>
          <w:lang w:val="zh-CN"/>
        </w:rPr>
        <w:t>主要是</w:t>
      </w:r>
      <w:r>
        <w:rPr>
          <w:rFonts w:hint="eastAsia" w:eastAsia="仿宋"/>
          <w:sz w:val="32"/>
          <w:lang w:val="en-US" w:eastAsia="zh-CN"/>
        </w:rPr>
        <w:t>2024年</w:t>
      </w:r>
      <w:r>
        <w:rPr>
          <w:rFonts w:hint="eastAsia" w:eastAsia="仿宋"/>
          <w:sz w:val="32"/>
          <w:lang w:val="zh-CN"/>
        </w:rPr>
        <w:t>信访业务增加</w:t>
      </w:r>
      <w:r>
        <w:rPr>
          <w:rFonts w:hint="eastAsia" w:ascii="Times New Roman" w:hAnsi="Times New Roman" w:eastAsia="仿宋"/>
          <w:sz w:val="32"/>
          <w:lang w:val="zh-CN"/>
        </w:rPr>
        <w:t>，</w:t>
      </w:r>
      <w:r>
        <w:rPr>
          <w:rFonts w:hint="eastAsia" w:eastAsia="仿宋"/>
          <w:sz w:val="32"/>
          <w:lang w:val="zh-CN"/>
        </w:rPr>
        <w:t>信访维稳</w:t>
      </w:r>
      <w:r>
        <w:rPr>
          <w:rFonts w:hint="eastAsia" w:ascii="Times New Roman" w:hAnsi="Times New Roman" w:eastAsia="仿宋"/>
          <w:sz w:val="32"/>
          <w:lang w:val="zh-CN"/>
        </w:rPr>
        <w:t>工作经费</w:t>
      </w:r>
      <w:r>
        <w:rPr>
          <w:rFonts w:hint="eastAsia" w:eastAsia="仿宋"/>
          <w:sz w:val="32"/>
          <w:lang w:val="zh-CN"/>
        </w:rPr>
        <w:t>和人员经费</w:t>
      </w:r>
      <w:r>
        <w:rPr>
          <w:rFonts w:hint="eastAsia" w:ascii="Times New Roman" w:hAnsi="Times New Roman" w:eastAsia="仿宋"/>
          <w:sz w:val="32"/>
          <w:lang w:val="zh-CN"/>
        </w:rPr>
        <w:t>开支</w:t>
      </w:r>
      <w:r>
        <w:rPr>
          <w:rFonts w:hint="eastAsia" w:eastAsia="仿宋"/>
          <w:sz w:val="32"/>
          <w:lang w:val="zh-CN"/>
        </w:rPr>
        <w:t>有所增加</w:t>
      </w:r>
      <w:r>
        <w:rPr>
          <w:rFonts w:hint="eastAsia" w:ascii="仿宋" w:hAnsi="Times New Roman" w:eastAsia="仿宋"/>
          <w:sz w:val="32"/>
        </w:rPr>
        <w:t>。</w:t>
      </w:r>
      <w:bookmarkStart w:id="0" w:name="_GoBack"/>
      <w:bookmarkEnd w:id="0"/>
    </w:p>
    <w:p>
      <w:pPr>
        <w:pStyle w:val="8"/>
        <w:numPr>
          <w:ilvl w:val="0"/>
          <w:numId w:val="0"/>
        </w:numPr>
        <w:ind w:left="700" w:leftChars="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三、政府性基金预算支出情况</w:t>
      </w:r>
    </w:p>
    <w:p>
      <w:pPr>
        <w:keepNext w:val="0"/>
        <w:keepLines w:val="0"/>
        <w:pageBreakBefore w:val="0"/>
        <w:numPr>
          <w:ilvl w:val="0"/>
          <w:numId w:val="0"/>
        </w:numPr>
        <w:kinsoku/>
        <w:wordWrap/>
        <w:overflowPunct/>
        <w:topLinePunct w:val="0"/>
        <w:autoSpaceDE/>
        <w:autoSpaceDN/>
        <w:bidi w:val="0"/>
        <w:adjustRightInd/>
        <w:spacing w:line="560" w:lineRule="exact"/>
        <w:ind w:right="11" w:rightChars="0"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202</w:t>
      </w:r>
      <w:r>
        <w:rPr>
          <w:rFonts w:hint="eastAsia" w:ascii="仿宋_GB2312" w:hAnsi="宋体" w:cs="仿宋_GB2312"/>
          <w:i w:val="0"/>
          <w:iCs w:val="0"/>
          <w:caps w:val="0"/>
          <w:color w:val="000000"/>
          <w:spacing w:val="0"/>
          <w:kern w:val="2"/>
          <w:sz w:val="32"/>
          <w:szCs w:val="32"/>
          <w:shd w:val="clear" w:color="auto" w:fill="FFFFFF"/>
          <w:lang w:val="en-US" w:eastAsia="zh-CN" w:bidi="ar-SA"/>
        </w:rPr>
        <w:t>4</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年无政府性基金预算。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四、</w:t>
      </w:r>
      <w:r>
        <w:rPr>
          <w:rFonts w:hint="default" w:ascii="黑体" w:hAnsi="黑体" w:eastAsia="黑体" w:cs="黑体"/>
          <w:b/>
          <w:bCs/>
          <w:color w:val="auto"/>
          <w:kern w:val="2"/>
          <w:sz w:val="32"/>
          <w:szCs w:val="32"/>
          <w:lang w:val="en-US" w:eastAsia="zh-CN" w:bidi="ar-SA"/>
        </w:rPr>
        <w:t>国有资本经营预算支出情况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color="auto" w:fill="FFFFFF"/>
          <w:lang w:val="en-US" w:eastAsia="zh-CN"/>
        </w:rPr>
      </w:pPr>
      <w:r>
        <w:rPr>
          <w:rFonts w:hint="eastAsia" w:ascii="仿宋_GB2312" w:hAnsi="宋体" w:eastAsia="仿宋_GB2312" w:cs="仿宋_GB2312"/>
          <w:i w:val="0"/>
          <w:iCs w:val="0"/>
          <w:caps w:val="0"/>
          <w:color w:val="000000"/>
          <w:spacing w:val="0"/>
          <w:sz w:val="32"/>
          <w:szCs w:val="32"/>
          <w:shd w:val="clear" w:color="auto" w:fill="FFFFFF"/>
          <w:lang w:val="en-US" w:eastAsia="zh-CN"/>
        </w:rPr>
        <w:t>道县</w:t>
      </w:r>
      <w:r>
        <w:rPr>
          <w:rFonts w:hint="eastAsia" w:ascii="仿宋_GB2312" w:hAnsi="宋体" w:cs="仿宋_GB2312"/>
          <w:i w:val="0"/>
          <w:iCs w:val="0"/>
          <w:caps w:val="0"/>
          <w:color w:val="000000"/>
          <w:spacing w:val="0"/>
          <w:sz w:val="32"/>
          <w:szCs w:val="32"/>
          <w:shd w:val="clear" w:color="auto" w:fill="FFFFFF"/>
          <w:lang w:val="en-US" w:eastAsia="zh-CN"/>
        </w:rPr>
        <w:t>信访局</w:t>
      </w:r>
      <w:r>
        <w:rPr>
          <w:rFonts w:hint="eastAsia" w:ascii="仿宋_GB2312" w:hAnsi="宋体" w:eastAsia="仿宋_GB2312" w:cs="仿宋_GB2312"/>
          <w:i w:val="0"/>
          <w:iCs w:val="0"/>
          <w:caps w:val="0"/>
          <w:color w:val="000000"/>
          <w:spacing w:val="0"/>
          <w:sz w:val="32"/>
          <w:szCs w:val="32"/>
          <w:shd w:val="clear" w:color="auto" w:fill="FFFFFF"/>
          <w:lang w:val="en-US" w:eastAsia="zh-CN"/>
        </w:rPr>
        <w:t>202</w:t>
      </w:r>
      <w:r>
        <w:rPr>
          <w:rFonts w:hint="eastAsia" w:ascii="仿宋_GB2312" w:hAnsi="宋体" w:cs="仿宋_GB2312"/>
          <w:i w:val="0"/>
          <w:iCs w:val="0"/>
          <w:caps w:val="0"/>
          <w:color w:val="000000"/>
          <w:spacing w:val="0"/>
          <w:sz w:val="32"/>
          <w:szCs w:val="32"/>
          <w:shd w:val="clear" w:color="auto" w:fill="FFFFFF"/>
          <w:lang w:val="en-US" w:eastAsia="zh-CN"/>
        </w:rPr>
        <w:t>4</w:t>
      </w:r>
      <w:r>
        <w:rPr>
          <w:rFonts w:hint="eastAsia" w:ascii="仿宋_GB2312" w:hAnsi="宋体" w:eastAsia="仿宋_GB2312" w:cs="仿宋_GB2312"/>
          <w:i w:val="0"/>
          <w:iCs w:val="0"/>
          <w:caps w:val="0"/>
          <w:color w:val="000000"/>
          <w:spacing w:val="0"/>
          <w:sz w:val="32"/>
          <w:szCs w:val="32"/>
          <w:shd w:val="clear" w:color="auto" w:fill="FFFFFF"/>
          <w:lang w:val="en-US" w:eastAsia="zh-CN"/>
        </w:rPr>
        <w:t>年无国有资本经营预算</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default" w:ascii="黑体" w:hAnsi="黑体" w:eastAsia="黑体" w:cs="黑体"/>
          <w:b/>
          <w:bCs/>
          <w:color w:val="auto"/>
          <w:kern w:val="2"/>
          <w:sz w:val="32"/>
          <w:szCs w:val="32"/>
          <w:lang w:val="en-US" w:eastAsia="zh-CN" w:bidi="ar-SA"/>
        </w:rPr>
        <w:t>社会保险基金预算支出情况</w:t>
      </w:r>
    </w:p>
    <w:p>
      <w:pPr>
        <w:keepNext w:val="0"/>
        <w:keepLines w:val="0"/>
        <w:pageBreakBefore w:val="0"/>
        <w:numPr>
          <w:ilvl w:val="0"/>
          <w:numId w:val="0"/>
        </w:numPr>
        <w:kinsoku/>
        <w:wordWrap/>
        <w:overflowPunct/>
        <w:topLinePunct w:val="0"/>
        <w:autoSpaceDE/>
        <w:autoSpaceDN/>
        <w:bidi w:val="0"/>
        <w:adjustRightInd/>
        <w:spacing w:line="560" w:lineRule="exact"/>
        <w:ind w:right="11" w:rightChars="0" w:firstLine="640" w:firstLineChars="200"/>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信访局2024</w:t>
      </w:r>
      <w:r>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t>年无社会保险基金预算支出。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六、</w:t>
      </w:r>
      <w:r>
        <w:rPr>
          <w:rFonts w:hint="default" w:ascii="黑体" w:hAnsi="黑体" w:eastAsia="黑体" w:cs="黑体"/>
          <w:b/>
          <w:bCs/>
          <w:color w:val="auto"/>
          <w:kern w:val="2"/>
          <w:sz w:val="32"/>
          <w:szCs w:val="32"/>
          <w:lang w:val="en-US" w:eastAsia="zh-CN" w:bidi="ar-SA"/>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40"/>
          <w:lang w:val="en-US" w:eastAsia="zh-CN" w:bidi="ar-SA"/>
        </w:rPr>
        <w:t>（一）基本情况。</w:t>
      </w:r>
      <w:r>
        <w:rPr>
          <w:rFonts w:hint="eastAsia" w:ascii="仿宋_GB2312" w:hAnsi="仿宋_GB2312" w:eastAsia="仿宋_GB2312" w:cs="仿宋_GB2312"/>
          <w:color w:val="000000"/>
          <w:kern w:val="2"/>
          <w:sz w:val="32"/>
          <w:szCs w:val="40"/>
          <w:lang w:val="en-US" w:eastAsia="zh-CN" w:bidi="ar-SA"/>
        </w:rPr>
        <w:t>2024年度，我县信访工作在县委、县政府的坚强领导下和各级各部门在共同努力下，按照“减存量、控增量、防变量、提质量”和推进信访工作法治化的工作要求，坚持补短板、抓源头、强措施、提质量，全县信访形势总体平稳可控。2024年度我县信访工作主要业务指标名列全市前列，特别是示范县创建工作取得了较好成绩，目前我县己被省信访局推荐到国家局列为2024年全国信访工作示范县候选名单。越级信访总量492件次,同比下降21.41%。到国家信访局登记信访量260件（人）次，同比下降35.8%，其中到国家局走访登记27人次，同比下降20.59%；来信67件，同比下降25.56%；网上投诉166件，同比下降40.93%；</w:t>
      </w:r>
      <w:r>
        <w:rPr>
          <w:rFonts w:hint="eastAsia" w:ascii="仿宋_GB2312" w:hAnsi="仿宋_GB2312" w:eastAsia="仿宋_GB2312" w:cs="仿宋_GB2312"/>
          <w:color w:val="000000"/>
          <w:kern w:val="2"/>
          <w:sz w:val="32"/>
          <w:szCs w:val="32"/>
          <w:lang w:val="en-US" w:eastAsia="zh-CN" w:bidi="ar-SA"/>
        </w:rPr>
        <w:t>全县信访事项及时受理率100%；信访事项按期答复率100%；全系统申诉求决类初次信访事项信访程序办结一次性化解率98.25%；全县申诉求决类信访件达成调解率80.66%；复查工作质效100%。</w:t>
      </w:r>
    </w:p>
    <w:p>
      <w:pPr>
        <w:pStyle w:val="9"/>
        <w:keepNext w:val="0"/>
        <w:keepLines w:val="0"/>
        <w:pageBreakBefore w:val="0"/>
        <w:kinsoku/>
        <w:wordWrap/>
        <w:topLinePunct w:val="0"/>
        <w:autoSpaceDE/>
        <w:autoSpaceDN/>
        <w:bidi w:val="0"/>
        <w:spacing w:after="0" w:line="560" w:lineRule="exact"/>
        <w:ind w:firstLine="643" w:firstLineChars="200"/>
        <w:textAlignment w:val="auto"/>
        <w:rPr>
          <w:rFonts w:hint="eastAsia" w:ascii="楷体_GB2312" w:hAnsi="楷体_GB2312" w:eastAsia="楷体_GB2312" w:cs="楷体_GB2312"/>
          <w:b/>
          <w:bCs/>
          <w:color w:val="000000"/>
          <w:kern w:val="2"/>
          <w:sz w:val="32"/>
          <w:szCs w:val="40"/>
          <w:lang w:val="en-US" w:eastAsia="zh-CN" w:bidi="ar-SA"/>
        </w:rPr>
      </w:pPr>
      <w:r>
        <w:rPr>
          <w:rFonts w:hint="eastAsia" w:ascii="楷体_GB2312" w:hAnsi="楷体_GB2312" w:eastAsia="楷体_GB2312" w:cs="楷体_GB2312"/>
          <w:b/>
          <w:bCs/>
          <w:color w:val="000000"/>
          <w:kern w:val="2"/>
          <w:sz w:val="32"/>
          <w:szCs w:val="40"/>
          <w:lang w:val="en-US" w:eastAsia="zh-CN" w:bidi="ar-SA"/>
        </w:rPr>
        <w:t>（二）主要做法和成效</w:t>
      </w:r>
    </w:p>
    <w:p>
      <w:pPr>
        <w:pStyle w:val="9"/>
        <w:keepNext w:val="0"/>
        <w:keepLines w:val="0"/>
        <w:pageBreakBefore w:val="0"/>
        <w:kinsoku/>
        <w:wordWrap/>
        <w:topLinePunct w:val="0"/>
        <w:autoSpaceDE/>
        <w:autoSpaceDN/>
        <w:bidi w:val="0"/>
        <w:spacing w:after="0" w:line="560" w:lineRule="exact"/>
        <w:ind w:firstLine="643"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w:t>
      </w:r>
      <w:r>
        <w:rPr>
          <w:rFonts w:hint="eastAsia" w:ascii="楷体_GB2312" w:hAnsi="楷体_GB2312" w:eastAsia="楷体_GB2312" w:cs="楷体_GB2312"/>
          <w:b/>
          <w:bCs/>
          <w:color w:val="000000" w:themeColor="text1"/>
          <w:sz w:val="32"/>
          <w:szCs w:val="32"/>
          <w14:textFill>
            <w14:solidFill>
              <w14:schemeClr w14:val="tx1"/>
            </w14:solidFill>
          </w14:textFill>
        </w:rPr>
        <w:t>坚持高位“处”访，有力有序抓推进</w:t>
      </w:r>
      <w:r>
        <w:rPr>
          <w:rFonts w:hint="eastAsia" w:ascii="楷体_GB2312" w:hAnsi="楷体_GB2312" w:eastAsia="楷体_GB2312" w:cs="楷体_GB2312"/>
          <w:b/>
          <w:bCs/>
          <w:color w:val="000000" w:themeColor="text1"/>
          <w:sz w:val="32"/>
          <w:szCs w:val="40"/>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道县</w:t>
      </w:r>
      <w:r>
        <w:rPr>
          <w:rFonts w:hint="eastAsia" w:ascii="仿宋_GB2312" w:eastAsia="仿宋_GB2312" w:cs="仿宋_GB2312"/>
          <w:color w:val="000000" w:themeColor="text1"/>
          <w:sz w:val="32"/>
          <w:szCs w:val="32"/>
          <w14:textFill>
            <w14:solidFill>
              <w14:schemeClr w14:val="tx1"/>
            </w14:solidFill>
          </w14:textFill>
        </w:rPr>
        <w:t>始终把信访作为重大政治任务和重要民生工程来抓紧抓实抓好，坚持县乡村三级一线抓，注重对标看齐，建立健全</w:t>
      </w:r>
      <w:r>
        <w:rPr>
          <w:rFonts w:ascii="仿宋_GB2312" w:eastAsia="仿宋_GB2312" w:cs="仿宋_GB2312"/>
          <w:color w:val="000000" w:themeColor="text1"/>
          <w:sz w:val="32"/>
          <w:szCs w:val="32"/>
          <w14:textFill>
            <w14:solidFill>
              <w14:schemeClr w14:val="tx1"/>
            </w14:solidFill>
          </w14:textFill>
        </w:rPr>
        <w:t>领导、调度、</w:t>
      </w:r>
      <w:r>
        <w:rPr>
          <w:rFonts w:hint="eastAsia" w:ascii="仿宋_GB2312" w:eastAsia="仿宋_GB2312" w:cs="仿宋_GB2312"/>
          <w:color w:val="000000" w:themeColor="text1"/>
          <w:sz w:val="32"/>
          <w:szCs w:val="32"/>
          <w14:textFill>
            <w14:solidFill>
              <w14:schemeClr w14:val="tx1"/>
            </w14:solidFill>
          </w14:textFill>
        </w:rPr>
        <w:t>督查</w:t>
      </w:r>
      <w:r>
        <w:rPr>
          <w:rFonts w:ascii="仿宋_GB2312" w:eastAsia="仿宋_GB2312" w:cs="仿宋_GB2312"/>
          <w:color w:val="000000" w:themeColor="text1"/>
          <w:sz w:val="32"/>
          <w:szCs w:val="32"/>
          <w14:textFill>
            <w14:solidFill>
              <w14:schemeClr w14:val="tx1"/>
            </w14:solidFill>
          </w14:textFill>
        </w:rPr>
        <w:t>、考核、问责</w:t>
      </w:r>
      <w:r>
        <w:rPr>
          <w:rFonts w:hint="eastAsia" w:ascii="仿宋_GB2312" w:eastAsia="仿宋_GB2312" w:cs="仿宋_GB2312"/>
          <w:color w:val="000000" w:themeColor="text1"/>
          <w:sz w:val="32"/>
          <w:szCs w:val="32"/>
          <w14:textFill>
            <w14:solidFill>
              <w14:schemeClr w14:val="tx1"/>
            </w14:solidFill>
          </w14:textFill>
        </w:rPr>
        <w:t>五大</w:t>
      </w:r>
      <w:r>
        <w:rPr>
          <w:rFonts w:ascii="仿宋_GB2312" w:eastAsia="仿宋_GB2312" w:cs="仿宋_GB2312"/>
          <w:color w:val="000000" w:themeColor="text1"/>
          <w:sz w:val="32"/>
          <w:szCs w:val="32"/>
          <w14:textFill>
            <w14:solidFill>
              <w14:schemeClr w14:val="tx1"/>
            </w14:solidFill>
          </w14:textFill>
        </w:rPr>
        <w:t>机制</w:t>
      </w:r>
      <w:r>
        <w:rPr>
          <w:rFonts w:hint="eastAsia" w:ascii="仿宋_GB2312" w:eastAsia="仿宋_GB2312" w:cs="仿宋_GB2312"/>
          <w:color w:val="000000" w:themeColor="text1"/>
          <w:sz w:val="32"/>
          <w:szCs w:val="32"/>
          <w14:textFill>
            <w14:solidFill>
              <w14:schemeClr w14:val="tx1"/>
            </w14:solidFill>
          </w14:textFill>
        </w:rPr>
        <w:t>，扎实推进信访工作高质量发展。</w:t>
      </w:r>
      <w:r>
        <w:rPr>
          <w:rFonts w:hint="eastAsia" w:ascii="仿宋_GB2312" w:hAnsi="仿宋_GB2312" w:eastAsia="仿宋_GB2312" w:cs="仿宋_GB2312"/>
          <w:color w:val="000000" w:themeColor="text1"/>
          <w:sz w:val="32"/>
          <w:szCs w:val="32"/>
          <w14:textFill>
            <w14:solidFill>
              <w14:schemeClr w14:val="tx1"/>
            </w14:solidFill>
          </w14:textFill>
        </w:rPr>
        <w:t>县委、县政府始终高度重视信访工作，坚持构建大信访工作格局，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eastAsia="zh-CN"/>
          <w14:textFill>
            <w14:solidFill>
              <w14:schemeClr w14:val="tx1"/>
            </w14:solidFill>
          </w14:textFill>
        </w:rPr>
        <w:t>年度</w:t>
      </w:r>
      <w:r>
        <w:rPr>
          <w:rFonts w:hint="eastAsia" w:ascii="仿宋_GB2312" w:hAnsi="仿宋_GB2312" w:eastAsia="仿宋_GB2312" w:cs="仿宋_GB2312"/>
          <w:color w:val="000000" w:themeColor="text1"/>
          <w:sz w:val="32"/>
          <w:szCs w:val="32"/>
          <w14:textFill>
            <w14:solidFill>
              <w14:schemeClr w14:val="tx1"/>
            </w14:solidFill>
          </w14:textFill>
        </w:rPr>
        <w:t>召开县委常委会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次、县政府常务会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次、全县信访工作联席会议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次，专题研究</w:t>
      </w:r>
      <w:r>
        <w:rPr>
          <w:rFonts w:hint="eastAsia" w:ascii="仿宋_GB2312" w:hAnsi="仿宋_GB2312" w:eastAsia="仿宋_GB2312" w:cs="仿宋_GB2312"/>
          <w:color w:val="000000" w:themeColor="text1"/>
          <w:sz w:val="32"/>
          <w:szCs w:val="32"/>
          <w:lang w:eastAsia="zh-CN"/>
          <w14:textFill>
            <w14:solidFill>
              <w14:schemeClr w14:val="tx1"/>
            </w14:solidFill>
          </w14:textFill>
        </w:rPr>
        <w:t>信访工作和</w:t>
      </w:r>
      <w:r>
        <w:rPr>
          <w:rFonts w:hint="eastAsia" w:ascii="仿宋_GB2312" w:hAnsi="仿宋_GB2312" w:eastAsia="仿宋_GB2312" w:cs="仿宋_GB2312"/>
          <w:color w:val="000000" w:themeColor="text1"/>
          <w:sz w:val="32"/>
          <w:szCs w:val="32"/>
          <w14:textFill>
            <w14:solidFill>
              <w14:schemeClr w14:val="tx1"/>
            </w14:solidFill>
          </w14:textFill>
        </w:rPr>
        <w:t>解决信访重大问题。县委县政府主要领导认真履行信访工作“第一责任人”职责，带头领办包案化解重点信访案件，推动全县上下形成主要领导亲自抓、分管领导具体抓、其他领导落实“一岗双责”、县直部门和乡镇（街道）各负其责的良好局面。</w:t>
      </w:r>
    </w:p>
    <w:p>
      <w:pPr>
        <w:keepNext w:val="0"/>
        <w:keepLines w:val="0"/>
        <w:pageBreakBefore w:val="0"/>
        <w:kinsoku/>
        <w:wordWrap/>
        <w:topLinePunct w:val="0"/>
        <w:autoSpaceDE/>
        <w:autoSpaceDN/>
        <w:bidi w:val="0"/>
        <w:spacing w:line="560" w:lineRule="exact"/>
        <w:ind w:firstLine="643"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2.</w:t>
      </w:r>
      <w:r>
        <w:rPr>
          <w:rFonts w:hint="eastAsia" w:ascii="楷体_GB2312" w:hAnsi="楷体_GB2312" w:eastAsia="楷体_GB2312" w:cs="楷体_GB2312"/>
          <w:b/>
          <w:bCs/>
          <w:color w:val="000000" w:themeColor="text1"/>
          <w:sz w:val="32"/>
          <w:szCs w:val="32"/>
          <w14:textFill>
            <w14:solidFill>
              <w14:schemeClr w14:val="tx1"/>
            </w14:solidFill>
          </w14:textFill>
        </w:rPr>
        <w:t>坚持源头“控”访，精准精细抓治理。</w:t>
      </w:r>
      <w:r>
        <w:rPr>
          <w:rFonts w:hint="eastAsia" w:ascii="仿宋_GB2312" w:eastAsia="仿宋_GB2312" w:cs="仿宋_GB2312"/>
          <w:color w:val="000000" w:themeColor="text1"/>
          <w:sz w:val="32"/>
          <w:szCs w:val="32"/>
          <w14:textFill>
            <w14:solidFill>
              <w14:schemeClr w14:val="tx1"/>
            </w14:solidFill>
          </w14:textFill>
        </w:rPr>
        <w:t>坚持和发展新时代“枫桥经验”，把矛盾纠纷源头治理作为信访维稳首要工作，把信访工作融入社会治理体系，着力将信访制度优势转化为社会治理效能。</w:t>
      </w:r>
      <w:r>
        <w:rPr>
          <w:rFonts w:hint="eastAsia" w:ascii="仿宋_GB2312" w:eastAsia="仿宋_GB2312" w:cs="仿宋_GB2312"/>
          <w:b/>
          <w:bCs/>
          <w:color w:val="000000" w:themeColor="text1"/>
          <w:sz w:val="32"/>
          <w:szCs w:val="32"/>
          <w14:textFill>
            <w14:solidFill>
              <w14:schemeClr w14:val="tx1"/>
            </w14:solidFill>
          </w14:textFill>
        </w:rPr>
        <w:t>一是抓实信访源头排查。</w:t>
      </w:r>
      <w:r>
        <w:rPr>
          <w:rFonts w:hint="eastAsia" w:ascii="仿宋_GB2312" w:eastAsia="仿宋_GB2312" w:cs="仿宋_GB2312"/>
          <w:color w:val="000000" w:themeColor="text1"/>
          <w:sz w:val="32"/>
          <w:szCs w:val="32"/>
          <w14:textFill>
            <w14:solidFill>
              <w14:schemeClr w14:val="tx1"/>
            </w14:solidFill>
          </w14:textFill>
        </w:rPr>
        <w:t>建立健全</w:t>
      </w:r>
      <w:r>
        <w:rPr>
          <w:rFonts w:hint="eastAsia" w:ascii="仿宋_GB2312" w:eastAsia="仿宋_GB2312" w:cs="仿宋_GB2312"/>
          <w:color w:val="000000" w:themeColor="text1"/>
          <w:sz w:val="32"/>
          <w:szCs w:val="32"/>
          <w:lang w:eastAsia="zh-CN"/>
          <w14:textFill>
            <w14:solidFill>
              <w14:schemeClr w14:val="tx1"/>
            </w14:solidFill>
          </w14:textFill>
        </w:rPr>
        <w:t>县乡村三级矛盾纠纷排查</w:t>
      </w:r>
      <w:r>
        <w:rPr>
          <w:rFonts w:hint="eastAsia" w:ascii="仿宋_GB2312" w:eastAsia="仿宋_GB2312" w:cs="仿宋_GB2312"/>
          <w:color w:val="000000" w:themeColor="text1"/>
          <w:sz w:val="32"/>
          <w:szCs w:val="32"/>
          <w14:textFill>
            <w14:solidFill>
              <w14:schemeClr w14:val="tx1"/>
            </w14:solidFill>
          </w14:textFill>
        </w:rPr>
        <w:t>工作机制，加强对重点人员、重点群体和“三跨三分离”信访事项涉访人员的摸排力度，着重对房地产领域、</w:t>
      </w:r>
      <w:r>
        <w:rPr>
          <w:rFonts w:hint="eastAsia" w:ascii="仿宋_GB2312" w:eastAsia="仿宋_GB2312" w:cs="仿宋_GB2312"/>
          <w:color w:val="000000" w:themeColor="text1"/>
          <w:sz w:val="32"/>
          <w:szCs w:val="32"/>
          <w:lang w:eastAsia="zh-CN"/>
          <w14:textFill>
            <w14:solidFill>
              <w14:schemeClr w14:val="tx1"/>
            </w14:solidFill>
          </w14:textFill>
        </w:rPr>
        <w:t>社会保障领域、</w:t>
      </w:r>
      <w:r>
        <w:rPr>
          <w:rFonts w:hint="eastAsia" w:ascii="仿宋_GB2312" w:eastAsia="仿宋_GB2312" w:cs="仿宋_GB2312"/>
          <w:color w:val="000000" w:themeColor="text1"/>
          <w:sz w:val="32"/>
          <w:szCs w:val="32"/>
          <w14:textFill>
            <w14:solidFill>
              <w14:schemeClr w14:val="tx1"/>
            </w14:solidFill>
          </w14:textFill>
        </w:rPr>
        <w:t>金融领域和涉军群体等突出问题深入排查，建立工作台账，逐一落实“五个一”的包保责任制，开展横向到边、纵向到底的矛盾纠纷隐患排查，做到心中有数、防范在先、处置在小，防止小事拖大、大事拖炸。共排查矛盾纠纷</w:t>
      </w:r>
      <w:r>
        <w:rPr>
          <w:rFonts w:hint="eastAsia" w:ascii="仿宋_GB2312" w:eastAsia="仿宋_GB2312" w:cs="仿宋_GB2312"/>
          <w:color w:val="000000" w:themeColor="text1"/>
          <w:sz w:val="32"/>
          <w:szCs w:val="32"/>
          <w:lang w:val="en-US" w:eastAsia="zh-CN"/>
          <w14:textFill>
            <w14:solidFill>
              <w14:schemeClr w14:val="tx1"/>
            </w14:solidFill>
          </w14:textFill>
        </w:rPr>
        <w:t>2400</w:t>
      </w:r>
      <w:r>
        <w:rPr>
          <w:rFonts w:hint="eastAsia" w:ascii="仿宋_GB2312" w:eastAsia="仿宋_GB2312" w:cs="仿宋_GB2312"/>
          <w:color w:val="000000" w:themeColor="text1"/>
          <w:sz w:val="32"/>
          <w:szCs w:val="32"/>
          <w14:textFill>
            <w14:solidFill>
              <w14:schemeClr w14:val="tx1"/>
            </w14:solidFill>
          </w14:textFill>
        </w:rPr>
        <w:t>余起，化解</w:t>
      </w:r>
      <w:r>
        <w:rPr>
          <w:rFonts w:hint="eastAsia" w:ascii="仿宋_GB2312" w:eastAsia="仿宋_GB2312" w:cs="仿宋_GB2312"/>
          <w:color w:val="000000" w:themeColor="text1"/>
          <w:sz w:val="32"/>
          <w:szCs w:val="32"/>
          <w:lang w:eastAsia="zh-CN"/>
          <w14:textFill>
            <w14:solidFill>
              <w14:schemeClr w14:val="tx1"/>
            </w14:solidFill>
          </w14:textFill>
        </w:rPr>
        <w:t>矛盾</w:t>
      </w:r>
      <w:r>
        <w:rPr>
          <w:rFonts w:hint="eastAsia" w:ascii="仿宋_GB2312" w:eastAsia="仿宋_GB2312" w:cs="仿宋_GB2312"/>
          <w:color w:val="000000" w:themeColor="text1"/>
          <w:sz w:val="32"/>
          <w:szCs w:val="32"/>
          <w:lang w:val="en-US" w:eastAsia="zh-CN"/>
          <w14:textFill>
            <w14:solidFill>
              <w14:schemeClr w14:val="tx1"/>
            </w14:solidFill>
          </w14:textFill>
        </w:rPr>
        <w:t>1836</w:t>
      </w:r>
      <w:r>
        <w:rPr>
          <w:rFonts w:hint="eastAsia" w:ascii="仿宋_GB2312" w:eastAsia="仿宋_GB2312" w:cs="仿宋_GB2312"/>
          <w:color w:val="000000" w:themeColor="text1"/>
          <w:sz w:val="32"/>
          <w:szCs w:val="32"/>
          <w14:textFill>
            <w14:solidFill>
              <w14:schemeClr w14:val="tx1"/>
            </w14:solidFill>
          </w14:textFill>
        </w:rPr>
        <w:t>余起。</w:t>
      </w:r>
      <w:r>
        <w:rPr>
          <w:rFonts w:hint="eastAsia" w:ascii="仿宋_GB2312" w:eastAsia="仿宋_GB2312" w:cs="仿宋_GB2312"/>
          <w:b/>
          <w:bCs/>
          <w:color w:val="000000" w:themeColor="text1"/>
          <w:sz w:val="32"/>
          <w:szCs w:val="32"/>
          <w:highlight w:val="none"/>
          <w14:textFill>
            <w14:solidFill>
              <w14:schemeClr w14:val="tx1"/>
            </w14:solidFill>
          </w14:textFill>
        </w:rPr>
        <w:t>二是建强诉源治理阵地。</w:t>
      </w:r>
      <w:r>
        <w:rPr>
          <w:rFonts w:hint="eastAsia" w:ascii="仿宋_GB2312" w:eastAsia="仿宋_GB2312" w:cs="仿宋_GB2312"/>
          <w:color w:val="000000" w:themeColor="text1"/>
          <w:sz w:val="32"/>
          <w:szCs w:val="32"/>
          <w:highlight w:val="none"/>
          <w14:textFill>
            <w14:solidFill>
              <w14:schemeClr w14:val="tx1"/>
            </w14:solidFill>
          </w14:textFill>
        </w:rPr>
        <w:t>在全县矛盾纠纷多发易发的西洲街道等地设立14个诉源治理工作站，开展法律咨询、纠纷分流、调解指导、多元解纷、司法确认、诉调对接、诉讼服务等，广泛汇集民意、集中民智、凝聚民心，着力构建人员联合、力量联动、资源共享的工作格局，全面提升诉源治理的社会化水平。诉前调解化解矛盾纠纷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220</w:t>
      </w:r>
      <w:r>
        <w:rPr>
          <w:rFonts w:hint="eastAsia" w:ascii="仿宋_GB2312" w:eastAsia="仿宋_GB2312" w:cs="仿宋_GB2312"/>
          <w:color w:val="000000" w:themeColor="text1"/>
          <w:sz w:val="32"/>
          <w:szCs w:val="32"/>
          <w:highlight w:val="none"/>
          <w14:textFill>
            <w14:solidFill>
              <w14:schemeClr w14:val="tx1"/>
            </w14:solidFill>
          </w14:textFill>
        </w:rPr>
        <w:t>起，当场司法确认案件</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156</w:t>
      </w:r>
      <w:r>
        <w:rPr>
          <w:rFonts w:hint="eastAsia" w:ascii="仿宋_GB2312" w:eastAsia="仿宋_GB2312" w:cs="仿宋_GB2312"/>
          <w:color w:val="000000" w:themeColor="text1"/>
          <w:sz w:val="32"/>
          <w:szCs w:val="32"/>
          <w:highlight w:val="none"/>
          <w14:textFill>
            <w14:solidFill>
              <w14:schemeClr w14:val="tx1"/>
            </w14:solidFill>
          </w14:textFill>
        </w:rPr>
        <w:t>起，有效将一批矛盾纠纷化解在基层，化解在萌芽。</w:t>
      </w:r>
      <w:r>
        <w:rPr>
          <w:rFonts w:hint="eastAsia" w:ascii="仿宋_GB2312" w:eastAsia="仿宋_GB2312" w:cs="仿宋_GB2312"/>
          <w:b/>
          <w:bCs/>
          <w:color w:val="000000" w:themeColor="text1"/>
          <w:sz w:val="32"/>
          <w:szCs w:val="32"/>
          <w14:textFill>
            <w14:solidFill>
              <w14:schemeClr w14:val="tx1"/>
            </w14:solidFill>
          </w14:textFill>
        </w:rPr>
        <w:t>三是发挥基层组织效能。</w:t>
      </w:r>
      <w:r>
        <w:rPr>
          <w:rFonts w:hint="eastAsia" w:ascii="仿宋_GB2312" w:eastAsia="仿宋_GB2312" w:cs="仿宋_GB2312"/>
          <w:color w:val="000000" w:themeColor="text1"/>
          <w:sz w:val="32"/>
          <w:szCs w:val="32"/>
          <w14:textFill>
            <w14:solidFill>
              <w14:schemeClr w14:val="tx1"/>
            </w14:solidFill>
          </w14:textFill>
        </w:rPr>
        <w:t>推动基层社会治理关口前移、重心下移，发挥好村(社区)党员、新“五老”、新乡贤和法律服务志愿者作用，用好</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一站式</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矛盾纠纷调处</w:t>
      </w:r>
      <w:r>
        <w:rPr>
          <w:rFonts w:hint="eastAsia" w:ascii="仿宋_GB2312" w:eastAsia="仿宋_GB2312" w:cs="仿宋_GB2312"/>
          <w:color w:val="000000" w:themeColor="text1"/>
          <w:sz w:val="32"/>
          <w:szCs w:val="32"/>
          <w:lang w:eastAsia="zh-CN"/>
          <w14:textFill>
            <w14:solidFill>
              <w14:schemeClr w14:val="tx1"/>
            </w14:solidFill>
          </w14:textFill>
        </w:rPr>
        <w:t>中心</w:t>
      </w:r>
      <w:r>
        <w:rPr>
          <w:rFonts w:hint="eastAsia" w:ascii="仿宋_GB2312" w:eastAsia="仿宋_GB2312" w:cs="仿宋_GB2312"/>
          <w:color w:val="000000" w:themeColor="text1"/>
          <w:sz w:val="32"/>
          <w:szCs w:val="32"/>
          <w14:textFill>
            <w14:solidFill>
              <w14:schemeClr w14:val="tx1"/>
            </w14:solidFill>
          </w14:textFill>
        </w:rPr>
        <w:t>和县乡两级政法“五老”调解平台，动员社会力量参与，实行人民调解参与信访工作，及时就地化解矛盾纠纷。</w:t>
      </w:r>
      <w:r>
        <w:rPr>
          <w:rFonts w:hint="eastAsia" w:ascii="仿宋_GB2312" w:eastAsia="仿宋_GB2312" w:cs="仿宋_GB2312"/>
          <w:color w:val="000000" w:themeColor="text1"/>
          <w:sz w:val="32"/>
          <w:szCs w:val="32"/>
          <w:lang w:val="en-US" w:eastAsia="zh-CN"/>
          <w14:textFill>
            <w14:solidFill>
              <w14:schemeClr w14:val="tx1"/>
            </w14:solidFill>
          </w14:textFill>
        </w:rPr>
        <w:t>2024年度</w:t>
      </w:r>
      <w:r>
        <w:rPr>
          <w:rFonts w:hint="eastAsia" w:ascii="仿宋_GB2312" w:eastAsia="仿宋_GB2312" w:cs="仿宋_GB2312"/>
          <w:color w:val="000000" w:themeColor="text1"/>
          <w:sz w:val="32"/>
          <w:szCs w:val="32"/>
          <w14:textFill>
            <w14:solidFill>
              <w14:schemeClr w14:val="tx1"/>
            </w14:solidFill>
          </w14:textFill>
        </w:rPr>
        <w:t>县“一站式”矛盾纠纷调处中心共接待群众</w:t>
      </w:r>
      <w:r>
        <w:rPr>
          <w:rFonts w:hint="eastAsia" w:ascii="仿宋_GB2312" w:eastAsia="仿宋_GB2312" w:cs="仿宋_GB2312"/>
          <w:color w:val="000000" w:themeColor="text1"/>
          <w:sz w:val="32"/>
          <w:szCs w:val="32"/>
          <w:lang w:val="en-US" w:eastAsia="zh-CN"/>
          <w14:textFill>
            <w14:solidFill>
              <w14:schemeClr w14:val="tx1"/>
            </w14:solidFill>
          </w14:textFill>
        </w:rPr>
        <w:t>712</w:t>
      </w:r>
      <w:r>
        <w:rPr>
          <w:rFonts w:hint="eastAsia" w:ascii="仿宋_GB2312" w:eastAsia="仿宋_GB2312" w:cs="仿宋_GB2312"/>
          <w:color w:val="000000" w:themeColor="text1"/>
          <w:sz w:val="32"/>
          <w:szCs w:val="32"/>
          <w14:textFill>
            <w14:solidFill>
              <w14:schemeClr w14:val="tx1"/>
            </w14:solidFill>
          </w14:textFill>
        </w:rPr>
        <w:t>批</w:t>
      </w:r>
      <w:r>
        <w:rPr>
          <w:rFonts w:hint="eastAsia" w:ascii="仿宋_GB2312" w:eastAsia="仿宋_GB2312" w:cs="仿宋_GB2312"/>
          <w:color w:val="000000" w:themeColor="text1"/>
          <w:sz w:val="32"/>
          <w:szCs w:val="32"/>
          <w:lang w:val="en-US" w:eastAsia="zh-CN"/>
          <w14:textFill>
            <w14:solidFill>
              <w14:schemeClr w14:val="tx1"/>
            </w14:solidFill>
          </w14:textFill>
        </w:rPr>
        <w:t>1180</w:t>
      </w:r>
      <w:r>
        <w:rPr>
          <w:rFonts w:hint="eastAsia" w:ascii="仿宋_GB2312" w:eastAsia="仿宋_GB2312" w:cs="仿宋_GB2312"/>
          <w:color w:val="000000" w:themeColor="text1"/>
          <w:sz w:val="32"/>
          <w:szCs w:val="32"/>
          <w14:textFill>
            <w14:solidFill>
              <w14:schemeClr w14:val="tx1"/>
            </w14:solidFill>
          </w14:textFill>
        </w:rPr>
        <w:t>余人次，现场解答问题3</w:t>
      </w:r>
      <w:r>
        <w:rPr>
          <w:rFonts w:hint="eastAsia" w:ascii="仿宋_GB2312" w:eastAsia="仿宋_GB2312" w:cs="仿宋_GB2312"/>
          <w:color w:val="000000" w:themeColor="text1"/>
          <w:sz w:val="32"/>
          <w:szCs w:val="32"/>
          <w:lang w:val="en-US" w:eastAsia="zh-CN"/>
          <w14:textFill>
            <w14:solidFill>
              <w14:schemeClr w14:val="tx1"/>
            </w14:solidFill>
          </w14:textFill>
        </w:rPr>
        <w:t>67</w:t>
      </w:r>
      <w:r>
        <w:rPr>
          <w:rFonts w:hint="eastAsia" w:ascii="仿宋_GB2312" w:eastAsia="仿宋_GB2312" w:cs="仿宋_GB2312"/>
          <w:color w:val="000000" w:themeColor="text1"/>
          <w:sz w:val="32"/>
          <w:szCs w:val="32"/>
          <w14:textFill>
            <w14:solidFill>
              <w14:schemeClr w14:val="tx1"/>
            </w14:solidFill>
          </w14:textFill>
        </w:rPr>
        <w:t>个，交办群众信访件</w:t>
      </w:r>
      <w:r>
        <w:rPr>
          <w:rFonts w:hint="eastAsia" w:ascii="仿宋_GB2312" w:eastAsia="仿宋_GB2312" w:cs="仿宋_GB2312"/>
          <w:color w:val="000000" w:themeColor="text1"/>
          <w:sz w:val="32"/>
          <w:szCs w:val="32"/>
          <w:lang w:val="en-US" w:eastAsia="zh-CN"/>
          <w14:textFill>
            <w14:solidFill>
              <w14:schemeClr w14:val="tx1"/>
            </w14:solidFill>
          </w14:textFill>
        </w:rPr>
        <w:t>345</w:t>
      </w:r>
      <w:r>
        <w:rPr>
          <w:rFonts w:hint="eastAsia" w:ascii="仿宋_GB2312" w:eastAsia="仿宋_GB2312" w:cs="仿宋_GB2312"/>
          <w:color w:val="000000" w:themeColor="text1"/>
          <w:sz w:val="32"/>
          <w:szCs w:val="32"/>
          <w14:textFill>
            <w14:solidFill>
              <w14:schemeClr w14:val="tx1"/>
            </w14:solidFill>
          </w14:textFill>
        </w:rPr>
        <w:t>件，</w:t>
      </w:r>
      <w:r>
        <w:rPr>
          <w:rFonts w:hint="eastAsia" w:ascii="仿宋_GB2312" w:eastAsia="仿宋_GB2312" w:cs="仿宋_GB2312"/>
          <w:color w:val="000000" w:themeColor="text1"/>
          <w:sz w:val="32"/>
          <w:szCs w:val="32"/>
          <w:lang w:eastAsia="zh-CN"/>
          <w14:textFill>
            <w14:solidFill>
              <w14:schemeClr w14:val="tx1"/>
            </w14:solidFill>
          </w14:textFill>
        </w:rPr>
        <w:t>全部</w:t>
      </w:r>
      <w:r>
        <w:rPr>
          <w:rFonts w:hint="eastAsia" w:ascii="仿宋_GB2312" w:eastAsia="仿宋_GB2312" w:cs="仿宋_GB2312"/>
          <w:color w:val="000000" w:themeColor="text1"/>
          <w:sz w:val="32"/>
          <w:szCs w:val="32"/>
          <w14:textFill>
            <w14:solidFill>
              <w14:schemeClr w14:val="tx1"/>
            </w14:solidFill>
          </w14:textFill>
        </w:rPr>
        <w:t>办结。</w:t>
      </w:r>
      <w:r>
        <w:rPr>
          <w:rFonts w:hint="eastAsia" w:ascii="仿宋_GB2312" w:eastAsia="仿宋_GB2312" w:cs="仿宋_GB2312"/>
          <w:b/>
          <w:bCs/>
          <w:color w:val="000000" w:themeColor="text1"/>
          <w:sz w:val="32"/>
          <w:szCs w:val="32"/>
          <w14:textFill>
            <w14:solidFill>
              <w14:schemeClr w14:val="tx1"/>
            </w14:solidFill>
          </w14:textFill>
        </w:rPr>
        <w:t>四是推动基层治理创新。</w:t>
      </w:r>
      <w:r>
        <w:rPr>
          <w:rFonts w:hint="eastAsia" w:ascii="仿宋_GB2312" w:eastAsia="仿宋_GB2312" w:cs="仿宋_GB2312"/>
          <w:color w:val="000000" w:themeColor="text1"/>
          <w:sz w:val="32"/>
          <w:szCs w:val="32"/>
          <w14:textFill>
            <w14:solidFill>
              <w14:schemeClr w14:val="tx1"/>
            </w14:solidFill>
          </w14:textFill>
        </w:rPr>
        <w:t>全面夯实369个村居“一约五会”（村规民约和红白理事会、道德评议会、村民议事会、禁毒禁赌会、尊老敬老理事会）基础，推动形成党委领导、政府负责、社会协同、公众参与、法治保障的社会治理体制，着力打通化解矛盾纠纷的“最后一公里”。西洲街道创新“1+3+X”模式，建立“四中心”（群众接访中心、便民服务中心、多元化解中心、平台指挥中心），着力打造“红管家”、何顺成调解工作室、民声荟等基层善治品牌。梅花镇积极探索以“村民说事、村嫂说情、村舅说理、村官说法、村贤说德、警民联调”为核心的“五说一警”矛盾纠纷多元化解机制，促进“情、理、法、德”融合，实现“矛盾不上交、平安不出事、服务不缺位”。</w:t>
      </w:r>
    </w:p>
    <w:p>
      <w:pPr>
        <w:keepNext w:val="0"/>
        <w:keepLines w:val="0"/>
        <w:pageBreakBefore w:val="0"/>
        <w:kinsoku/>
        <w:wordWrap/>
        <w:topLinePunct w:val="0"/>
        <w:autoSpaceDE/>
        <w:autoSpaceDN/>
        <w:bidi w:val="0"/>
        <w:spacing w:line="560" w:lineRule="exact"/>
        <w:ind w:firstLine="643"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3.</w:t>
      </w:r>
      <w:r>
        <w:rPr>
          <w:rFonts w:hint="eastAsia" w:ascii="楷体_GB2312" w:hAnsi="楷体_GB2312" w:eastAsia="楷体_GB2312" w:cs="楷体_GB2312"/>
          <w:b/>
          <w:bCs/>
          <w:color w:val="000000" w:themeColor="text1"/>
          <w:sz w:val="32"/>
          <w:szCs w:val="32"/>
          <w14:textFill>
            <w14:solidFill>
              <w14:schemeClr w14:val="tx1"/>
            </w14:solidFill>
          </w14:textFill>
        </w:rPr>
        <w:t>坚持服务“化”访，高质高效抓化解。</w:t>
      </w:r>
      <w:r>
        <w:rPr>
          <w:rFonts w:hint="eastAsia" w:ascii="仿宋_GB2312" w:eastAsia="仿宋_GB2312" w:cs="仿宋_GB2312"/>
          <w:color w:val="000000" w:themeColor="text1"/>
          <w:sz w:val="32"/>
          <w:szCs w:val="32"/>
          <w14:textFill>
            <w14:solidFill>
              <w14:schemeClr w14:val="tx1"/>
            </w14:solidFill>
          </w14:textFill>
        </w:rPr>
        <w:t>坚持减存与控增并重，对上级交</w:t>
      </w:r>
      <w:r>
        <w:rPr>
          <w:rFonts w:hint="eastAsia" w:ascii="仿宋_GB2312" w:eastAsia="仿宋_GB2312" w:cs="仿宋_GB2312"/>
          <w:color w:val="000000" w:themeColor="text1"/>
          <w:sz w:val="32"/>
          <w:szCs w:val="32"/>
          <w:lang w:eastAsia="zh-CN"/>
          <w14:textFill>
            <w14:solidFill>
              <w14:schemeClr w14:val="tx1"/>
            </w14:solidFill>
          </w14:textFill>
        </w:rPr>
        <w:t>督</w:t>
      </w:r>
      <w:r>
        <w:rPr>
          <w:rFonts w:hint="eastAsia" w:ascii="仿宋_GB2312" w:eastAsia="仿宋_GB2312" w:cs="仿宋_GB2312"/>
          <w:color w:val="000000" w:themeColor="text1"/>
          <w:sz w:val="32"/>
          <w:szCs w:val="32"/>
          <w14:textFill>
            <w14:solidFill>
              <w14:schemeClr w14:val="tx1"/>
            </w14:solidFill>
          </w14:textFill>
        </w:rPr>
        <w:t>办和县级自查的重点信访事项，全部实行县级领导包案化解、量化考评机制，推动开门接访、带案下访、包案解访“三访”活动走深走实。</w:t>
      </w:r>
      <w:r>
        <w:rPr>
          <w:rFonts w:hint="eastAsia" w:ascii="仿宋_GB2312" w:eastAsia="仿宋_GB2312" w:cs="仿宋_GB2312"/>
          <w:b/>
          <w:bCs/>
          <w:color w:val="000000" w:themeColor="text1"/>
          <w:sz w:val="32"/>
          <w:szCs w:val="32"/>
          <w14:textFill>
            <w14:solidFill>
              <w14:schemeClr w14:val="tx1"/>
            </w14:solidFill>
          </w14:textFill>
        </w:rPr>
        <w:t>一是开门接访有</w:t>
      </w:r>
      <w:r>
        <w:rPr>
          <w:rFonts w:hint="eastAsia" w:ascii="仿宋_GB2312" w:eastAsia="仿宋_GB2312" w:cs="仿宋_GB2312"/>
          <w:b/>
          <w:bCs/>
          <w:color w:val="000000" w:themeColor="text1"/>
          <w:sz w:val="32"/>
          <w:szCs w:val="32"/>
          <w:lang w:eastAsia="zh-CN"/>
          <w14:textFill>
            <w14:solidFill>
              <w14:schemeClr w14:val="tx1"/>
            </w14:solidFill>
          </w14:textFill>
        </w:rPr>
        <w:t>力</w:t>
      </w:r>
      <w:r>
        <w:rPr>
          <w:rFonts w:hint="eastAsia" w:ascii="仿宋_GB2312" w:eastAsia="仿宋_GB2312" w:cs="仿宋_GB2312"/>
          <w:b/>
          <w:bCs/>
          <w:color w:val="000000" w:themeColor="text1"/>
          <w:sz w:val="32"/>
          <w:szCs w:val="32"/>
          <w14:textFill>
            <w14:solidFill>
              <w14:schemeClr w14:val="tx1"/>
            </w14:solidFill>
          </w14:textFill>
        </w:rPr>
        <w:t>。推行领导干部坐班接访</w:t>
      </w:r>
      <w:r>
        <w:rPr>
          <w:rFonts w:hint="eastAsia" w:ascii="仿宋_GB2312" w:eastAsia="仿宋_GB2312" w:cs="仿宋_GB2312"/>
          <w:color w:val="000000" w:themeColor="text1"/>
          <w:sz w:val="32"/>
          <w:szCs w:val="32"/>
          <w14:textFill>
            <w14:solidFill>
              <w14:schemeClr w14:val="tx1"/>
            </w14:solidFill>
          </w14:textFill>
        </w:rPr>
        <w:t>，每个工作日安排一名县级领导在县信访接待中心接待群众来访，各级各部门在工作日安排一名班子成员坐班接访，热情耐心接待群众来访，引导群众依法理性表达诉求，提高信访事项受理办理效能。</w:t>
      </w:r>
      <w:r>
        <w:rPr>
          <w:rFonts w:hint="eastAsia" w:ascii="仿宋_GB2312" w:eastAsia="仿宋_GB2312" w:cs="仿宋_GB2312"/>
          <w:b/>
          <w:bCs/>
          <w:color w:val="000000" w:themeColor="text1"/>
          <w:sz w:val="32"/>
          <w:szCs w:val="32"/>
          <w14:textFill>
            <w14:solidFill>
              <w14:schemeClr w14:val="tx1"/>
            </w14:solidFill>
          </w14:textFill>
        </w:rPr>
        <w:t>推行县级领导集中接访，</w:t>
      </w:r>
      <w:r>
        <w:rPr>
          <w:rFonts w:hint="eastAsia" w:ascii="仿宋_GB2312" w:eastAsia="仿宋_GB2312" w:cs="仿宋_GB2312"/>
          <w:color w:val="000000" w:themeColor="text1"/>
          <w:sz w:val="32"/>
          <w:szCs w:val="32"/>
          <w:lang w:eastAsia="zh-CN"/>
          <w14:textFill>
            <w14:solidFill>
              <w14:schemeClr w14:val="tx1"/>
            </w14:solidFill>
          </w14:textFill>
        </w:rPr>
        <w:t>明确</w:t>
      </w:r>
      <w:r>
        <w:rPr>
          <w:rFonts w:hint="eastAsia" w:ascii="仿宋_GB2312" w:eastAsia="仿宋_GB2312" w:cs="仿宋_GB2312"/>
          <w:color w:val="000000" w:themeColor="text1"/>
          <w:sz w:val="32"/>
          <w:szCs w:val="32"/>
          <w14:textFill>
            <w14:solidFill>
              <w14:schemeClr w14:val="tx1"/>
            </w14:solidFill>
          </w14:textFill>
        </w:rPr>
        <w:t>组建涉法涉诉问题工作小组、城建领域问题工作小组、国有企业改制遗留问题和社会保障问题工作小组、农业农村问题工作小组、文教卫体问题工作小组、涉退役军人相关问题工作小组、涉众型金融领域问题工作小组、生态环境问题工作小组等8个专项工作组，相关县级领导每月10日到指定的地点开展集中接访活动，并组织相关部门认真会商解决具体问题。</w:t>
      </w:r>
      <w:r>
        <w:rPr>
          <w:rFonts w:hint="eastAsia" w:ascii="仿宋_GB2312" w:eastAsia="仿宋_GB2312" w:cs="仿宋_GB2312"/>
          <w:color w:val="000000" w:themeColor="text1"/>
          <w:sz w:val="32"/>
          <w:szCs w:val="32"/>
          <w:lang w:eastAsia="zh-CN"/>
          <w14:textFill>
            <w14:solidFill>
              <w14:schemeClr w14:val="tx1"/>
            </w14:solidFill>
          </w14:textFill>
        </w:rPr>
        <w:t>共</w:t>
      </w:r>
      <w:r>
        <w:rPr>
          <w:rFonts w:hint="eastAsia" w:ascii="仿宋_GB2312" w:eastAsia="仿宋_GB2312" w:cs="仿宋_GB2312"/>
          <w:color w:val="000000" w:themeColor="text1"/>
          <w:sz w:val="32"/>
          <w:szCs w:val="32"/>
          <w14:textFill>
            <w14:solidFill>
              <w14:schemeClr w14:val="tx1"/>
            </w14:solidFill>
          </w14:textFill>
        </w:rPr>
        <w:t>集中接访交办</w:t>
      </w:r>
      <w:r>
        <w:rPr>
          <w:rFonts w:hint="eastAsia" w:ascii="仿宋_GB2312" w:eastAsia="仿宋_GB2312" w:cs="仿宋_GB2312"/>
          <w:color w:val="000000" w:themeColor="text1"/>
          <w:sz w:val="32"/>
          <w:szCs w:val="32"/>
          <w:lang w:eastAsia="zh-CN"/>
          <w14:textFill>
            <w14:solidFill>
              <w14:schemeClr w14:val="tx1"/>
            </w14:solidFill>
          </w14:textFill>
        </w:rPr>
        <w:t>重点</w:t>
      </w:r>
      <w:r>
        <w:rPr>
          <w:rFonts w:hint="eastAsia" w:ascii="仿宋_GB2312" w:eastAsia="仿宋_GB2312" w:cs="仿宋_GB2312"/>
          <w:color w:val="000000" w:themeColor="text1"/>
          <w:sz w:val="32"/>
          <w:szCs w:val="32"/>
          <w14:textFill>
            <w14:solidFill>
              <w14:schemeClr w14:val="tx1"/>
            </w14:solidFill>
          </w14:textFill>
        </w:rPr>
        <w:t>信访件134件，</w:t>
      </w:r>
      <w:r>
        <w:rPr>
          <w:rFonts w:hint="eastAsia" w:ascii="仿宋_GB2312" w:eastAsia="仿宋_GB2312" w:cs="仿宋_GB2312"/>
          <w:color w:val="000000" w:themeColor="text1"/>
          <w:sz w:val="32"/>
          <w:szCs w:val="32"/>
          <w:lang w:eastAsia="zh-CN"/>
          <w14:textFill>
            <w14:solidFill>
              <w14:schemeClr w14:val="tx1"/>
            </w14:solidFill>
          </w14:textFill>
        </w:rPr>
        <w:t>全部办结</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办结</w:t>
      </w:r>
      <w:r>
        <w:rPr>
          <w:rFonts w:hint="eastAsia" w:asci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b/>
          <w:bCs/>
          <w:color w:val="000000" w:themeColor="text1"/>
          <w:sz w:val="32"/>
          <w:szCs w:val="32"/>
          <w14:textFill>
            <w14:solidFill>
              <w14:schemeClr w14:val="tx1"/>
            </w14:solidFill>
          </w14:textFill>
        </w:rPr>
        <w:t>推行县级领导下沉接访</w:t>
      </w:r>
      <w:r>
        <w:rPr>
          <w:rFonts w:hint="eastAsia" w:ascii="仿宋_GB2312" w:eastAsia="仿宋_GB2312" w:cs="仿宋_GB2312"/>
          <w:color w:val="000000" w:themeColor="text1"/>
          <w:sz w:val="32"/>
          <w:szCs w:val="32"/>
          <w14:textFill>
            <w14:solidFill>
              <w14:schemeClr w14:val="tx1"/>
            </w14:solidFill>
          </w14:textFill>
        </w:rPr>
        <w:t>，明确县级领导每</w:t>
      </w:r>
      <w:r>
        <w:rPr>
          <w:rFonts w:hint="eastAsia" w:ascii="仿宋_GB2312" w:eastAsia="仿宋_GB2312" w:cs="仿宋_GB2312"/>
          <w:color w:val="000000" w:themeColor="text1"/>
          <w:sz w:val="32"/>
          <w:szCs w:val="32"/>
          <w:lang w:eastAsia="zh-CN"/>
          <w14:textFill>
            <w14:solidFill>
              <w14:schemeClr w14:val="tx1"/>
            </w14:solidFill>
          </w14:textFill>
        </w:rPr>
        <w:t>月第一周</w:t>
      </w:r>
      <w:r>
        <w:rPr>
          <w:rFonts w:hint="eastAsia" w:ascii="仿宋_GB2312" w:eastAsia="仿宋_GB2312" w:cs="仿宋_GB2312"/>
          <w:color w:val="000000" w:themeColor="text1"/>
          <w:sz w:val="32"/>
          <w:szCs w:val="32"/>
          <w14:textFill>
            <w14:solidFill>
              <w14:schemeClr w14:val="tx1"/>
            </w14:solidFill>
          </w14:textFill>
        </w:rPr>
        <w:t>深入联系乡镇（街道）坐班接访一次，集中解决一批发展所需、改革所急、基层所盼、民心所向的问题。</w:t>
      </w:r>
      <w:r>
        <w:rPr>
          <w:rFonts w:hint="eastAsia" w:ascii="仿宋_GB2312" w:eastAsia="仿宋_GB2312" w:cs="仿宋_GB2312"/>
          <w:color w:val="000000" w:themeColor="text1"/>
          <w:sz w:val="32"/>
          <w:szCs w:val="32"/>
          <w:lang w:val="en-US" w:eastAsia="zh-CN"/>
          <w14:textFill>
            <w14:solidFill>
              <w14:schemeClr w14:val="tx1"/>
            </w14:solidFill>
          </w14:textFill>
        </w:rPr>
        <w:t>2024年度</w:t>
      </w:r>
      <w:r>
        <w:rPr>
          <w:rFonts w:hint="eastAsia" w:ascii="仿宋_GB2312" w:eastAsia="仿宋_GB2312" w:cs="仿宋_GB2312"/>
          <w:color w:val="000000" w:themeColor="text1"/>
          <w:sz w:val="32"/>
          <w:szCs w:val="32"/>
          <w14:textFill>
            <w14:solidFill>
              <w14:schemeClr w14:val="tx1"/>
            </w14:solidFill>
          </w14:textFill>
        </w:rPr>
        <w:t>共接访下访</w:t>
      </w:r>
      <w:r>
        <w:rPr>
          <w:rFonts w:hint="eastAsia" w:ascii="仿宋_GB2312" w:eastAsia="仿宋_GB2312" w:cs="仿宋_GB2312"/>
          <w:color w:val="000000" w:themeColor="text1"/>
          <w:sz w:val="32"/>
          <w:szCs w:val="32"/>
          <w:lang w:val="en-US" w:eastAsia="zh-CN"/>
          <w14:textFill>
            <w14:solidFill>
              <w14:schemeClr w14:val="tx1"/>
            </w14:solidFill>
          </w14:textFill>
        </w:rPr>
        <w:t>285</w:t>
      </w:r>
      <w:r>
        <w:rPr>
          <w:rFonts w:hint="eastAsia" w:ascii="仿宋_GB2312" w:eastAsia="仿宋_GB2312" w:cs="仿宋_GB2312"/>
          <w:color w:val="000000" w:themeColor="text1"/>
          <w:sz w:val="32"/>
          <w:szCs w:val="32"/>
          <w14:textFill>
            <w14:solidFill>
              <w14:schemeClr w14:val="tx1"/>
            </w14:solidFill>
          </w14:textFill>
        </w:rPr>
        <w:t>次，接待群众</w:t>
      </w:r>
      <w:r>
        <w:rPr>
          <w:rFonts w:hint="eastAsia" w:ascii="仿宋_GB2312" w:eastAsia="仿宋_GB2312" w:cs="仿宋_GB2312"/>
          <w:color w:val="000000" w:themeColor="text1"/>
          <w:sz w:val="32"/>
          <w:szCs w:val="32"/>
          <w:lang w:val="en-US" w:eastAsia="zh-CN"/>
          <w14:textFill>
            <w14:solidFill>
              <w14:schemeClr w14:val="tx1"/>
            </w14:solidFill>
          </w14:textFill>
        </w:rPr>
        <w:t>680</w:t>
      </w:r>
      <w:r>
        <w:rPr>
          <w:rFonts w:hint="eastAsia" w:ascii="仿宋_GB2312" w:eastAsia="仿宋_GB2312" w:cs="仿宋_GB2312"/>
          <w:color w:val="000000" w:themeColor="text1"/>
          <w:sz w:val="32"/>
          <w:szCs w:val="32"/>
          <w14:textFill>
            <w14:solidFill>
              <w14:schemeClr w14:val="tx1"/>
            </w14:solidFill>
          </w14:textFill>
        </w:rPr>
        <w:t>批次、</w:t>
      </w:r>
      <w:r>
        <w:rPr>
          <w:rFonts w:hint="eastAsia" w:ascii="仿宋_GB2312" w:eastAsia="仿宋_GB2312" w:cs="仿宋_GB2312"/>
          <w:color w:val="000000" w:themeColor="text1"/>
          <w:sz w:val="32"/>
          <w:szCs w:val="32"/>
          <w:lang w:val="en-US" w:eastAsia="zh-CN"/>
          <w14:textFill>
            <w14:solidFill>
              <w14:schemeClr w14:val="tx1"/>
            </w14:solidFill>
          </w14:textFill>
        </w:rPr>
        <w:t>950余</w:t>
      </w:r>
      <w:r>
        <w:rPr>
          <w:rFonts w:hint="eastAsia" w:ascii="仿宋_GB2312" w:eastAsia="仿宋_GB2312" w:cs="仿宋_GB2312"/>
          <w:color w:val="000000" w:themeColor="text1"/>
          <w:sz w:val="32"/>
          <w:szCs w:val="32"/>
          <w14:textFill>
            <w14:solidFill>
              <w14:schemeClr w14:val="tx1"/>
            </w14:solidFill>
          </w14:textFill>
        </w:rPr>
        <w:t>人次。</w:t>
      </w:r>
      <w:r>
        <w:rPr>
          <w:rFonts w:hint="eastAsia" w:ascii="仿宋_GB2312" w:eastAsia="仿宋_GB2312" w:cs="仿宋_GB2312"/>
          <w:b/>
          <w:bCs/>
          <w:color w:val="000000" w:themeColor="text1"/>
          <w:sz w:val="32"/>
          <w:szCs w:val="32"/>
          <w14:textFill>
            <w14:solidFill>
              <w14:schemeClr w14:val="tx1"/>
            </w14:solidFill>
          </w14:textFill>
        </w:rPr>
        <w:t>二是带案下访有力。</w:t>
      </w:r>
      <w:r>
        <w:rPr>
          <w:rFonts w:hint="eastAsia" w:ascii="仿宋_GB2312" w:hAnsi="仿宋_GB2312" w:eastAsia="仿宋_GB2312" w:cs="仿宋_GB2312"/>
          <w:color w:val="000000" w:themeColor="text1"/>
          <w:sz w:val="32"/>
          <w:szCs w:val="32"/>
          <w14:textFill>
            <w14:solidFill>
              <w14:schemeClr w14:val="tx1"/>
            </w14:solidFill>
          </w14:textFill>
        </w:rPr>
        <w:t>县级领导深入联系乡镇（街道）和分管行业部门带案下访，与群众“坐在一条板凳上、围在一张桌子上”交流感情、研究问题、化解矛盾，达到“化解一案、带动一片、治理一域”的良好效果。各单位主要领导进村（社区）入户带案下访，到信访群众家中全面了解核实情况，现场会商找准解决问题的具体办法措施，解决群众反映的问题，力促信访人息访息</w:t>
      </w:r>
      <w:r>
        <w:rPr>
          <w:rFonts w:hint="eastAsia" w:ascii="仿宋_GB2312" w:eastAsia="仿宋_GB2312" w:cs="仿宋_GB2312"/>
          <w:color w:val="000000" w:themeColor="text1"/>
          <w:sz w:val="32"/>
          <w:szCs w:val="32"/>
          <w14:textFill>
            <w14:solidFill>
              <w14:schemeClr w14:val="tx1"/>
            </w14:solidFill>
          </w14:textFill>
        </w:rPr>
        <w:t>诉。</w:t>
      </w:r>
      <w:r>
        <w:rPr>
          <w:rFonts w:hint="eastAsia" w:ascii="仿宋_GB2312" w:eastAsia="仿宋_GB2312" w:cs="仿宋_GB2312"/>
          <w:color w:val="000000" w:themeColor="text1"/>
          <w:sz w:val="32"/>
          <w:szCs w:val="32"/>
          <w:lang w:val="en-US" w:eastAsia="zh-CN"/>
          <w14:textFill>
            <w14:solidFill>
              <w14:schemeClr w14:val="tx1"/>
            </w14:solidFill>
          </w14:textFill>
        </w:rPr>
        <w:t>2024年度</w:t>
      </w:r>
      <w:r>
        <w:rPr>
          <w:rFonts w:hint="eastAsia" w:ascii="仿宋_GB2312" w:eastAsia="仿宋_GB2312" w:cs="仿宋_GB2312"/>
          <w:color w:val="000000" w:themeColor="text1"/>
          <w:sz w:val="32"/>
          <w:szCs w:val="32"/>
          <w14:textFill>
            <w14:solidFill>
              <w14:schemeClr w14:val="tx1"/>
            </w14:solidFill>
          </w14:textFill>
        </w:rPr>
        <w:t>县级领导带案下访</w:t>
      </w:r>
      <w:r>
        <w:rPr>
          <w:rFonts w:hint="eastAsia" w:ascii="仿宋_GB2312" w:eastAsia="仿宋_GB2312" w:cs="仿宋_GB2312"/>
          <w:color w:val="000000" w:themeColor="text1"/>
          <w:sz w:val="32"/>
          <w:szCs w:val="32"/>
          <w:lang w:val="en-US" w:eastAsia="zh-CN"/>
          <w14:textFill>
            <w14:solidFill>
              <w14:schemeClr w14:val="tx1"/>
            </w14:solidFill>
          </w14:textFill>
        </w:rPr>
        <w:t>820余</w:t>
      </w:r>
      <w:r>
        <w:rPr>
          <w:rFonts w:hint="eastAsia" w:ascii="仿宋_GB2312" w:eastAsia="仿宋_GB2312" w:cs="仿宋_GB2312"/>
          <w:color w:val="000000" w:themeColor="text1"/>
          <w:sz w:val="32"/>
          <w:szCs w:val="32"/>
          <w14:textFill>
            <w14:solidFill>
              <w14:schemeClr w14:val="tx1"/>
            </w14:solidFill>
          </w14:textFill>
        </w:rPr>
        <w:t>件次，各单位主要领导进村（社区）入户带案下访</w:t>
      </w:r>
      <w:r>
        <w:rPr>
          <w:rFonts w:hint="eastAsia" w:ascii="仿宋_GB2312" w:eastAsia="仿宋_GB2312" w:cs="仿宋_GB2312"/>
          <w:color w:val="000000" w:themeColor="text1"/>
          <w:sz w:val="32"/>
          <w:szCs w:val="32"/>
          <w:lang w:val="en-US" w:eastAsia="zh-CN"/>
          <w14:textFill>
            <w14:solidFill>
              <w14:schemeClr w14:val="tx1"/>
            </w14:solidFill>
          </w14:textFill>
        </w:rPr>
        <w:t>1280余</w:t>
      </w:r>
      <w:r>
        <w:rPr>
          <w:rFonts w:hint="eastAsia" w:ascii="仿宋_GB2312" w:eastAsia="仿宋_GB2312" w:cs="仿宋_GB2312"/>
          <w:color w:val="000000" w:themeColor="text1"/>
          <w:sz w:val="32"/>
          <w:szCs w:val="32"/>
          <w14:textFill>
            <w14:solidFill>
              <w14:schemeClr w14:val="tx1"/>
            </w14:solidFill>
          </w14:textFill>
        </w:rPr>
        <w:t>件次。</w:t>
      </w:r>
      <w:r>
        <w:rPr>
          <w:rFonts w:hint="eastAsia" w:ascii="仿宋_GB2312" w:eastAsia="仿宋_GB2312" w:cs="仿宋_GB2312"/>
          <w:b/>
          <w:bCs/>
          <w:color w:val="000000" w:themeColor="text1"/>
          <w:sz w:val="32"/>
          <w:szCs w:val="32"/>
          <w14:textFill>
            <w14:solidFill>
              <w14:schemeClr w14:val="tx1"/>
            </w14:solidFill>
          </w14:textFill>
        </w:rPr>
        <w:t>三是包案解访有效。</w:t>
      </w:r>
      <w:r>
        <w:rPr>
          <w:rFonts w:hint="eastAsia" w:ascii="仿宋_GB2312" w:eastAsia="仿宋_GB2312" w:cs="仿宋_GB2312"/>
          <w:b w:val="0"/>
          <w:bCs w:val="0"/>
          <w:color w:val="000000" w:themeColor="text1"/>
          <w:sz w:val="32"/>
          <w:szCs w:val="32"/>
          <w:lang w:eastAsia="zh-CN"/>
          <w14:textFill>
            <w14:solidFill>
              <w14:schemeClr w14:val="tx1"/>
            </w14:solidFill>
          </w14:textFill>
        </w:rPr>
        <w:t>全面</w:t>
      </w:r>
      <w:r>
        <w:rPr>
          <w:rFonts w:hint="eastAsia" w:ascii="仿宋_GB2312" w:eastAsia="仿宋_GB2312" w:cs="仿宋_GB2312"/>
          <w:b w:val="0"/>
          <w:bCs w:val="0"/>
          <w:color w:val="000000" w:themeColor="text1"/>
          <w:sz w:val="32"/>
          <w:szCs w:val="32"/>
          <w14:textFill>
            <w14:solidFill>
              <w14:schemeClr w14:val="tx1"/>
            </w14:solidFill>
          </w14:textFill>
        </w:rPr>
        <w:t>压</w:t>
      </w:r>
      <w:r>
        <w:rPr>
          <w:rFonts w:hint="eastAsia" w:ascii="仿宋_GB2312" w:eastAsia="仿宋_GB2312" w:cs="仿宋_GB2312"/>
          <w:color w:val="000000" w:themeColor="text1"/>
          <w:sz w:val="32"/>
          <w:szCs w:val="32"/>
          <w14:textFill>
            <w14:solidFill>
              <w14:schemeClr w14:val="tx1"/>
            </w14:solidFill>
          </w14:textFill>
        </w:rPr>
        <w:t>紧压实领导包案化解责任，实行“一案一策一专班”，逐一落实包案领导、具体责任人和化解方案，实行问题清单化、清单责任化、责任具体化，要求包案领导做到“七包”，即包协调、包督办、包落实、包教育、包稳定、包劝返、包息访，确保“件件有回音、事事有结果”，有效减少重复信访和越级信访的发生。</w:t>
      </w:r>
      <w:r>
        <w:rPr>
          <w:rFonts w:hint="eastAsia" w:ascii="仿宋_GB2312" w:eastAsia="仿宋_GB2312" w:cs="仿宋_GB2312"/>
          <w:color w:val="000000" w:themeColor="text1"/>
          <w:sz w:val="32"/>
          <w:szCs w:val="32"/>
          <w:lang w:val="en-US" w:eastAsia="zh-CN"/>
          <w14:textFill>
            <w14:solidFill>
              <w14:schemeClr w14:val="tx1"/>
            </w14:solidFill>
          </w14:textFill>
        </w:rPr>
        <w:t>2024年度</w:t>
      </w:r>
      <w:r>
        <w:rPr>
          <w:rFonts w:hint="eastAsia" w:ascii="仿宋_GB2312" w:eastAsia="仿宋_GB2312" w:cs="仿宋_GB2312"/>
          <w:color w:val="000000" w:themeColor="text1"/>
          <w:sz w:val="32"/>
          <w:szCs w:val="32"/>
          <w14:textFill>
            <w14:solidFill>
              <w14:schemeClr w14:val="tx1"/>
            </w14:solidFill>
          </w14:textFill>
        </w:rPr>
        <w:t>县级领导包案化解重点信访事项</w:t>
      </w:r>
      <w:r>
        <w:rPr>
          <w:rFonts w:hint="eastAsia" w:ascii="仿宋_GB2312" w:eastAsia="仿宋_GB2312" w:cs="仿宋_GB2312"/>
          <w:color w:val="000000" w:themeColor="text1"/>
          <w:sz w:val="32"/>
          <w:szCs w:val="32"/>
          <w:lang w:val="en-US" w:eastAsia="zh-CN"/>
          <w14:textFill>
            <w14:solidFill>
              <w14:schemeClr w14:val="tx1"/>
            </w14:solidFill>
          </w14:textFill>
        </w:rPr>
        <w:t>520</w:t>
      </w:r>
      <w:r>
        <w:rPr>
          <w:rFonts w:hint="eastAsia" w:ascii="仿宋_GB2312" w:eastAsia="仿宋_GB2312" w:cs="仿宋_GB2312"/>
          <w:color w:val="000000" w:themeColor="text1"/>
          <w:sz w:val="32"/>
          <w:szCs w:val="32"/>
          <w14:textFill>
            <w14:solidFill>
              <w14:schemeClr w14:val="tx1"/>
            </w14:solidFill>
          </w14:textFill>
        </w:rPr>
        <w:t>余件。</w:t>
      </w:r>
    </w:p>
    <w:p>
      <w:pPr>
        <w:keepNext w:val="0"/>
        <w:keepLines w:val="0"/>
        <w:pageBreakBefore w:val="0"/>
        <w:kinsoku/>
        <w:wordWrap/>
        <w:topLinePunct w:val="0"/>
        <w:autoSpaceDE/>
        <w:autoSpaceDN/>
        <w:bidi w:val="0"/>
        <w:spacing w:line="560" w:lineRule="exact"/>
        <w:ind w:firstLine="643"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4.</w:t>
      </w:r>
      <w:r>
        <w:rPr>
          <w:rFonts w:hint="eastAsia" w:ascii="楷体_GB2312" w:hAnsi="楷体_GB2312" w:eastAsia="楷体_GB2312" w:cs="楷体_GB2312"/>
          <w:b/>
          <w:bCs/>
          <w:color w:val="000000" w:themeColor="text1"/>
          <w:sz w:val="32"/>
          <w:szCs w:val="32"/>
          <w14:textFill>
            <w14:solidFill>
              <w14:schemeClr w14:val="tx1"/>
            </w14:solidFill>
          </w14:textFill>
        </w:rPr>
        <w:t>坚持综合“治”访，从快从严抓处置。</w:t>
      </w:r>
      <w:r>
        <w:rPr>
          <w:rFonts w:hint="eastAsia" w:ascii="仿宋_GB2312" w:hAnsi="仿宋_GB2312" w:eastAsia="仿宋_GB2312" w:cs="仿宋_GB2312"/>
          <w:color w:val="000000" w:themeColor="text1"/>
          <w:sz w:val="32"/>
          <w:szCs w:val="32"/>
          <w14:textFill>
            <w14:solidFill>
              <w14:schemeClr w14:val="tx1"/>
            </w14:solidFill>
          </w14:textFill>
        </w:rPr>
        <w:t>坚持以法治思维引领信访工作，以法治方式解决矛盾问题，综合运用法律、政策、经济、行政等手段和教育、协商、疏导等办法，加大信访问题调处化解力度，促进案结事了、事心双解。</w:t>
      </w:r>
      <w:r>
        <w:rPr>
          <w:rFonts w:hint="eastAsia" w:ascii="仿宋_GB2312" w:hAnsi="仿宋_GB2312" w:eastAsia="仿宋_GB2312" w:cs="仿宋_GB2312"/>
          <w:b/>
          <w:bCs/>
          <w:color w:val="000000" w:themeColor="text1"/>
          <w:sz w:val="32"/>
          <w:szCs w:val="32"/>
          <w14:textFill>
            <w14:solidFill>
              <w14:schemeClr w14:val="tx1"/>
            </w14:solidFill>
          </w14:textFill>
        </w:rPr>
        <w:t>一是全力提升初信初访办结质量</w:t>
      </w:r>
      <w:r>
        <w:rPr>
          <w:rFonts w:hint="eastAsia" w:ascii="仿宋_GB2312" w:hAnsi="仿宋_GB2312" w:eastAsia="仿宋_GB2312" w:cs="仿宋_GB2312"/>
          <w:color w:val="000000" w:themeColor="text1"/>
          <w:sz w:val="32"/>
          <w:szCs w:val="32"/>
          <w14:textFill>
            <w14:solidFill>
              <w14:schemeClr w14:val="tx1"/>
            </w14:solidFill>
          </w14:textFill>
        </w:rPr>
        <w:t>。紧扣提高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信访工作法治化</w:t>
      </w:r>
      <w:r>
        <w:rPr>
          <w:rFonts w:hint="eastAsia" w:ascii="仿宋_GB2312" w:hAnsi="仿宋_GB2312" w:eastAsia="仿宋_GB2312" w:cs="仿宋_GB2312"/>
          <w:color w:val="000000" w:themeColor="text1"/>
          <w:sz w:val="32"/>
          <w:szCs w:val="32"/>
          <w14:textFill>
            <w14:solidFill>
              <w14:schemeClr w14:val="tx1"/>
            </w14:solidFill>
          </w14:textFill>
        </w:rPr>
        <w:t>、一次性化解率和降低国家局初次信访求决类信访件目标，全面规范办理程序，切实提高初信初访办理水平。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全县信访程序案件办结</w:t>
      </w:r>
      <w:r>
        <w:rPr>
          <w:rFonts w:hint="eastAsia" w:ascii="仿宋_GB2312" w:hAnsi="仿宋_GB2312" w:eastAsia="仿宋_GB2312" w:cs="仿宋_GB2312"/>
          <w:color w:val="000000" w:themeColor="text1"/>
          <w:sz w:val="32"/>
          <w:szCs w:val="32"/>
          <w14:textFill>
            <w14:solidFill>
              <w14:schemeClr w14:val="tx1"/>
            </w14:solidFill>
          </w14:textFill>
        </w:rPr>
        <w:t>一次性化解率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二是全力抓好信访积案化解。</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县委县政府主要领导</w:t>
      </w:r>
      <w:r>
        <w:rPr>
          <w:rFonts w:hint="eastAsia" w:ascii="仿宋_GB2312" w:hAnsi="仿宋_GB2312" w:eastAsia="仿宋_GB2312" w:cs="仿宋_GB2312"/>
          <w:color w:val="000000" w:themeColor="text1"/>
          <w:sz w:val="32"/>
          <w:szCs w:val="32"/>
          <w14:textFill>
            <w14:solidFill>
              <w14:schemeClr w14:val="tx1"/>
            </w14:solidFill>
          </w14:textFill>
        </w:rPr>
        <w:t>带头领办，按照“谁主管谁负责”“属地管理、分级负责”原则，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明确县级领导包案</w:t>
      </w:r>
      <w:r>
        <w:rPr>
          <w:rFonts w:hint="eastAsia" w:ascii="仿宋_GB2312" w:hAnsi="仿宋_GB2312" w:eastAsia="仿宋_GB2312" w:cs="仿宋_GB2312"/>
          <w:color w:val="000000" w:themeColor="text1"/>
          <w:sz w:val="32"/>
          <w:szCs w:val="32"/>
          <w14:textFill>
            <w14:solidFill>
              <w14:schemeClr w14:val="tx1"/>
            </w14:solidFill>
          </w14:textFill>
        </w:rPr>
        <w:t>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责任单位主办化解</w:t>
      </w:r>
      <w:r>
        <w:rPr>
          <w:rFonts w:hint="eastAsia" w:ascii="仿宋_GB2312" w:hAnsi="仿宋_GB2312" w:eastAsia="仿宋_GB2312" w:cs="仿宋_GB2312"/>
          <w:color w:val="000000" w:themeColor="text1"/>
          <w:sz w:val="32"/>
          <w:szCs w:val="32"/>
          <w14:textFill>
            <w14:solidFill>
              <w14:schemeClr w14:val="tx1"/>
            </w14:solidFill>
          </w14:textFill>
        </w:rPr>
        <w:t>，扎实推动案件化解工作。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国家局交办集中督办积案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49件，上报化解49件，上报化解率100%；国家、省、市交督办件45件，上报化解45件，上报化解率100%；</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全面开展</w:t>
      </w:r>
      <w:r>
        <w:rPr>
          <w:rFonts w:hint="eastAsia" w:ascii="仿宋_GB2312" w:hAnsi="仿宋_GB2312" w:eastAsia="仿宋_GB2312" w:cs="仿宋_GB2312"/>
          <w:color w:val="000000" w:themeColor="text1"/>
          <w:sz w:val="32"/>
          <w:szCs w:val="32"/>
          <w14:textFill>
            <w14:solidFill>
              <w14:schemeClr w14:val="tx1"/>
            </w14:solidFill>
          </w14:textFill>
        </w:rPr>
        <w:t>信访积案</w:t>
      </w:r>
      <w:r>
        <w:rPr>
          <w:rFonts w:hint="eastAsia" w:ascii="仿宋_GB2312" w:hAnsi="仿宋_GB2312" w:eastAsia="仿宋_GB2312" w:cs="仿宋_GB2312"/>
          <w:color w:val="000000" w:themeColor="text1"/>
          <w:sz w:val="32"/>
          <w:szCs w:val="32"/>
          <w:lang w:eastAsia="zh-CN"/>
          <w14:textFill>
            <w14:solidFill>
              <w14:schemeClr w14:val="tx1"/>
            </w14:solidFill>
          </w14:textFill>
        </w:rPr>
        <w:t>“清零”工作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交办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303件，办结303件，</w:t>
      </w:r>
      <w:r>
        <w:rPr>
          <w:rFonts w:hint="eastAsia" w:ascii="仿宋_GB2312" w:hAnsi="仿宋_GB2312" w:eastAsia="仿宋_GB2312" w:cs="仿宋_GB2312"/>
          <w:color w:val="000000" w:themeColor="text1"/>
          <w:sz w:val="32"/>
          <w:szCs w:val="32"/>
          <w:lang w:eastAsia="zh-CN"/>
          <w14:textFill>
            <w14:solidFill>
              <w14:schemeClr w14:val="tx1"/>
            </w14:solidFill>
          </w14:textFill>
        </w:rPr>
        <w:t>办结</w:t>
      </w:r>
      <w:r>
        <w:rPr>
          <w:rFonts w:hint="eastAsia" w:ascii="仿宋_GB2312" w:hAnsi="仿宋_GB2312" w:eastAsia="仿宋_GB2312" w:cs="仿宋_GB2312"/>
          <w:color w:val="000000" w:themeColor="text1"/>
          <w:sz w:val="32"/>
          <w:szCs w:val="32"/>
          <w14:textFill>
            <w14:solidFill>
              <w14:schemeClr w14:val="tx1"/>
            </w14:solidFill>
          </w14:textFill>
        </w:rPr>
        <w:t>率100%；</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同时抓好了省委巡视组“回头看”交办案件整改工作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三是全力落实稳控责任。</w:t>
      </w:r>
      <w:r>
        <w:rPr>
          <w:rFonts w:hint="eastAsia" w:ascii="仿宋_GB2312" w:hAnsi="仿宋_GB2312" w:eastAsia="仿宋_GB2312" w:cs="仿宋_GB2312"/>
          <w:color w:val="000000" w:themeColor="text1"/>
          <w:sz w:val="32"/>
          <w:szCs w:val="32"/>
          <w14:textFill>
            <w14:solidFill>
              <w14:schemeClr w14:val="tx1"/>
            </w14:solidFill>
          </w14:textFill>
        </w:rPr>
        <w:t>对重点人员和特殊人员，严格落实稳控责任，引导信访人依法有序反映合理诉求。按照“三到位一处理”原则处理信访问题，对信访过程中</w:t>
      </w:r>
      <w:r>
        <w:rPr>
          <w:rFonts w:hint="eastAsia" w:ascii="仿宋_GB2312" w:hAnsi="仿宋_GB2312" w:eastAsia="仿宋_GB2312" w:cs="仿宋_GB2312"/>
          <w:color w:val="000000" w:themeColor="text1"/>
          <w:sz w:val="32"/>
          <w:szCs w:val="32"/>
          <w:lang w:eastAsia="zh-CN"/>
          <w14:textFill>
            <w14:solidFill>
              <w14:schemeClr w14:val="tx1"/>
            </w14:solidFill>
          </w14:textFill>
        </w:rPr>
        <w:t>存在违法行为的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13人</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依法</w:t>
      </w:r>
      <w:r>
        <w:rPr>
          <w:rFonts w:hint="eastAsia" w:ascii="仿宋_GB2312" w:hAnsi="仿宋_GB2312" w:eastAsia="仿宋_GB2312" w:cs="仿宋_GB2312"/>
          <w:color w:val="000000" w:themeColor="text1"/>
          <w:sz w:val="32"/>
          <w:szCs w:val="32"/>
          <w:lang w:eastAsia="zh-CN"/>
          <w14:textFill>
            <w14:solidFill>
              <w14:schemeClr w14:val="tx1"/>
            </w14:solidFill>
          </w14:textFill>
        </w:rPr>
        <w:t>处置</w:t>
      </w:r>
      <w:r>
        <w:rPr>
          <w:rFonts w:hint="eastAsia" w:ascii="仿宋_GB2312" w:hAnsi="仿宋_GB2312" w:eastAsia="仿宋_GB2312" w:cs="仿宋_GB2312"/>
          <w:color w:val="000000" w:themeColor="text1"/>
          <w:sz w:val="32"/>
          <w:szCs w:val="32"/>
          <w14:textFill>
            <w14:solidFill>
              <w14:schemeClr w14:val="tx1"/>
            </w14:solidFill>
          </w14:textFill>
        </w:rPr>
        <w:t>，有力维护</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信访秩序。同时，强化舆情监测和宣传引导，对各类涉访舆情，第一时间核查具体诉求和办理情况，及时妥善应对，避免问题发酵，有效引导舆论。</w:t>
      </w:r>
      <w:r>
        <w:rPr>
          <w:rFonts w:hint="eastAsia" w:ascii="仿宋_GB2312" w:hAnsi="仿宋_GB2312" w:eastAsia="仿宋_GB2312" w:cs="仿宋_GB2312"/>
          <w:b/>
          <w:bCs/>
          <w:color w:val="000000" w:themeColor="text1"/>
          <w:sz w:val="32"/>
          <w:szCs w:val="32"/>
          <w14:textFill>
            <w14:solidFill>
              <w14:schemeClr w14:val="tx1"/>
            </w14:solidFill>
          </w14:textFill>
        </w:rPr>
        <w:t>四是全力实行精准追责。</w:t>
      </w:r>
      <w:r>
        <w:rPr>
          <w:rFonts w:hint="eastAsia" w:ascii="仿宋_GB2312" w:eastAsia="仿宋_GB2312" w:cs="仿宋_GB2312"/>
          <w:color w:val="000000" w:themeColor="text1"/>
          <w:sz w:val="32"/>
          <w:szCs w:val="32"/>
          <w:lang w:eastAsia="zh-CN"/>
          <w14:textFill>
            <w14:solidFill>
              <w14:schemeClr w14:val="tx1"/>
            </w14:solidFill>
          </w14:textFill>
        </w:rPr>
        <w:t>县联席办和县信访局认真履行“三项建议”</w:t>
      </w:r>
      <w:r>
        <w:rPr>
          <w:rFonts w:hint="eastAsia" w:ascii="仿宋_GB2312" w:hAnsi="仿宋_GB2312" w:eastAsia="仿宋_GB2312" w:cs="仿宋_GB2312"/>
          <w:color w:val="000000" w:themeColor="text1"/>
          <w:sz w:val="32"/>
          <w:szCs w:val="40"/>
          <w14:textFill>
            <w14:solidFill>
              <w14:schemeClr w14:val="tx1"/>
            </w14:solidFill>
          </w14:textFill>
        </w:rPr>
        <w:t>职责</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严格实行全链条追责、全方位追责、全过程追责，将追责延伸至矛盾引发、隐患排查、问题化解、对象疏导、接访劝返各个环节，确保追到关键、追到要害，倒逼工作落实。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共明确重点督查督办信访事项45件，发出工作提醒函37份、改进工作建议13份，追究责任建议6份，通报单位14个，通报批评18人次，提醒谈话13人次，诫勉谈话1人次，移交纪委处理3人次。</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七、存在的问题及原因分析</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缺少短期规划，不利于整体目标的落实</w:t>
      </w:r>
      <w:r>
        <w:rPr>
          <w:rFonts w:hint="eastAsia" w:ascii="仿宋_GB2312" w:hAnsi="宋体" w:cs="仿宋_GB2312"/>
          <w:i w:val="0"/>
          <w:iCs w:val="0"/>
          <w:caps w:val="0"/>
          <w:color w:val="000000"/>
          <w:spacing w:val="0"/>
          <w:kern w:val="2"/>
          <w:sz w:val="32"/>
          <w:szCs w:val="32"/>
          <w:shd w:val="clear" w:color="auto" w:fill="FFFFFF"/>
          <w:lang w:val="en-US" w:eastAsia="zh-CN" w:bidi="ar-SA"/>
        </w:rPr>
        <w:t>；绩效管理意识还不够强，绩效管理机制还不够完善</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由于部门人员少，配备的专业人才不足，一定程度上阻碍了绩效目标的实现。</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八、改进措施和有关建议</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1</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规范财务管理，提高财务管理水平。严格执行《会计法》、《事业单位财务规定》、《预算法》等规定执行财务核算，做好部门预算，严格按照年初资金的预算用途使用资金，做到决算与预算相衔接，提高财务信息质量。</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2</w:t>
      </w:r>
      <w:r>
        <w:rPr>
          <w:rFonts w:hint="eastAsia" w:ascii="仿宋_GB2312" w:hAnsi="宋体" w:cs="仿宋_GB2312"/>
          <w:i w:val="0"/>
          <w:iCs w:val="0"/>
          <w:caps w:val="0"/>
          <w:color w:val="000000"/>
          <w:spacing w:val="0"/>
          <w:kern w:val="2"/>
          <w:sz w:val="32"/>
          <w:szCs w:val="32"/>
          <w:shd w:val="clear" w:color="auto" w:fill="FFFFFF"/>
          <w:lang w:val="en-US" w:eastAsia="zh-CN" w:bidi="ar-SA"/>
        </w:rPr>
        <w:t>.</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加强新政府事业单位会计制度、内控制度、固定资产管理制度等的学习培训，加强会计队伍建设，提高财务人员的业务水平。</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cs="仿宋_GB2312"/>
          <w:i w:val="0"/>
          <w:iCs w:val="0"/>
          <w:caps w:val="0"/>
          <w:color w:val="000000"/>
          <w:spacing w:val="0"/>
          <w:kern w:val="2"/>
          <w:sz w:val="32"/>
          <w:szCs w:val="32"/>
          <w:shd w:val="clear" w:color="auto" w:fill="FFFFFF"/>
          <w:lang w:val="en-US" w:eastAsia="zh-CN" w:bidi="ar-SA"/>
        </w:rPr>
        <w:t>3.提高绩效管理意识，提高绩效监控工作质量，完善绩效管理制度。加强规划，优化目标设定，提高整体效益。</w:t>
      </w:r>
    </w:p>
    <w:p>
      <w:pPr>
        <w:pStyle w:val="8"/>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九、绩效自评结果拟应用和公开情况</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自评分90分，优秀等次。道县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高度重视绩效评价结果的应用工作，积极探索和建立一套与预算管理相结合、多渠道应用评价结果的有效机制，着力提高绩效意识和财政资金使用效益。同时，道县</w:t>
      </w:r>
      <w:r>
        <w:rPr>
          <w:rFonts w:hint="eastAsia" w:ascii="仿宋_GB2312" w:hAnsi="宋体" w:cs="仿宋_GB2312"/>
          <w:i w:val="0"/>
          <w:iCs w:val="0"/>
          <w:caps w:val="0"/>
          <w:color w:val="000000"/>
          <w:spacing w:val="0"/>
          <w:kern w:val="2"/>
          <w:sz w:val="32"/>
          <w:szCs w:val="32"/>
          <w:shd w:val="clear" w:color="auto" w:fill="FFFFFF"/>
          <w:lang w:val="en-US" w:eastAsia="zh-CN" w:bidi="ar-SA"/>
        </w:rPr>
        <w:t>信访局</w:t>
      </w:r>
      <w:r>
        <w:rPr>
          <w:rFonts w:hint="eastAsia" w:ascii="仿宋_GB2312" w:hAnsi="宋体" w:eastAsia="仿宋_GB2312" w:cs="仿宋_GB2312"/>
          <w:i w:val="0"/>
          <w:iCs w:val="0"/>
          <w:caps w:val="0"/>
          <w:color w:val="000000"/>
          <w:spacing w:val="0"/>
          <w:kern w:val="2"/>
          <w:sz w:val="32"/>
          <w:szCs w:val="32"/>
          <w:shd w:val="clear" w:color="auto" w:fill="FFFFFF"/>
          <w:lang w:val="en-US" w:eastAsia="zh-CN" w:bidi="ar-SA"/>
        </w:rPr>
        <w:t>部门整体支出绩效自评报告委托财政局在道县人民政府门户网站上进行公开，广泛接受社会监督。</w:t>
      </w:r>
    </w:p>
    <w:sectPr>
      <w:pgSz w:w="11906" w:h="16838"/>
      <w:pgMar w:top="1610" w:right="1457" w:bottom="1553" w:left="1457" w:header="0" w:footer="0" w:gutter="0"/>
      <w:pgNumType w:fmt="decimal" w:start="1"/>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GFlZmVlM2UxNTBiYzI3MDE3MTIzNjllYjVkNDkifQ=="/>
    <w:docVar w:name="KSO_WPS_MARK_KEY" w:val="6e80d895-8ab3-4093-b49a-66f9a752d2cf"/>
  </w:docVars>
  <w:rsids>
    <w:rsidRoot w:val="1FE508A8"/>
    <w:rsid w:val="017A2CD6"/>
    <w:rsid w:val="0278419A"/>
    <w:rsid w:val="05662A1A"/>
    <w:rsid w:val="06761173"/>
    <w:rsid w:val="07104FF4"/>
    <w:rsid w:val="087671A8"/>
    <w:rsid w:val="0AAB21E9"/>
    <w:rsid w:val="0B476D75"/>
    <w:rsid w:val="0C3F680E"/>
    <w:rsid w:val="0F1152BA"/>
    <w:rsid w:val="0F1862C4"/>
    <w:rsid w:val="0F2729AB"/>
    <w:rsid w:val="0F352603"/>
    <w:rsid w:val="0F493172"/>
    <w:rsid w:val="0F663CC4"/>
    <w:rsid w:val="0FA27E20"/>
    <w:rsid w:val="104A2BC8"/>
    <w:rsid w:val="10B62203"/>
    <w:rsid w:val="10E2294A"/>
    <w:rsid w:val="11032982"/>
    <w:rsid w:val="11835A58"/>
    <w:rsid w:val="119772DC"/>
    <w:rsid w:val="128454B8"/>
    <w:rsid w:val="12B622F5"/>
    <w:rsid w:val="13AC0307"/>
    <w:rsid w:val="14242FB9"/>
    <w:rsid w:val="148443FC"/>
    <w:rsid w:val="157F4DFE"/>
    <w:rsid w:val="158A6DFA"/>
    <w:rsid w:val="15E12A6B"/>
    <w:rsid w:val="17754DA5"/>
    <w:rsid w:val="181A6968"/>
    <w:rsid w:val="18826EA4"/>
    <w:rsid w:val="189A3193"/>
    <w:rsid w:val="189A48F0"/>
    <w:rsid w:val="1A9B5D97"/>
    <w:rsid w:val="1AFE6750"/>
    <w:rsid w:val="1C760675"/>
    <w:rsid w:val="1C8D6050"/>
    <w:rsid w:val="1D2B6B99"/>
    <w:rsid w:val="1DB86FD2"/>
    <w:rsid w:val="1EB85791"/>
    <w:rsid w:val="1F5861E6"/>
    <w:rsid w:val="1FE508A8"/>
    <w:rsid w:val="208F215E"/>
    <w:rsid w:val="21186A36"/>
    <w:rsid w:val="22230260"/>
    <w:rsid w:val="22C30EFC"/>
    <w:rsid w:val="22FA2CA1"/>
    <w:rsid w:val="23AD6A53"/>
    <w:rsid w:val="23D53DCE"/>
    <w:rsid w:val="2476750B"/>
    <w:rsid w:val="247C0F46"/>
    <w:rsid w:val="24E262D4"/>
    <w:rsid w:val="252346CB"/>
    <w:rsid w:val="257858B7"/>
    <w:rsid w:val="25AB3597"/>
    <w:rsid w:val="26CB1A16"/>
    <w:rsid w:val="28E91465"/>
    <w:rsid w:val="29925861"/>
    <w:rsid w:val="29D91ACD"/>
    <w:rsid w:val="2B76409D"/>
    <w:rsid w:val="2B8C3E80"/>
    <w:rsid w:val="2BFA0DD4"/>
    <w:rsid w:val="2DA65CC6"/>
    <w:rsid w:val="2E530C6F"/>
    <w:rsid w:val="2EDA7796"/>
    <w:rsid w:val="2EF756CE"/>
    <w:rsid w:val="2F680650"/>
    <w:rsid w:val="2FFA422D"/>
    <w:rsid w:val="30427A6E"/>
    <w:rsid w:val="31204E4E"/>
    <w:rsid w:val="318C6D07"/>
    <w:rsid w:val="31BF3BFD"/>
    <w:rsid w:val="322202A5"/>
    <w:rsid w:val="332646F5"/>
    <w:rsid w:val="33A87367"/>
    <w:rsid w:val="33E906ED"/>
    <w:rsid w:val="350B23FD"/>
    <w:rsid w:val="35534E80"/>
    <w:rsid w:val="357F5F96"/>
    <w:rsid w:val="36015455"/>
    <w:rsid w:val="363D4E79"/>
    <w:rsid w:val="377A2E68"/>
    <w:rsid w:val="379A5083"/>
    <w:rsid w:val="37C93AFD"/>
    <w:rsid w:val="391C09EB"/>
    <w:rsid w:val="394B3E20"/>
    <w:rsid w:val="3C962103"/>
    <w:rsid w:val="3D962926"/>
    <w:rsid w:val="3DB20562"/>
    <w:rsid w:val="3DCA3DDD"/>
    <w:rsid w:val="3DE47719"/>
    <w:rsid w:val="405076DB"/>
    <w:rsid w:val="413D5E2E"/>
    <w:rsid w:val="42040DA0"/>
    <w:rsid w:val="421E192F"/>
    <w:rsid w:val="428B352C"/>
    <w:rsid w:val="42A01EB3"/>
    <w:rsid w:val="42DA4C89"/>
    <w:rsid w:val="434C6037"/>
    <w:rsid w:val="434E5850"/>
    <w:rsid w:val="437A26E2"/>
    <w:rsid w:val="447E6172"/>
    <w:rsid w:val="450A0D7F"/>
    <w:rsid w:val="47E921D8"/>
    <w:rsid w:val="4BD838A6"/>
    <w:rsid w:val="4C963363"/>
    <w:rsid w:val="4D9F75D5"/>
    <w:rsid w:val="4E066C4B"/>
    <w:rsid w:val="509179E9"/>
    <w:rsid w:val="51627113"/>
    <w:rsid w:val="519A0650"/>
    <w:rsid w:val="51AC7025"/>
    <w:rsid w:val="541D3002"/>
    <w:rsid w:val="543D1517"/>
    <w:rsid w:val="552471A1"/>
    <w:rsid w:val="55BF1B7B"/>
    <w:rsid w:val="55DD7D88"/>
    <w:rsid w:val="56400886"/>
    <w:rsid w:val="5697709C"/>
    <w:rsid w:val="580A460E"/>
    <w:rsid w:val="58BC103B"/>
    <w:rsid w:val="58CF2BD4"/>
    <w:rsid w:val="58EE01E7"/>
    <w:rsid w:val="59AA46C9"/>
    <w:rsid w:val="5CF214D0"/>
    <w:rsid w:val="5D6114D0"/>
    <w:rsid w:val="5D9500AD"/>
    <w:rsid w:val="5DC450C6"/>
    <w:rsid w:val="5E35574E"/>
    <w:rsid w:val="5E941DB9"/>
    <w:rsid w:val="5EC51736"/>
    <w:rsid w:val="5FA363BB"/>
    <w:rsid w:val="61745F2F"/>
    <w:rsid w:val="62FB4E56"/>
    <w:rsid w:val="63912610"/>
    <w:rsid w:val="63C131D5"/>
    <w:rsid w:val="64E07E01"/>
    <w:rsid w:val="652A557F"/>
    <w:rsid w:val="656F7435"/>
    <w:rsid w:val="65750EF0"/>
    <w:rsid w:val="65F938CF"/>
    <w:rsid w:val="670267B3"/>
    <w:rsid w:val="68AD1DE1"/>
    <w:rsid w:val="693E5803"/>
    <w:rsid w:val="69A1579B"/>
    <w:rsid w:val="69D9139F"/>
    <w:rsid w:val="6AC825F7"/>
    <w:rsid w:val="6ACC3696"/>
    <w:rsid w:val="6B601CFA"/>
    <w:rsid w:val="6BC404DB"/>
    <w:rsid w:val="6BE60270"/>
    <w:rsid w:val="6C396DDE"/>
    <w:rsid w:val="6CCE2F41"/>
    <w:rsid w:val="6D167B12"/>
    <w:rsid w:val="6D655E05"/>
    <w:rsid w:val="6EBA37B1"/>
    <w:rsid w:val="6F607933"/>
    <w:rsid w:val="6F8B3544"/>
    <w:rsid w:val="70516601"/>
    <w:rsid w:val="705A7AF8"/>
    <w:rsid w:val="72A9257E"/>
    <w:rsid w:val="73097711"/>
    <w:rsid w:val="75410B7E"/>
    <w:rsid w:val="76211435"/>
    <w:rsid w:val="77065E4C"/>
    <w:rsid w:val="782D11B6"/>
    <w:rsid w:val="79CD5821"/>
    <w:rsid w:val="7A6A63B4"/>
    <w:rsid w:val="7AAB73C8"/>
    <w:rsid w:val="7AD54E7F"/>
    <w:rsid w:val="7B07484F"/>
    <w:rsid w:val="7BB4699F"/>
    <w:rsid w:val="7BDA3403"/>
    <w:rsid w:val="7C057755"/>
    <w:rsid w:val="7C4B2269"/>
    <w:rsid w:val="7C8506C0"/>
    <w:rsid w:val="7D5C6CC2"/>
    <w:rsid w:val="7DD87E16"/>
    <w:rsid w:val="7E244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annotation text"/>
    <w:basedOn w:val="1"/>
    <w:unhideWhenUsed/>
    <w:qFormat/>
    <w:uiPriority w:val="99"/>
    <w:pPr>
      <w:jc w:val="left"/>
    </w:p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customStyle="1" w:styleId="7">
    <w:name w:val="标题 31"/>
    <w:basedOn w:val="8"/>
    <w:next w:val="8"/>
    <w:unhideWhenUsed/>
    <w:qFormat/>
    <w:uiPriority w:val="0"/>
    <w:pPr>
      <w:keepNext/>
      <w:keepLines/>
      <w:spacing w:before="260" w:beforeAutospacing="0" w:after="260" w:afterAutospacing="0" w:line="410" w:lineRule="auto"/>
      <w:outlineLvl w:val="2"/>
    </w:pPr>
    <w:rPr>
      <w:b/>
      <w:sz w:val="32"/>
    </w:rPr>
  </w:style>
  <w:style w:type="paragraph" w:customStyle="1" w:styleId="8">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9">
    <w:name w:val="Body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4420</Words>
  <Characters>4658</Characters>
  <Lines>0</Lines>
  <Paragraphs>0</Paragraphs>
  <TotalTime>9</TotalTime>
  <ScaleCrop>false</ScaleCrop>
  <LinksUpToDate>false</LinksUpToDate>
  <CharactersWithSpaces>4659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2021-09-07T10:05:00Z</dcterms:created>
  <dc:creator>Administrator</dc:creator>
  <cp:lastModifiedBy>Administrator</cp:lastModifiedBy>
  <dcterms:modified xsi:type="dcterms:W3CDTF">2025-08-27T09:54:29Z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28BA701A99334B0DBE0599FA55A35DF6_13</vt:lpwstr>
  </property>
</Properties>
</file>