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CFFE5">
      <w:pPr>
        <w:jc w:val="center"/>
        <w:rPr>
          <w:rFonts w:hint="eastAsia" w:ascii="宋体"/>
          <w:b/>
          <w:sz w:val="44"/>
          <w:szCs w:val="44"/>
        </w:rPr>
      </w:pPr>
      <w:bookmarkStart w:id="0" w:name="_GoBack"/>
      <w:bookmarkEnd w:id="0"/>
      <w:r>
        <w:rPr>
          <w:rFonts w:hint="eastAsia" w:ascii="宋体"/>
          <w:b/>
          <w:sz w:val="44"/>
          <w:szCs w:val="44"/>
          <w:lang w:eastAsia="zh-CN"/>
        </w:rPr>
        <w:t>2024</w:t>
      </w:r>
      <w:r>
        <w:rPr>
          <w:rFonts w:hint="eastAsia" w:ascii="宋体"/>
          <w:b/>
          <w:sz w:val="44"/>
          <w:szCs w:val="44"/>
        </w:rPr>
        <w:t>年</w:t>
      </w:r>
      <w:r>
        <w:rPr>
          <w:rFonts w:hint="eastAsia" w:ascii="宋体"/>
          <w:b/>
          <w:sz w:val="44"/>
          <w:szCs w:val="44"/>
          <w:lang w:eastAsia="zh-CN"/>
        </w:rPr>
        <w:t>中共中央纪律检查委员会</w:t>
      </w:r>
      <w:r>
        <w:rPr>
          <w:rFonts w:hint="eastAsia" w:ascii="宋体"/>
          <w:b/>
          <w:sz w:val="44"/>
          <w:szCs w:val="44"/>
        </w:rPr>
        <w:t>部门</w:t>
      </w:r>
    </w:p>
    <w:p w14:paraId="2FC2B00A">
      <w:pPr>
        <w:jc w:val="center"/>
        <w:rPr>
          <w:rFonts w:hint="eastAsia" w:ascii="宋体"/>
          <w:b/>
          <w:sz w:val="44"/>
          <w:szCs w:val="44"/>
        </w:rPr>
      </w:pPr>
      <w:r>
        <w:rPr>
          <w:rFonts w:hint="eastAsia" w:ascii="宋体"/>
          <w:b/>
          <w:sz w:val="44"/>
          <w:szCs w:val="44"/>
        </w:rPr>
        <w:t>整体支出绩效评价报告</w:t>
      </w:r>
    </w:p>
    <w:p w14:paraId="78490D23">
      <w:pPr>
        <w:jc w:val="center"/>
        <w:rPr>
          <w:rFonts w:hint="eastAsia" w:ascii="方正小标宋简体" w:hAnsi="方正小标宋简体" w:eastAsia="方正小标宋简体" w:cs="方正小标宋简体"/>
          <w:sz w:val="44"/>
          <w:szCs w:val="44"/>
        </w:rPr>
      </w:pPr>
    </w:p>
    <w:p w14:paraId="3E76BE49">
      <w:pPr>
        <w:rPr>
          <w:rFonts w:hint="eastAsia" w:ascii="黑体" w:hAnsi="黑体" w:eastAsia="黑体" w:cs="黑体"/>
          <w:sz w:val="32"/>
          <w:szCs w:val="32"/>
        </w:rPr>
      </w:pPr>
      <w:r>
        <w:rPr>
          <w:rFonts w:hint="eastAsia" w:ascii="黑体" w:hAnsi="黑体" w:eastAsia="黑体" w:cs="黑体"/>
          <w:sz w:val="32"/>
          <w:szCs w:val="32"/>
        </w:rPr>
        <w:t>一、基本情况</w:t>
      </w:r>
    </w:p>
    <w:p w14:paraId="61B817BA">
      <w:pPr>
        <w:ind w:firstLine="562"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（一）单位基本情况</w:t>
      </w:r>
    </w:p>
    <w:p w14:paraId="06C444DC">
      <w:p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sz w:val="28"/>
          <w:szCs w:val="28"/>
        </w:rPr>
        <w:t>道县纪委监察局内设室15个,办公室、组织部、宣传部、党风政风监督室、信访室、案件监督管理室、第一纪检室、第二纪检室、第三纪检室、第四纪检室、第五纪检室、第六纪检室、案件审理室、纪检监察干部监督室，信息中心，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个派驻纪检监察组。</w:t>
      </w:r>
      <w:r>
        <w:rPr>
          <w:rFonts w:hint="eastAsia" w:ascii="仿宋_GB2312" w:hAnsi="仿宋_GB2312" w:eastAsia="仿宋_GB2312" w:cs="仿宋_GB2312"/>
          <w:sz w:val="28"/>
          <w:szCs w:val="28"/>
          <w:lang w:eastAsia="zh-CN"/>
        </w:rPr>
        <w:t>具体职能如下：</w:t>
      </w:r>
    </w:p>
    <w:p w14:paraId="0EB5B53B">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主管全县党的纪律审查工作，负责贯彻落实党中央、中央纪委、省委、省纪委、市委、市纪委和县委关于加强党风廉政建设的决定，维护党的章程和其它党内法规，检查党的路线、方针、政策和决议的执行情况；负责对党风廉政建设责任制执行情况进行监督检查。</w:t>
      </w:r>
    </w:p>
    <w:p w14:paraId="5F791A0C">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主管监察委员会的工作。负责贯彻落实国务院、省政府、市政府和县政府有关行政监察工作的决定；负责统一部署全县纠正部门和行业不正之风工作并进行监督、检查、指导。</w:t>
      </w:r>
    </w:p>
    <w:p w14:paraId="70E7FA24">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负责组织协调全县党风廉政建设和反腐败工作，承担县委、区政府反腐败斗争联席会议办公室的职责。</w:t>
      </w:r>
    </w:p>
    <w:p w14:paraId="02402466">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负责检查并处理县级机关各部门、各乡镇场（街道）党的组织和县委管理的党员领导干部违反党的章程及党内法规的案件，调查处理县政府各部门、国家公务员和政府任命的其他人员违反行政纪律的行为，对有关责任人依法作出党纪或行政处分或提出给予党纪或行政处分的建议，必要时直接查处下级党的纪检组织管辖范围内的比较重要或复杂的案件。</w:t>
      </w:r>
    </w:p>
    <w:p w14:paraId="25B2A90A">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保护党员和国家工作人员的正当权利和合法权益，受理党员的控告和申诉；受理监察对象不服行政处分决定的申诉；受理个人或单位对党员干部和监察对象违纪行为的检举、控告。</w:t>
      </w:r>
    </w:p>
    <w:p w14:paraId="3D7C42DC">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负责作出维护党纪的决定，根据本县实际制定党风廉政建设和反腐败斗争的规范性文件及政策；负责变更或撤销下级纪委不适当的决定。负责检查区政府各部门和所属单位遵守和执行法律、法规和所作出决定中的问题，并提出行政监察建议。</w:t>
      </w:r>
    </w:p>
    <w:p w14:paraId="4529F84F">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主管负责</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个纪检组的各项工作。</w:t>
      </w:r>
    </w:p>
    <w:p w14:paraId="57699B03">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按照权限和职责，协同县委组织部考察乡镇（街道）和区级机关部门的纪检监察干部，并提出任免建议；组织指导纪检监察系统干部的培训工作。</w:t>
      </w:r>
    </w:p>
    <w:p w14:paraId="49EE6141">
      <w:pPr>
        <w:ind w:firstLine="281" w:firstLineChars="1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（二）单位年度整体支出绩效目标</w:t>
      </w:r>
    </w:p>
    <w:p w14:paraId="4F7C767F">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2024年部门预算仅包括本级预算情况，收入包括一般公共预算收入；预算支出包括一般公共预算支出。</w:t>
      </w:r>
    </w:p>
    <w:p w14:paraId="7EA90945">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收入预算：2024年年初预算数2154.8万元，其中：一般预算收入1529.4万元，项目收入625.4万元。</w:t>
      </w:r>
    </w:p>
    <w:p w14:paraId="171F1B7B">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支出预算：2024年年初预算数2454.8万元，其中，一般预算支出1529.4万元，项目支出625.4万元。</w:t>
      </w:r>
    </w:p>
    <w:p w14:paraId="006F922B">
      <w:pPr>
        <w:numPr>
          <w:ilvl w:val="0"/>
          <w:numId w:val="1"/>
        </w:numPr>
        <w:ind w:firstLine="562"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一般公共预算支出情况</w:t>
      </w:r>
    </w:p>
    <w:p w14:paraId="22CBBB29">
      <w:pPr>
        <w:numPr>
          <w:ilvl w:val="0"/>
          <w:numId w:val="2"/>
        </w:numPr>
        <w:ind w:left="562" w:leftChars="0" w:firstLine="0" w:firstLineChars="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基本支出情况</w:t>
      </w:r>
    </w:p>
    <w:p w14:paraId="16D7461C">
      <w:pPr>
        <w:ind w:firstLine="560" w:firstLineChars="200"/>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202</w:t>
      </w:r>
      <w:r>
        <w:rPr>
          <w:rFonts w:hint="eastAsia" w:ascii="仿宋_GB2312" w:hAnsi="仿宋_GB2312" w:eastAsia="仿宋_GB2312" w:cs="仿宋_GB2312"/>
          <w:sz w:val="28"/>
          <w:szCs w:val="28"/>
          <w:lang w:val="en-US" w:eastAsia="zh-CN"/>
        </w:rPr>
        <w:t>4</w:t>
      </w:r>
      <w:r>
        <w:rPr>
          <w:rFonts w:hint="default" w:ascii="仿宋_GB2312" w:hAnsi="仿宋_GB2312" w:eastAsia="仿宋_GB2312" w:cs="仿宋_GB2312"/>
          <w:sz w:val="28"/>
          <w:szCs w:val="28"/>
          <w:lang w:val="en-US" w:eastAsia="zh-CN"/>
        </w:rPr>
        <w:t>年预算数为</w:t>
      </w:r>
      <w:r>
        <w:rPr>
          <w:rFonts w:hint="eastAsia" w:ascii="仿宋_GB2312" w:hAnsi="仿宋_GB2312" w:eastAsia="仿宋_GB2312" w:cs="仿宋_GB2312"/>
          <w:sz w:val="28"/>
          <w:szCs w:val="28"/>
          <w:lang w:val="en-US" w:eastAsia="zh-CN"/>
        </w:rPr>
        <w:t>1529.4</w:t>
      </w:r>
      <w:r>
        <w:rPr>
          <w:rFonts w:hint="default" w:ascii="仿宋_GB2312" w:hAnsi="仿宋_GB2312" w:eastAsia="仿宋_GB2312" w:cs="仿宋_GB2312"/>
          <w:sz w:val="28"/>
          <w:szCs w:val="28"/>
          <w:lang w:val="en-US" w:eastAsia="zh-CN"/>
        </w:rPr>
        <w:t>万元，是指为保障单位机构正常运转、完成日常工作任务而发生的各项支出，包括用于基本工资、津贴补贴等人员经费以及办公费、印刷费、水电费、办公设备购置等日常工作运转经费。</w:t>
      </w:r>
    </w:p>
    <w:p w14:paraId="3382E540">
      <w:pPr>
        <w:ind w:firstLine="560" w:firstLineChars="200"/>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行政运行类支出</w:t>
      </w:r>
      <w:r>
        <w:rPr>
          <w:rFonts w:hint="eastAsia" w:ascii="仿宋_GB2312" w:hAnsi="仿宋_GB2312" w:eastAsia="仿宋_GB2312" w:cs="仿宋_GB2312"/>
          <w:sz w:val="28"/>
          <w:szCs w:val="28"/>
          <w:lang w:val="en-US" w:eastAsia="zh-CN"/>
        </w:rPr>
        <w:t>1529.4</w:t>
      </w:r>
      <w:r>
        <w:rPr>
          <w:rFonts w:hint="default" w:ascii="仿宋_GB2312" w:hAnsi="仿宋_GB2312" w:eastAsia="仿宋_GB2312" w:cs="仿宋_GB2312"/>
          <w:sz w:val="28"/>
          <w:szCs w:val="28"/>
          <w:lang w:val="en-US" w:eastAsia="zh-CN"/>
        </w:rPr>
        <w:t>万元：1.工资福利支出预算共计</w:t>
      </w:r>
      <w:r>
        <w:rPr>
          <w:rFonts w:hint="eastAsia" w:ascii="仿宋_GB2312" w:hAnsi="仿宋_GB2312" w:eastAsia="仿宋_GB2312" w:cs="仿宋_GB2312"/>
          <w:sz w:val="28"/>
          <w:szCs w:val="28"/>
          <w:lang w:val="en-US" w:eastAsia="zh-CN"/>
        </w:rPr>
        <w:t>1189.47</w:t>
      </w:r>
      <w:r>
        <w:rPr>
          <w:rFonts w:hint="default" w:ascii="仿宋_GB2312" w:hAnsi="仿宋_GB2312" w:eastAsia="仿宋_GB2312" w:cs="仿宋_GB2312"/>
          <w:sz w:val="28"/>
          <w:szCs w:val="28"/>
          <w:lang w:val="en-US" w:eastAsia="zh-CN"/>
        </w:rPr>
        <w:t>万元，其中：基本工资</w:t>
      </w:r>
      <w:r>
        <w:rPr>
          <w:rFonts w:hint="eastAsia" w:ascii="仿宋_GB2312" w:hAnsi="仿宋_GB2312" w:eastAsia="仿宋_GB2312" w:cs="仿宋_GB2312"/>
          <w:sz w:val="28"/>
          <w:szCs w:val="28"/>
          <w:lang w:val="en-US" w:eastAsia="zh-CN"/>
        </w:rPr>
        <w:t>420.36</w:t>
      </w:r>
      <w:r>
        <w:rPr>
          <w:rFonts w:hint="default" w:ascii="仿宋_GB2312" w:hAnsi="仿宋_GB2312" w:eastAsia="仿宋_GB2312" w:cs="仿宋_GB2312"/>
          <w:sz w:val="28"/>
          <w:szCs w:val="28"/>
          <w:lang w:val="en-US" w:eastAsia="zh-CN"/>
        </w:rPr>
        <w:t>万元，津贴补贴</w:t>
      </w:r>
      <w:r>
        <w:rPr>
          <w:rFonts w:hint="eastAsia" w:ascii="仿宋_GB2312" w:hAnsi="仿宋_GB2312" w:eastAsia="仿宋_GB2312" w:cs="仿宋_GB2312"/>
          <w:sz w:val="28"/>
          <w:szCs w:val="28"/>
          <w:lang w:val="en-US" w:eastAsia="zh-CN"/>
        </w:rPr>
        <w:t>268.54</w:t>
      </w:r>
      <w:r>
        <w:rPr>
          <w:rFonts w:hint="default" w:ascii="仿宋_GB2312" w:hAnsi="仿宋_GB2312" w:eastAsia="仿宋_GB2312" w:cs="仿宋_GB2312"/>
          <w:sz w:val="28"/>
          <w:szCs w:val="28"/>
          <w:lang w:val="en-US" w:eastAsia="zh-CN"/>
        </w:rPr>
        <w:t>万元，奖金</w:t>
      </w:r>
      <w:r>
        <w:rPr>
          <w:rFonts w:hint="eastAsia" w:ascii="仿宋_GB2312" w:hAnsi="仿宋_GB2312" w:eastAsia="仿宋_GB2312" w:cs="仿宋_GB2312"/>
          <w:sz w:val="28"/>
          <w:szCs w:val="28"/>
          <w:lang w:val="en-US" w:eastAsia="zh-CN"/>
        </w:rPr>
        <w:t>228.79</w:t>
      </w:r>
      <w:r>
        <w:rPr>
          <w:rFonts w:hint="default" w:ascii="仿宋_GB2312" w:hAnsi="仿宋_GB2312" w:eastAsia="仿宋_GB2312" w:cs="仿宋_GB2312"/>
          <w:sz w:val="28"/>
          <w:szCs w:val="28"/>
          <w:lang w:val="en-US" w:eastAsia="zh-CN"/>
        </w:rPr>
        <w:t>万元，基本养老保险缴费</w:t>
      </w:r>
      <w:r>
        <w:rPr>
          <w:rFonts w:hint="eastAsia" w:ascii="仿宋_GB2312" w:hAnsi="仿宋_GB2312" w:eastAsia="仿宋_GB2312" w:cs="仿宋_GB2312"/>
          <w:sz w:val="28"/>
          <w:szCs w:val="28"/>
          <w:lang w:val="en-US" w:eastAsia="zh-CN"/>
        </w:rPr>
        <w:t>116.25</w:t>
      </w:r>
      <w:r>
        <w:rPr>
          <w:rFonts w:hint="default" w:ascii="仿宋_GB2312" w:hAnsi="仿宋_GB2312" w:eastAsia="仿宋_GB2312" w:cs="仿宋_GB2312"/>
          <w:sz w:val="28"/>
          <w:szCs w:val="28"/>
          <w:lang w:val="en-US" w:eastAsia="zh-CN"/>
        </w:rPr>
        <w:t>万元，基本医疗缴费</w:t>
      </w:r>
      <w:r>
        <w:rPr>
          <w:rFonts w:hint="eastAsia" w:ascii="仿宋_GB2312" w:hAnsi="仿宋_GB2312" w:eastAsia="仿宋_GB2312" w:cs="仿宋_GB2312"/>
          <w:sz w:val="28"/>
          <w:szCs w:val="28"/>
          <w:lang w:val="en-US" w:eastAsia="zh-CN"/>
        </w:rPr>
        <w:t>63.21</w:t>
      </w:r>
      <w:r>
        <w:rPr>
          <w:rFonts w:hint="default" w:ascii="仿宋_GB2312" w:hAnsi="仿宋_GB2312" w:eastAsia="仿宋_GB2312" w:cs="仿宋_GB2312"/>
          <w:sz w:val="28"/>
          <w:szCs w:val="28"/>
          <w:lang w:val="en-US" w:eastAsia="zh-CN"/>
        </w:rPr>
        <w:t>万元，住房公积金</w:t>
      </w:r>
      <w:r>
        <w:rPr>
          <w:rFonts w:hint="eastAsia" w:ascii="仿宋_GB2312" w:hAnsi="仿宋_GB2312" w:eastAsia="仿宋_GB2312" w:cs="仿宋_GB2312"/>
          <w:sz w:val="28"/>
          <w:szCs w:val="28"/>
          <w:lang w:val="en-US" w:eastAsia="zh-CN"/>
        </w:rPr>
        <w:t>83.01</w:t>
      </w:r>
      <w:r>
        <w:rPr>
          <w:rFonts w:hint="default" w:ascii="仿宋_GB2312" w:hAnsi="仿宋_GB2312" w:eastAsia="仿宋_GB2312" w:cs="仿宋_GB2312"/>
          <w:sz w:val="28"/>
          <w:szCs w:val="28"/>
          <w:lang w:val="en-US" w:eastAsia="zh-CN"/>
        </w:rPr>
        <w:t>万元，</w:t>
      </w:r>
      <w:r>
        <w:rPr>
          <w:rFonts w:hint="eastAsia" w:ascii="仿宋_GB2312" w:hAnsi="仿宋_GB2312" w:eastAsia="仿宋_GB2312" w:cs="仿宋_GB2312"/>
          <w:sz w:val="28"/>
          <w:szCs w:val="28"/>
          <w:lang w:val="en-US" w:eastAsia="zh-CN"/>
        </w:rPr>
        <w:t>绩效工资</w:t>
      </w:r>
      <w:r>
        <w:rPr>
          <w:rFonts w:hint="default"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val="en-US" w:eastAsia="zh-CN"/>
        </w:rPr>
        <w:t>31</w:t>
      </w:r>
      <w:r>
        <w:rPr>
          <w:rFonts w:hint="default" w:ascii="仿宋_GB2312" w:hAnsi="仿宋_GB2312" w:eastAsia="仿宋_GB2312" w:cs="仿宋_GB2312"/>
          <w:sz w:val="28"/>
          <w:szCs w:val="28"/>
          <w:lang w:val="en-US" w:eastAsia="zh-CN"/>
        </w:rPr>
        <w:t>万元；2.一般商品和服务支出</w:t>
      </w:r>
      <w:r>
        <w:rPr>
          <w:rFonts w:hint="eastAsia" w:ascii="仿宋_GB2312" w:hAnsi="仿宋_GB2312" w:eastAsia="仿宋_GB2312" w:cs="仿宋_GB2312"/>
          <w:sz w:val="28"/>
          <w:szCs w:val="28"/>
          <w:lang w:val="en-US" w:eastAsia="zh-CN"/>
        </w:rPr>
        <w:t>339.93</w:t>
      </w:r>
      <w:r>
        <w:rPr>
          <w:rFonts w:hint="default" w:ascii="仿宋_GB2312" w:hAnsi="仿宋_GB2312" w:eastAsia="仿宋_GB2312" w:cs="仿宋_GB2312"/>
          <w:sz w:val="28"/>
          <w:szCs w:val="28"/>
          <w:lang w:val="en-US" w:eastAsia="zh-CN"/>
        </w:rPr>
        <w:t>万元，是按纪委在职在编核算的，用于日常运转、督办督查、保密、查办信访、帮扶工作、纪委内部会议工作、政研经费、内网维护等纪委办日常工作开支。</w:t>
      </w:r>
    </w:p>
    <w:p w14:paraId="2FDAA185">
      <w:pPr>
        <w:ind w:firstLine="562"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（二）项目支出情况</w:t>
      </w:r>
    </w:p>
    <w:p w14:paraId="42BDC17C">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项目支出</w:t>
      </w:r>
      <w:r>
        <w:rPr>
          <w:rFonts w:hint="eastAsia" w:ascii="仿宋_GB2312" w:hAnsi="仿宋_GB2312" w:eastAsia="仿宋_GB2312" w:cs="仿宋_GB2312"/>
          <w:sz w:val="28"/>
          <w:szCs w:val="28"/>
          <w:lang w:val="en-US" w:eastAsia="zh-CN"/>
        </w:rPr>
        <w:t>625.4</w:t>
      </w:r>
      <w:r>
        <w:rPr>
          <w:rFonts w:hint="eastAsia" w:ascii="仿宋_GB2312" w:hAnsi="仿宋_GB2312" w:eastAsia="仿宋_GB2312" w:cs="仿宋_GB2312"/>
          <w:sz w:val="28"/>
          <w:szCs w:val="28"/>
        </w:rPr>
        <w:t>万元：1. 省纪检专线及内网维护经费支出9万元；2.乡镇纪检津贴40万元；3.纪委监委办案经费324.9万元；4.作风办工作经费10万元；5.清廉办工作经费</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万元；6.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镜鉴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以案促改专项活动10</w:t>
      </w:r>
      <w:r>
        <w:rPr>
          <w:rFonts w:hint="eastAsia" w:ascii="仿宋_GB2312" w:hAnsi="仿宋_GB2312" w:eastAsia="仿宋_GB2312" w:cs="仿宋_GB2312"/>
          <w:sz w:val="28"/>
          <w:szCs w:val="28"/>
        </w:rPr>
        <w:t>万元；7.</w:t>
      </w:r>
      <w:r>
        <w:rPr>
          <w:rFonts w:hint="eastAsia" w:ascii="仿宋_GB2312" w:hAnsi="仿宋_GB2312" w:eastAsia="仿宋_GB2312" w:cs="仿宋_GB2312"/>
          <w:sz w:val="28"/>
          <w:szCs w:val="28"/>
          <w:lang w:val="en-US" w:eastAsia="zh-CN"/>
        </w:rPr>
        <w:t>购置办案车辆30</w:t>
      </w:r>
      <w:r>
        <w:rPr>
          <w:rFonts w:hint="eastAsia" w:ascii="仿宋_GB2312" w:hAnsi="仿宋_GB2312" w:eastAsia="仿宋_GB2312" w:cs="仿宋_GB2312"/>
          <w:sz w:val="28"/>
          <w:szCs w:val="28"/>
        </w:rPr>
        <w:t>万元；8.</w:t>
      </w:r>
      <w:r>
        <w:rPr>
          <w:rFonts w:hint="eastAsia" w:ascii="仿宋_GB2312" w:hAnsi="仿宋_GB2312" w:eastAsia="仿宋_GB2312" w:cs="仿宋_GB2312"/>
          <w:sz w:val="28"/>
          <w:szCs w:val="28"/>
          <w:lang w:val="en-US" w:eastAsia="zh-CN"/>
        </w:rPr>
        <w:t>外查点运营维护费30</w:t>
      </w:r>
      <w:r>
        <w:rPr>
          <w:rFonts w:hint="eastAsia" w:ascii="仿宋_GB2312" w:hAnsi="仿宋_GB2312" w:eastAsia="仿宋_GB2312" w:cs="仿宋_GB2312"/>
          <w:sz w:val="28"/>
          <w:szCs w:val="28"/>
        </w:rPr>
        <w:t>万元；9.优化营商环境监督检查工作经费10.5万元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10.处级领导调研费4万元，外查点建设费用150万元</w:t>
      </w:r>
      <w:r>
        <w:rPr>
          <w:rFonts w:hint="eastAsia" w:ascii="仿宋_GB2312" w:hAnsi="仿宋_GB2312" w:eastAsia="仿宋_GB2312" w:cs="仿宋_GB2312"/>
          <w:sz w:val="28"/>
          <w:szCs w:val="28"/>
        </w:rPr>
        <w:t>。</w:t>
      </w:r>
    </w:p>
    <w:p w14:paraId="453DE1C4">
      <w:pPr>
        <w:rPr>
          <w:rFonts w:hint="eastAsia" w:ascii="黑体" w:hAnsi="黑体" w:eastAsia="黑体" w:cs="黑体"/>
          <w:sz w:val="32"/>
          <w:szCs w:val="32"/>
        </w:rPr>
      </w:pPr>
      <w:r>
        <w:rPr>
          <w:rFonts w:hint="eastAsia" w:ascii="黑体" w:hAnsi="黑体" w:eastAsia="黑体" w:cs="黑体"/>
          <w:sz w:val="32"/>
          <w:szCs w:val="32"/>
        </w:rPr>
        <w:t>三、政府性基金预算支出情况</w:t>
      </w:r>
    </w:p>
    <w:p w14:paraId="408D261B">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道县纪律检查委员会没有政府性基金收入、支出。</w:t>
      </w:r>
    </w:p>
    <w:p w14:paraId="75CAAB48">
      <w:pPr>
        <w:rPr>
          <w:rFonts w:hint="eastAsia" w:ascii="黑体" w:hAnsi="黑体" w:eastAsia="黑体" w:cs="黑体"/>
          <w:sz w:val="32"/>
          <w:szCs w:val="32"/>
        </w:rPr>
      </w:pPr>
      <w:r>
        <w:rPr>
          <w:rFonts w:hint="eastAsia" w:ascii="黑体" w:hAnsi="黑体" w:eastAsia="黑体" w:cs="黑体"/>
          <w:sz w:val="32"/>
          <w:szCs w:val="32"/>
        </w:rPr>
        <w:t>四、国有资本经营预算支出情况</w:t>
      </w:r>
    </w:p>
    <w:p w14:paraId="4B6E1CA9">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道县纪律检查委员会没有国有资本经营预算收入、支出。</w:t>
      </w:r>
    </w:p>
    <w:p w14:paraId="7EC95EF1">
      <w:pPr>
        <w:rPr>
          <w:rFonts w:hint="eastAsia" w:ascii="黑体" w:hAnsi="黑体" w:eastAsia="黑体" w:cs="黑体"/>
          <w:sz w:val="32"/>
          <w:szCs w:val="32"/>
        </w:rPr>
      </w:pPr>
      <w:r>
        <w:rPr>
          <w:rFonts w:hint="eastAsia" w:ascii="黑体" w:hAnsi="黑体" w:eastAsia="黑体" w:cs="黑体"/>
          <w:sz w:val="32"/>
          <w:szCs w:val="32"/>
        </w:rPr>
        <w:t>五、社会保险基金预算支出情况</w:t>
      </w:r>
    </w:p>
    <w:p w14:paraId="28E247E9">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道县纪律检查委员会没有预算社会保险基金预算收入、支出。</w:t>
      </w:r>
    </w:p>
    <w:p w14:paraId="0086D68C">
      <w:pPr>
        <w:rPr>
          <w:rFonts w:hint="eastAsia" w:ascii="黑体" w:hAnsi="黑体" w:eastAsia="黑体" w:cs="黑体"/>
          <w:sz w:val="32"/>
          <w:szCs w:val="32"/>
        </w:rPr>
      </w:pPr>
      <w:r>
        <w:rPr>
          <w:rFonts w:hint="eastAsia" w:ascii="黑体" w:hAnsi="黑体" w:eastAsia="黑体" w:cs="黑体"/>
          <w:sz w:val="32"/>
          <w:szCs w:val="32"/>
        </w:rPr>
        <w:t>六、部门整体支出绩效情况</w:t>
      </w:r>
    </w:p>
    <w:p w14:paraId="771390FE">
      <w:pPr>
        <w:pStyle w:val="5"/>
        <w:keepNext w:val="0"/>
        <w:keepLines w:val="0"/>
        <w:pageBreakBefore w:val="0"/>
        <w:widowControl w:val="0"/>
        <w:pBdr>
          <w:bottom w:val="single" w:color="FFFFFF" w:sz="4" w:space="20"/>
        </w:pBdr>
        <w:tabs>
          <w:tab w:val="left" w:pos="8050"/>
          <w:tab w:val="left" w:pos="8094"/>
        </w:tabs>
        <w:kinsoku/>
        <w:wordWrap/>
        <w:overflowPunct/>
        <w:topLinePunct w:val="0"/>
        <w:autoSpaceDE/>
        <w:autoSpaceDN/>
        <w:bidi w:val="0"/>
        <w:adjustRightInd/>
        <w:snapToGrid/>
        <w:spacing w:beforeLines="0" w:afterLines="0"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eastAsia="zh-CN"/>
        </w:rPr>
        <w:t>第一，</w:t>
      </w:r>
      <w:r>
        <w:rPr>
          <w:rFonts w:hint="eastAsia" w:ascii="楷体" w:hAnsi="楷体" w:eastAsia="楷体" w:cs="楷体"/>
          <w:b/>
          <w:bCs/>
          <w:color w:val="auto"/>
          <w:sz w:val="32"/>
          <w:szCs w:val="32"/>
          <w:lang w:val="en-US" w:eastAsia="zh-CN"/>
        </w:rPr>
        <w:t>聚焦“国之大者”，做深做实政治监督</w:t>
      </w:r>
      <w:r>
        <w:rPr>
          <w:rFonts w:hint="eastAsia" w:ascii="楷体" w:hAnsi="楷体" w:eastAsia="楷体" w:cs="楷体"/>
          <w:b/>
          <w:bCs/>
          <w:color w:val="auto"/>
          <w:sz w:val="32"/>
          <w:szCs w:val="32"/>
          <w:lang w:eastAsia="zh-CN"/>
        </w:rPr>
        <w:t>。</w:t>
      </w:r>
      <w:r>
        <w:rPr>
          <w:rFonts w:hint="eastAsia" w:ascii="仿宋_GB2312" w:hAnsi="仿宋_GB2312" w:eastAsia="仿宋_GB2312"/>
          <w:sz w:val="32"/>
          <w:szCs w:val="32"/>
        </w:rPr>
        <w:t>围绕党的二十大战略部署、党中央因时因势作出的重大决策和省委、市委、县委的工作要求，开展清单式、对账式监督检查，坚决纠治贯彻新发展理念不坚决、落实党中央决策部署变形走样、压实意识形态工作责任制不到位等问题</w:t>
      </w:r>
      <w:r>
        <w:rPr>
          <w:rFonts w:ascii="仿宋_GB2312" w:hAnsi="仿宋_GB2312" w:eastAsia="仿宋_GB2312" w:cs="仿宋_GB2312"/>
          <w:color w:val="auto"/>
          <w:sz w:val="32"/>
          <w:szCs w:val="32"/>
          <w:lang w:val="en-US" w:eastAsia="zh-CN"/>
        </w:rPr>
        <w:t>。</w:t>
      </w:r>
      <w:r>
        <w:rPr>
          <w:rFonts w:hint="eastAsia" w:ascii="仿宋_GB2312" w:hAnsi="仿宋_GB2312" w:eastAsia="仿宋_GB2312"/>
          <w:sz w:val="32"/>
          <w:szCs w:val="32"/>
        </w:rPr>
        <w:t>督促全县上下突出抓实“十大发展大事”“十大安全稳定要事”“十大改革急事”“十大民生实事”“四大建设”</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开展优化营商环境专项监督，持续</w:t>
      </w:r>
      <w:r>
        <w:rPr>
          <w:rFonts w:hint="eastAsia" w:ascii="仿宋_GB2312" w:hAnsi="仿宋_GB2312" w:eastAsia="仿宋_GB2312"/>
          <w:sz w:val="32"/>
          <w:szCs w:val="32"/>
          <w:lang w:eastAsia="zh-CN"/>
        </w:rPr>
        <w:t>深化</w:t>
      </w:r>
      <w:r>
        <w:rPr>
          <w:rFonts w:hint="eastAsia" w:ascii="仿宋_GB2312" w:hAnsi="仿宋_GB2312" w:eastAsia="仿宋_GB2312"/>
          <w:sz w:val="32"/>
          <w:szCs w:val="32"/>
        </w:rPr>
        <w:t>领导干部利用职权或影响力为亲友牟利专项整治</w:t>
      </w:r>
      <w:r>
        <w:rPr>
          <w:rFonts w:hint="eastAsia" w:ascii="仿宋_GB2312" w:hAnsi="仿宋_GB2312" w:eastAsia="仿宋_GB2312"/>
          <w:sz w:val="32"/>
          <w:szCs w:val="32"/>
          <w:lang w:eastAsia="zh-CN"/>
        </w:rPr>
        <w:t>，</w:t>
      </w:r>
      <w:r>
        <w:rPr>
          <w:rFonts w:hint="eastAsia" w:ascii="仿宋_GB2312" w:hAnsi="仿宋_GB2312" w:eastAsia="仿宋_GB2312"/>
          <w:bCs/>
          <w:sz w:val="32"/>
          <w:szCs w:val="32"/>
        </w:rPr>
        <w:t>扎实开展“洞庭清波”、保护“千年鸟道”安全常态化监督，聚焦高质量发展首要任务，把政治监督融入重大发展战略、重要政策举措、重点项目任务的制定和落实之中</w:t>
      </w:r>
      <w:r>
        <w:rPr>
          <w:rFonts w:hint="eastAsia" w:ascii="仿宋_GB2312" w:hAnsi="仿宋_GB2312" w:eastAsia="仿宋_GB2312"/>
          <w:bCs/>
          <w:sz w:val="32"/>
          <w:szCs w:val="32"/>
          <w:lang w:eastAsia="zh-CN"/>
        </w:rPr>
        <w:t>。</w:t>
      </w:r>
    </w:p>
    <w:p w14:paraId="2EC54733">
      <w:pPr>
        <w:pStyle w:val="5"/>
        <w:keepNext w:val="0"/>
        <w:keepLines w:val="0"/>
        <w:pageBreakBefore w:val="0"/>
        <w:widowControl w:val="0"/>
        <w:pBdr>
          <w:bottom w:val="single" w:color="FFFFFF" w:sz="4" w:space="20"/>
        </w:pBdr>
        <w:tabs>
          <w:tab w:val="left" w:pos="8050"/>
          <w:tab w:val="left" w:pos="8094"/>
        </w:tabs>
        <w:kinsoku/>
        <w:wordWrap/>
        <w:overflowPunct/>
        <w:topLinePunct w:val="0"/>
        <w:autoSpaceDE/>
        <w:autoSpaceDN/>
        <w:bidi w:val="0"/>
        <w:adjustRightInd/>
        <w:snapToGrid/>
        <w:spacing w:beforeLines="0" w:afterLines="0"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val="en-US" w:eastAsia="zh-CN"/>
        </w:rPr>
        <w:t>第二，聚焦自我革命，纵深推进反腐败斗争。</w:t>
      </w:r>
      <w:r>
        <w:rPr>
          <w:rFonts w:hint="eastAsia" w:ascii="仿宋_GB2312" w:hAnsi="仿宋_GB2312" w:eastAsia="仿宋_GB2312" w:cs="仿宋_GB2312"/>
          <w:b w:val="0"/>
          <w:bCs w:val="0"/>
          <w:color w:val="auto"/>
          <w:sz w:val="32"/>
          <w:szCs w:val="32"/>
          <w:u w:val="none"/>
          <w:lang w:val="en-US" w:eastAsia="zh-CN"/>
        </w:rPr>
        <w:t>始终聚焦重点高压反腐，紧盯重点问题、重点领域、重点对象、新型腐败和隐性腐败，把严惩政商勾连的腐败作为攻坚战重中之重，深化整治金融、国企</w:t>
      </w:r>
      <w:r>
        <w:rPr>
          <w:rFonts w:hint="eastAsia" w:ascii="仿宋_GB2312" w:hAnsi="仿宋_GB2312" w:eastAsia="仿宋_GB2312" w:cs="仿宋_GB2312"/>
          <w:i w:val="0"/>
          <w:iCs w:val="0"/>
          <w:caps w:val="0"/>
          <w:spacing w:val="8"/>
          <w:sz w:val="32"/>
          <w:szCs w:val="32"/>
          <w:shd w:val="clear" w:fill="FFFFFF"/>
          <w:lang w:val="en-US" w:eastAsia="zh-CN"/>
        </w:rPr>
        <w:t>、园区、医药、执法司法、能源矿产、基建工程和招投标等权力集中、资金密集、资源富集领域腐败问题，</w:t>
      </w:r>
      <w:r>
        <w:rPr>
          <w:rFonts w:hint="eastAsia" w:ascii="仿宋_GB2312" w:hAnsi="仿宋_GB2312" w:eastAsia="仿宋_GB2312"/>
          <w:sz w:val="32"/>
          <w:szCs w:val="32"/>
        </w:rPr>
        <w:t>坚决查处“一把手”及领导班子成员腐败，坚决惩治群众身边腐败问题。</w:t>
      </w:r>
      <w:r>
        <w:rPr>
          <w:rFonts w:hint="eastAsia" w:ascii="仿宋_GB2312" w:hAnsi="仿宋_GB2312" w:eastAsia="仿宋_GB2312"/>
          <w:bCs/>
          <w:sz w:val="32"/>
          <w:szCs w:val="32"/>
        </w:rPr>
        <w:t>坚持一体推进“三不腐”，</w:t>
      </w:r>
      <w:r>
        <w:rPr>
          <w:rFonts w:hint="eastAsia" w:ascii="仿宋_GB2312" w:hAnsi="仿宋_GB2312" w:eastAsia="仿宋_GB2312"/>
          <w:bCs/>
          <w:sz w:val="32"/>
          <w:szCs w:val="32"/>
          <w:lang w:eastAsia="zh-CN"/>
        </w:rPr>
        <w:t>持续</w:t>
      </w:r>
      <w:r>
        <w:rPr>
          <w:rFonts w:hint="eastAsia" w:ascii="仿宋_GB2312" w:hAnsi="仿宋_GB2312" w:eastAsia="仿宋_GB2312" w:cs="仿宋_GB2312"/>
          <w:i w:val="0"/>
          <w:iCs w:val="0"/>
          <w:caps w:val="0"/>
          <w:spacing w:val="8"/>
          <w:sz w:val="32"/>
          <w:szCs w:val="32"/>
          <w:shd w:val="clear" w:fill="FFFFFF"/>
          <w:lang w:val="en-US" w:eastAsia="zh-CN"/>
        </w:rPr>
        <w:t>拓展反腐败斗争深度广度，围绕产业园区、教育领域、住保系统、重点</w:t>
      </w:r>
      <w:r>
        <w:rPr>
          <w:rFonts w:hint="eastAsia" w:ascii="仿宋_GB2312" w:hAnsi="仿宋_GB2312" w:eastAsia="仿宋_GB2312"/>
          <w:sz w:val="32"/>
          <w:szCs w:val="32"/>
        </w:rPr>
        <w:t>项目指挥部</w:t>
      </w:r>
      <w:r>
        <w:rPr>
          <w:rFonts w:hint="eastAsia" w:ascii="仿宋_GB2312" w:hAnsi="仿宋_GB2312" w:eastAsia="仿宋_GB2312" w:cs="仿宋_GB2312"/>
          <w:i w:val="0"/>
          <w:iCs w:val="0"/>
          <w:caps w:val="0"/>
          <w:spacing w:val="8"/>
          <w:sz w:val="32"/>
          <w:szCs w:val="32"/>
          <w:shd w:val="clear" w:fill="FFFFFF"/>
          <w:lang w:val="en-US" w:eastAsia="zh-CN"/>
        </w:rPr>
        <w:t>等行业领域强化专项整治，精准识别、有力惩治新型腐败和隐性腐败，深挖彻查滥用职权、失职渎职等问题。聚焦</w:t>
      </w:r>
      <w:r>
        <w:rPr>
          <w:rFonts w:hint="eastAsia" w:ascii="仿宋_GB2312" w:hAnsi="仿宋_GB2312" w:eastAsia="仿宋_GB2312" w:cs="仿宋_GB2312"/>
          <w:i w:val="0"/>
          <w:iCs w:val="0"/>
          <w:caps w:val="0"/>
          <w:spacing w:val="8"/>
          <w:sz w:val="32"/>
          <w:szCs w:val="32"/>
          <w:shd w:val="clear" w:fill="FFFFFF"/>
        </w:rPr>
        <w:t>重点领域</w:t>
      </w:r>
      <w:r>
        <w:rPr>
          <w:rFonts w:hint="eastAsia" w:ascii="仿宋_GB2312" w:hAnsi="仿宋_GB2312" w:eastAsia="仿宋_GB2312" w:cs="仿宋_GB2312"/>
          <w:i w:val="0"/>
          <w:iCs w:val="0"/>
          <w:caps w:val="0"/>
          <w:spacing w:val="8"/>
          <w:sz w:val="32"/>
          <w:szCs w:val="32"/>
          <w:shd w:val="clear" w:fill="FFFFFF"/>
          <w:lang w:eastAsia="zh-CN"/>
        </w:rPr>
        <w:t>深化</w:t>
      </w:r>
      <w:r>
        <w:rPr>
          <w:rFonts w:hint="eastAsia" w:ascii="仿宋_GB2312" w:hAnsi="仿宋_GB2312" w:eastAsia="仿宋_GB2312" w:cs="仿宋_GB2312"/>
          <w:i w:val="0"/>
          <w:iCs w:val="0"/>
          <w:caps w:val="0"/>
          <w:spacing w:val="8"/>
          <w:sz w:val="32"/>
          <w:szCs w:val="32"/>
          <w:shd w:val="clear" w:fill="FFFFFF"/>
        </w:rPr>
        <w:t>体制机制改革</w:t>
      </w:r>
      <w:r>
        <w:rPr>
          <w:rFonts w:hint="eastAsia" w:ascii="仿宋_GB2312" w:hAnsi="仿宋_GB2312" w:eastAsia="仿宋_GB2312" w:cs="仿宋_GB2312"/>
          <w:i w:val="0"/>
          <w:iCs w:val="0"/>
          <w:caps w:val="0"/>
          <w:spacing w:val="8"/>
          <w:sz w:val="32"/>
          <w:szCs w:val="32"/>
          <w:shd w:val="clear" w:fill="FFFFFF"/>
          <w:lang w:eastAsia="zh-CN"/>
        </w:rPr>
        <w:t>，</w:t>
      </w:r>
      <w:r>
        <w:rPr>
          <w:rFonts w:hint="eastAsia" w:ascii="仿宋_GB2312" w:hAnsi="仿宋_GB2312" w:eastAsia="仿宋_GB2312" w:cs="仿宋_GB2312"/>
          <w:i w:val="0"/>
          <w:iCs w:val="0"/>
          <w:caps w:val="0"/>
          <w:spacing w:val="8"/>
          <w:sz w:val="32"/>
          <w:szCs w:val="32"/>
          <w:shd w:val="clear" w:fill="FFFFFF"/>
        </w:rPr>
        <w:t>完善权力配置和运行制约机制</w:t>
      </w:r>
      <w:r>
        <w:rPr>
          <w:rFonts w:hint="eastAsia" w:ascii="仿宋_GB2312" w:hAnsi="仿宋_GB2312" w:eastAsia="仿宋_GB2312" w:cs="仿宋_GB2312"/>
          <w:i w:val="0"/>
          <w:iCs w:val="0"/>
          <w:caps w:val="0"/>
          <w:spacing w:val="8"/>
          <w:sz w:val="32"/>
          <w:szCs w:val="32"/>
          <w:u w:val="none"/>
          <w:shd w:val="clear" w:fill="FFFFFF"/>
        </w:rPr>
        <w:t>，</w:t>
      </w:r>
      <w:r>
        <w:rPr>
          <w:rFonts w:hint="eastAsia" w:ascii="仿宋_GB2312" w:hAnsi="仿宋_GB2312" w:eastAsia="仿宋_GB2312"/>
          <w:bCs/>
          <w:sz w:val="32"/>
          <w:szCs w:val="32"/>
          <w:u w:val="none"/>
        </w:rPr>
        <w:t>进一步</w:t>
      </w:r>
      <w:r>
        <w:rPr>
          <w:rFonts w:hint="eastAsia" w:ascii="仿宋_GB2312" w:hAnsi="仿宋_GB2312" w:eastAsia="仿宋_GB2312"/>
          <w:sz w:val="32"/>
          <w:szCs w:val="32"/>
          <w:u w:val="none"/>
        </w:rPr>
        <w:t>堵塞制度漏洞，</w:t>
      </w:r>
      <w:r>
        <w:rPr>
          <w:rFonts w:hint="eastAsia" w:ascii="仿宋_GB2312" w:hAnsi="仿宋_GB2312" w:eastAsia="仿宋_GB2312"/>
          <w:bCs/>
          <w:sz w:val="32"/>
          <w:szCs w:val="32"/>
          <w:u w:val="none"/>
        </w:rPr>
        <w:t>规范</w:t>
      </w:r>
      <w:r>
        <w:rPr>
          <w:rFonts w:hint="eastAsia" w:ascii="仿宋_GB2312" w:hAnsi="仿宋_GB2312" w:eastAsia="仿宋_GB2312"/>
          <w:sz w:val="32"/>
          <w:szCs w:val="32"/>
          <w:u w:val="none"/>
        </w:rPr>
        <w:t>自由裁量权。</w:t>
      </w:r>
      <w:r>
        <w:rPr>
          <w:rFonts w:hint="eastAsia" w:ascii="仿宋_GB2312" w:hAnsi="仿宋_GB2312" w:eastAsia="仿宋_GB2312"/>
          <w:sz w:val="32"/>
          <w:szCs w:val="32"/>
        </w:rPr>
        <w:t>建立腐败预警惩治联动机制，完善行贿人“黑名单”制度</w:t>
      </w:r>
      <w:r>
        <w:rPr>
          <w:rFonts w:hint="eastAsia" w:ascii="仿宋_GB2312" w:hAnsi="仿宋_GB2312" w:eastAsia="仿宋_GB2312"/>
          <w:sz w:val="32"/>
          <w:szCs w:val="32"/>
          <w:lang w:eastAsia="zh-CN"/>
        </w:rPr>
        <w:t>，严厉惩治行贿行为</w:t>
      </w:r>
      <w:r>
        <w:rPr>
          <w:rFonts w:hint="eastAsia" w:ascii="仿宋_GB2312" w:hAnsi="仿宋_GB2312" w:eastAsia="仿宋_GB2312" w:cs="仿宋_GB2312"/>
          <w:i w:val="0"/>
          <w:iCs w:val="0"/>
          <w:caps w:val="0"/>
          <w:spacing w:val="8"/>
          <w:sz w:val="32"/>
          <w:szCs w:val="32"/>
          <w:shd w:val="clear" w:fill="FFFFFF"/>
          <w:lang w:eastAsia="zh-CN"/>
        </w:rPr>
        <w:t>，</w:t>
      </w:r>
      <w:r>
        <w:rPr>
          <w:rFonts w:hint="eastAsia" w:ascii="仿宋_GB2312" w:hAnsi="仿宋_GB2312" w:eastAsia="仿宋_GB2312"/>
          <w:color w:val="auto"/>
          <w:sz w:val="32"/>
          <w:szCs w:val="32"/>
          <w:u w:val="none"/>
        </w:rPr>
        <w:t>坚决破除庸俗政治文化的不良影响</w:t>
      </w:r>
      <w:r>
        <w:rPr>
          <w:rFonts w:hint="eastAsia" w:ascii="仿宋_GB2312" w:hAnsi="仿宋_GB2312" w:eastAsia="仿宋_GB2312"/>
          <w:color w:val="auto"/>
          <w:sz w:val="32"/>
          <w:szCs w:val="32"/>
          <w:u w:val="none"/>
          <w:lang w:eastAsia="zh-CN"/>
        </w:rPr>
        <w:t>。</w:t>
      </w:r>
    </w:p>
    <w:p w14:paraId="47EE6969">
      <w:pPr>
        <w:pStyle w:val="5"/>
        <w:keepNext w:val="0"/>
        <w:keepLines w:val="0"/>
        <w:pageBreakBefore w:val="0"/>
        <w:widowControl w:val="0"/>
        <w:pBdr>
          <w:bottom w:val="single" w:color="FFFFFF" w:sz="4" w:space="20"/>
        </w:pBdr>
        <w:tabs>
          <w:tab w:val="left" w:pos="8050"/>
          <w:tab w:val="left" w:pos="8094"/>
        </w:tabs>
        <w:kinsoku/>
        <w:wordWrap/>
        <w:overflowPunct/>
        <w:topLinePunct w:val="0"/>
        <w:autoSpaceDE/>
        <w:autoSpaceDN/>
        <w:bidi w:val="0"/>
        <w:adjustRightInd/>
        <w:snapToGrid/>
        <w:spacing w:beforeLines="0" w:afterLines="0" w:line="600" w:lineRule="exact"/>
        <w:ind w:firstLine="643" w:firstLineChars="200"/>
        <w:textAlignment w:val="auto"/>
        <w:rPr>
          <w:rFonts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val="en-US" w:eastAsia="zh-CN"/>
        </w:rPr>
        <w:t>第三，聚焦严防严治，筑牢中央八项规定精神堤坝。</w:t>
      </w:r>
      <w:r>
        <w:rPr>
          <w:rFonts w:hint="eastAsia" w:ascii="仿宋_GB2312" w:hAnsi="仿宋_GB2312" w:eastAsia="仿宋_GB2312" w:cs="仿宋_GB2312"/>
          <w:b w:val="0"/>
          <w:bCs w:val="0"/>
          <w:color w:val="auto"/>
          <w:kern w:val="2"/>
          <w:sz w:val="32"/>
          <w:szCs w:val="32"/>
          <w:u w:val="none"/>
          <w:lang w:val="en-US" w:eastAsia="zh-CN" w:bidi="hi-IN"/>
        </w:rPr>
        <w:t>聚焦最影响高质量发展的作风问题，严肃查处权力观扭曲、政绩观错位等作风积弊；精准纠治躺平甩锅不落实、推诿扯皮慢落实、表面作秀假落实、任性用权乱落实等不正之风；重拳整治“吃喝风”“打牌风”“红包风”“酒驾风”“送礼风”等歪风陋习；严防严治奢靡享乐之风隐形变异。</w:t>
      </w:r>
      <w:r>
        <w:rPr>
          <w:rFonts w:hint="eastAsia" w:ascii="仿宋_GB2312" w:hAnsi="仿宋_GB2312" w:eastAsia="仿宋_GB2312"/>
          <w:sz w:val="32"/>
          <w:szCs w:val="32"/>
          <w:u w:val="none"/>
          <w:lang w:eastAsia="zh-CN"/>
        </w:rPr>
        <w:t>持续落实省委“十二个不得”措施，完善细化惩戒机制，深化整治形式主义、官僚主义问题</w:t>
      </w:r>
      <w:r>
        <w:rPr>
          <w:rFonts w:hint="eastAsia" w:ascii="仿宋_GB2312" w:hAnsi="仿宋_GB2312" w:eastAsia="仿宋_GB2312"/>
          <w:sz w:val="32"/>
          <w:szCs w:val="32"/>
          <w:u w:val="none"/>
        </w:rPr>
        <w:t>。</w:t>
      </w:r>
      <w:r>
        <w:rPr>
          <w:rFonts w:hint="eastAsia" w:ascii="仿宋_GB2312" w:hAnsi="仿宋_GB2312" w:eastAsia="仿宋_GB2312" w:cs="仿宋_GB2312"/>
          <w:b w:val="0"/>
          <w:bCs w:val="0"/>
          <w:color w:val="auto"/>
          <w:kern w:val="2"/>
          <w:sz w:val="32"/>
          <w:szCs w:val="32"/>
          <w:u w:val="none"/>
          <w:lang w:val="en-US" w:eastAsia="zh-CN" w:bidi="hi-IN"/>
        </w:rPr>
        <w:t>开展“风腐同查”专项整治，健全风腐同查工作机制</w:t>
      </w:r>
      <w:r>
        <w:rPr>
          <w:rFonts w:ascii="仿宋_GB2312" w:hAnsi="仿宋_GB2312" w:eastAsia="仿宋_GB2312" w:cs="仿宋_GB2312"/>
          <w:color w:val="auto"/>
          <w:sz w:val="32"/>
          <w:szCs w:val="32"/>
          <w:lang w:val="en-US" w:eastAsia="zh-CN"/>
        </w:rPr>
        <w:t>。</w:t>
      </w:r>
    </w:p>
    <w:p w14:paraId="05B63475">
      <w:pPr>
        <w:pStyle w:val="5"/>
        <w:keepNext w:val="0"/>
        <w:keepLines w:val="0"/>
        <w:pageBreakBefore w:val="0"/>
        <w:widowControl w:val="0"/>
        <w:pBdr>
          <w:bottom w:val="single" w:color="FFFFFF" w:sz="4" w:space="20"/>
        </w:pBdr>
        <w:tabs>
          <w:tab w:val="left" w:pos="8050"/>
          <w:tab w:val="left" w:pos="8094"/>
        </w:tabs>
        <w:kinsoku/>
        <w:wordWrap/>
        <w:overflowPunct/>
        <w:topLinePunct w:val="0"/>
        <w:autoSpaceDE/>
        <w:autoSpaceDN/>
        <w:bidi w:val="0"/>
        <w:adjustRightInd/>
        <w:snapToGrid/>
        <w:spacing w:beforeLines="0" w:afterLines="0" w:line="600" w:lineRule="exact"/>
        <w:ind w:firstLine="643"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楷体" w:hAnsi="楷体" w:eastAsia="楷体" w:cs="楷体"/>
          <w:b/>
          <w:bCs/>
          <w:color w:val="auto"/>
          <w:sz w:val="32"/>
          <w:szCs w:val="32"/>
          <w:lang w:val="en-US" w:eastAsia="zh-CN"/>
        </w:rPr>
        <w:t>第四，聚焦靶向施策，整治群众身边腐败和不正之风。</w:t>
      </w:r>
      <w:r>
        <w:rPr>
          <w:rFonts w:hint="eastAsia" w:ascii="仿宋_GB2312" w:hAnsi="仿宋_GB2312" w:eastAsia="仿宋_GB2312" w:cs="仿宋_GB2312"/>
          <w:b w:val="0"/>
          <w:bCs w:val="0"/>
          <w:color w:val="auto"/>
          <w:sz w:val="32"/>
          <w:szCs w:val="32"/>
          <w:u w:val="none"/>
          <w:lang w:val="en-US" w:eastAsia="zh-CN"/>
        </w:rPr>
        <w:t>纵深推进“三湘护农”专项行动，</w:t>
      </w:r>
      <w:r>
        <w:rPr>
          <w:rFonts w:hint="eastAsia" w:ascii="仿宋_GB2312" w:hAnsi="仿宋_GB2312" w:eastAsia="仿宋_GB2312"/>
          <w:sz w:val="32"/>
          <w:szCs w:val="32"/>
          <w:u w:val="none"/>
        </w:rPr>
        <w:t>高度关注村级债务风险</w:t>
      </w:r>
      <w:r>
        <w:rPr>
          <w:rFonts w:hint="eastAsia" w:ascii="仿宋_GB2312" w:hAnsi="仿宋_GB2312" w:eastAsia="仿宋_GB2312"/>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深化“以学谋私”专项整治，深入开展医德医风问题和医药领域腐败问题集中整治，督促开展食品安全特别是中小学校食品安全等突出问题集中整治，</w:t>
      </w:r>
      <w:r>
        <w:rPr>
          <w:rFonts w:hint="eastAsia" w:ascii="仿宋_GB2312" w:hAnsi="仿宋_GB2312" w:eastAsia="仿宋_GB2312"/>
          <w:bCs/>
          <w:sz w:val="32"/>
          <w:szCs w:val="32"/>
          <w:u w:val="none"/>
        </w:rPr>
        <w:t>坚决惩治</w:t>
      </w:r>
      <w:r>
        <w:rPr>
          <w:rFonts w:hint="eastAsia" w:ascii="仿宋_GB2312" w:hAnsi="仿宋_GB2312" w:eastAsia="仿宋_GB2312"/>
          <w:sz w:val="32"/>
          <w:szCs w:val="32"/>
          <w:u w:val="none"/>
        </w:rPr>
        <w:t>“蝇贪蚁腐”，</w:t>
      </w:r>
      <w:r>
        <w:rPr>
          <w:rFonts w:hint="eastAsia" w:ascii="仿宋_GB2312" w:hAnsi="仿宋_GB2312" w:eastAsia="仿宋_GB2312"/>
          <w:bCs/>
          <w:sz w:val="32"/>
          <w:szCs w:val="32"/>
          <w:u w:val="none"/>
        </w:rPr>
        <w:t>让群众</w:t>
      </w:r>
      <w:r>
        <w:rPr>
          <w:rFonts w:hint="eastAsia" w:ascii="仿宋_GB2312" w:hAnsi="仿宋_GB2312" w:eastAsia="仿宋_GB2312"/>
          <w:sz w:val="32"/>
          <w:szCs w:val="32"/>
          <w:u w:val="none"/>
        </w:rPr>
        <w:t>有更多获得感。</w:t>
      </w:r>
      <w:r>
        <w:rPr>
          <w:rFonts w:hint="eastAsia" w:ascii="仿宋_GB2312" w:hAnsi="仿宋_GB2312" w:eastAsia="仿宋_GB2312"/>
          <w:sz w:val="32"/>
          <w:szCs w:val="32"/>
        </w:rPr>
        <w:t>推进监督综合信息平台建设，完善“惩、治、防”工作链条，形成治理合力。着力培育新时代廉洁文化，以优良党风政风带动社风民风向上向好。</w:t>
      </w:r>
      <w:r>
        <w:rPr>
          <w:rFonts w:hint="eastAsia" w:ascii="仿宋_GB2312" w:hAnsi="仿宋_GB2312" w:eastAsia="仿宋_GB2312"/>
          <w:sz w:val="32"/>
          <w:szCs w:val="32"/>
          <w:u w:val="none"/>
          <w:lang w:eastAsia="zh-CN"/>
        </w:rPr>
        <w:t>稳步实施对基层提级监督制度。</w:t>
      </w:r>
    </w:p>
    <w:p w14:paraId="4BF0E4F4">
      <w:pPr>
        <w:pStyle w:val="5"/>
        <w:keepNext w:val="0"/>
        <w:keepLines w:val="0"/>
        <w:pageBreakBefore w:val="0"/>
        <w:widowControl w:val="0"/>
        <w:numPr>
          <w:ilvl w:val="0"/>
          <w:numId w:val="0"/>
        </w:numPr>
        <w:pBdr>
          <w:bottom w:val="single" w:color="FFFFFF" w:sz="4" w:space="20"/>
        </w:pBdr>
        <w:tabs>
          <w:tab w:val="left" w:pos="8050"/>
          <w:tab w:val="left" w:pos="8094"/>
        </w:tabs>
        <w:kinsoku/>
        <w:wordWrap/>
        <w:overflowPunct/>
        <w:topLinePunct w:val="0"/>
        <w:autoSpaceDE/>
        <w:autoSpaceDN/>
        <w:bidi w:val="0"/>
        <w:adjustRightInd w:val="0"/>
        <w:snapToGrid w:val="0"/>
        <w:spacing w:beforeLines="0" w:beforeAutospacing="0" w:afterLines="0" w:afterAutospacing="0" w:line="600" w:lineRule="exact"/>
        <w:ind w:firstLine="643"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楷体" w:hAnsi="楷体" w:eastAsia="楷体" w:cs="楷体"/>
          <w:b/>
          <w:bCs/>
          <w:color w:val="auto"/>
          <w:sz w:val="32"/>
          <w:szCs w:val="32"/>
          <w:lang w:val="en-US" w:eastAsia="zh-CN"/>
        </w:rPr>
        <w:t>第五，聚焦问题整改，全力提升巡察震慑力穿透力。</w:t>
      </w:r>
      <w:r>
        <w:rPr>
          <w:rFonts w:hint="eastAsia" w:ascii="仿宋_GB2312" w:hAnsi="仿宋_GB2312" w:eastAsia="仿宋_GB2312"/>
          <w:sz w:val="32"/>
          <w:szCs w:val="32"/>
          <w:u w:val="none"/>
        </w:rPr>
        <w:t>持续抓好省委巡视、市委巡察反馈意见整改情况“回头看”，</w:t>
      </w:r>
      <w:r>
        <w:rPr>
          <w:rFonts w:hint="eastAsia" w:ascii="仿宋_GB2312" w:hAnsi="仿宋_GB2312" w:eastAsia="仿宋_GB2312"/>
          <w:bCs/>
          <w:sz w:val="32"/>
          <w:szCs w:val="32"/>
          <w:u w:val="none"/>
        </w:rPr>
        <w:t>动真碰硬</w:t>
      </w:r>
      <w:r>
        <w:rPr>
          <w:rFonts w:hint="eastAsia" w:ascii="仿宋_GB2312" w:hAnsi="仿宋_GB2312" w:eastAsia="仿宋_GB2312"/>
          <w:sz w:val="32"/>
          <w:szCs w:val="32"/>
          <w:u w:val="none"/>
        </w:rPr>
        <w:t>抓好问题整改。</w:t>
      </w:r>
      <w:r>
        <w:rPr>
          <w:rFonts w:hint="eastAsia" w:ascii="仿宋_GB2312" w:hAnsi="仿宋_GB2312" w:eastAsia="仿宋_GB2312" w:cs="仿宋_GB2312"/>
          <w:b w:val="0"/>
          <w:bCs w:val="0"/>
          <w:color w:val="auto"/>
          <w:sz w:val="32"/>
          <w:szCs w:val="32"/>
          <w:u w:val="none"/>
          <w:lang w:val="en-US" w:eastAsia="zh-CN"/>
        </w:rPr>
        <w:t>学习贯彻新修订的巡视工作条例，推动条例要求落实落地。按照省市县三级联动部署开展政法领域专项巡察。深化上下联动，</w:t>
      </w:r>
      <w:r>
        <w:rPr>
          <w:rFonts w:hint="eastAsia" w:ascii="仿宋_GB2312" w:hAnsi="仿宋_GB2312" w:eastAsia="仿宋_GB2312"/>
          <w:sz w:val="32"/>
          <w:szCs w:val="32"/>
        </w:rPr>
        <w:t>积极配合做好相关领域对口巡察</w:t>
      </w:r>
      <w:r>
        <w:rPr>
          <w:rFonts w:hint="eastAsia" w:ascii="仿宋_GB2312" w:hAnsi="仿宋_GB2312" w:eastAsia="仿宋_GB2312"/>
          <w:sz w:val="32"/>
          <w:szCs w:val="32"/>
          <w:lang w:eastAsia="zh-CN"/>
        </w:rPr>
        <w:t>，</w:t>
      </w:r>
      <w:r>
        <w:rPr>
          <w:rFonts w:hint="eastAsia" w:ascii="仿宋_GB2312" w:hAnsi="仿宋_GB2312" w:eastAsia="仿宋_GB2312"/>
          <w:sz w:val="32"/>
          <w:szCs w:val="32"/>
          <w:u w:val="none"/>
        </w:rPr>
        <w:t>持续巩固深化对县委巡察机构提级巡察成果,</w:t>
      </w:r>
      <w:r>
        <w:rPr>
          <w:rFonts w:hint="eastAsia" w:ascii="仿宋_GB2312" w:hAnsi="仿宋_GB2312" w:eastAsia="仿宋_GB2312"/>
          <w:sz w:val="32"/>
          <w:szCs w:val="32"/>
        </w:rPr>
        <w:t>进一步做实对村巡察</w:t>
      </w:r>
      <w:r>
        <w:rPr>
          <w:rFonts w:hint="eastAsia" w:ascii="仿宋_GB2312" w:hAnsi="仿宋_GB2312" w:eastAsia="仿宋_GB2312" w:cs="仿宋_GB2312"/>
          <w:b w:val="0"/>
          <w:bCs w:val="0"/>
          <w:color w:val="auto"/>
          <w:sz w:val="32"/>
          <w:szCs w:val="32"/>
          <w:u w:val="none"/>
          <w:lang w:val="en-US" w:eastAsia="zh-CN"/>
        </w:rPr>
        <w:t>。深化成果运用，建立覆盖巡察整改全周期的责任体系和制度流程，</w:t>
      </w:r>
      <w:r>
        <w:rPr>
          <w:rFonts w:hint="eastAsia" w:ascii="仿宋_GB2312" w:hAnsi="仿宋_GB2312" w:eastAsia="仿宋_GB2312"/>
          <w:sz w:val="32"/>
          <w:szCs w:val="32"/>
        </w:rPr>
        <w:t>全力抓好“同类同改、未巡先改”工作</w:t>
      </w:r>
      <w:r>
        <w:rPr>
          <w:rFonts w:hint="eastAsia" w:ascii="仿宋_GB2312" w:hAnsi="仿宋_GB2312" w:eastAsia="仿宋_GB2312" w:cs="仿宋_GB2312"/>
          <w:b w:val="0"/>
          <w:bCs w:val="0"/>
          <w:color w:val="auto"/>
          <w:sz w:val="32"/>
          <w:szCs w:val="32"/>
          <w:u w:val="none"/>
          <w:lang w:val="en-US" w:eastAsia="zh-CN"/>
        </w:rPr>
        <w:t>。</w:t>
      </w:r>
    </w:p>
    <w:p w14:paraId="08335CCB">
      <w:pPr>
        <w:pStyle w:val="5"/>
        <w:keepNext w:val="0"/>
        <w:keepLines w:val="0"/>
        <w:pageBreakBefore w:val="0"/>
        <w:widowControl w:val="0"/>
        <w:pBdr>
          <w:bottom w:val="single" w:color="FFFFFF" w:sz="4" w:space="20"/>
        </w:pBdr>
        <w:tabs>
          <w:tab w:val="left" w:pos="8050"/>
          <w:tab w:val="left" w:pos="8094"/>
        </w:tabs>
        <w:kinsoku/>
        <w:wordWrap/>
        <w:overflowPunct/>
        <w:topLinePunct w:val="0"/>
        <w:autoSpaceDE/>
        <w:autoSpaceDN/>
        <w:bidi w:val="0"/>
        <w:adjustRightInd w:val="0"/>
        <w:snapToGrid w:val="0"/>
        <w:spacing w:beforeLines="0" w:beforeAutospacing="0" w:afterLines="0" w:afterAutospacing="0" w:line="600" w:lineRule="exact"/>
        <w:ind w:left="0" w:firstLine="643" w:firstLineChars="200"/>
        <w:jc w:val="both"/>
        <w:textAlignment w:val="auto"/>
        <w:rPr>
          <w:color w:val="auto"/>
          <w:sz w:val="32"/>
          <w:szCs w:val="32"/>
        </w:rPr>
      </w:pPr>
      <w:r>
        <w:rPr>
          <w:rFonts w:hint="eastAsia" w:ascii="楷体" w:hAnsi="楷体" w:eastAsia="楷体" w:cs="楷体"/>
          <w:b/>
          <w:bCs/>
          <w:color w:val="auto"/>
          <w:sz w:val="32"/>
          <w:szCs w:val="32"/>
          <w:lang w:val="en-US" w:eastAsia="zh-CN"/>
        </w:rPr>
        <w:t>第六，聚焦系统集成，深入推进清廉道县建设。</w:t>
      </w:r>
      <w:r>
        <w:rPr>
          <w:rFonts w:hint="eastAsia" w:ascii="仿宋_GB2312" w:hAnsi="仿宋_GB2312" w:eastAsia="仿宋_GB2312"/>
          <w:sz w:val="32"/>
          <w:szCs w:val="32"/>
        </w:rPr>
        <w:t>巩固完善清廉道县建设“党委(党组)主导、系统主抓、单位主责、纪委主推”的工作格局</w:t>
      </w:r>
      <w:r>
        <w:rPr>
          <w:rFonts w:hint="eastAsia" w:ascii="仿宋_GB2312" w:hAnsi="仿宋_GB2312" w:eastAsia="仿宋_GB2312" w:cs="仿宋_GB2312"/>
          <w:b w:val="0"/>
          <w:bCs w:val="0"/>
          <w:color w:val="auto"/>
          <w:sz w:val="32"/>
          <w:szCs w:val="32"/>
          <w:u w:val="none"/>
          <w:lang w:val="en-US" w:eastAsia="zh-CN"/>
        </w:rPr>
        <w:t>。实施清廉乡村建设示范工程</w:t>
      </w:r>
      <w:r>
        <w:rPr>
          <w:rFonts w:hint="eastAsia" w:ascii="仿宋_GB2312" w:hAnsi="仿宋_GB2312" w:eastAsia="仿宋_GB2312"/>
          <w:sz w:val="32"/>
          <w:szCs w:val="32"/>
          <w:u w:val="none"/>
        </w:rPr>
        <w:t>，</w:t>
      </w:r>
      <w:r>
        <w:rPr>
          <w:rFonts w:hint="eastAsia" w:ascii="仿宋_GB2312" w:hAnsi="仿宋_GB2312" w:eastAsia="仿宋_GB2312"/>
          <w:sz w:val="32"/>
          <w:szCs w:val="32"/>
          <w:u w:val="none"/>
          <w:lang w:eastAsia="zh-CN"/>
        </w:rPr>
        <w:t>规范村级小微权力运行</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sz w:val="32"/>
          <w:szCs w:val="32"/>
          <w:lang w:eastAsia="zh-CN"/>
        </w:rPr>
        <w:t>加强新时代廉洁文化和党员领导干部家庭家风家教建设，</w:t>
      </w:r>
      <w:r>
        <w:rPr>
          <w:rFonts w:hint="eastAsia" w:ascii="仿宋_GB2312" w:hAnsi="仿宋_GB2312" w:eastAsia="仿宋_GB2312"/>
          <w:sz w:val="32"/>
          <w:szCs w:val="32"/>
        </w:rPr>
        <w:t>深入开展“廉洁大家评”和“爱莲守洁 官清梦安”活动，集全县之力将周敦颐故里创建为全国廉洁文化示范基地</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打造家风建设品牌。</w:t>
      </w:r>
      <w:r>
        <w:rPr>
          <w:rFonts w:hint="eastAsia" w:ascii="仿宋_GB2312" w:hAnsi="仿宋_GB2312" w:eastAsia="仿宋_GB2312" w:cs="仿宋_GB2312"/>
          <w:b w:val="0"/>
          <w:bCs w:val="0"/>
          <w:color w:val="auto"/>
          <w:sz w:val="32"/>
          <w:szCs w:val="32"/>
          <w:u w:val="none"/>
          <w:lang w:val="en-US" w:eastAsia="zh-CN"/>
        </w:rPr>
        <w:t>以学习贯彻新修订的纪律处分条例为契机，</w:t>
      </w:r>
      <w:r>
        <w:rPr>
          <w:rFonts w:hint="eastAsia" w:ascii="仿宋_GB2312" w:hAnsi="仿宋_GB2312" w:eastAsia="仿宋_GB2312" w:cs="仿宋_GB2312"/>
          <w:i w:val="0"/>
          <w:iCs w:val="0"/>
          <w:caps w:val="0"/>
          <w:spacing w:val="8"/>
          <w:sz w:val="32"/>
          <w:szCs w:val="32"/>
          <w:shd w:val="clear" w:fill="FFFFFF"/>
        </w:rPr>
        <w:t>扎实开展</w:t>
      </w:r>
      <w:r>
        <w:rPr>
          <w:rFonts w:hint="eastAsia" w:ascii="仿宋_GB2312" w:hAnsi="仿宋_GB2312" w:eastAsia="仿宋_GB2312" w:cs="仿宋_GB2312"/>
          <w:i w:val="0"/>
          <w:iCs w:val="0"/>
          <w:caps w:val="0"/>
          <w:spacing w:val="8"/>
          <w:sz w:val="32"/>
          <w:szCs w:val="32"/>
          <w:shd w:val="clear" w:fill="FFFFFF"/>
          <w:lang w:eastAsia="zh-CN"/>
        </w:rPr>
        <w:t>集中性纪律</w:t>
      </w:r>
      <w:r>
        <w:rPr>
          <w:rFonts w:hint="eastAsia" w:ascii="仿宋_GB2312" w:hAnsi="仿宋_GB2312" w:eastAsia="仿宋_GB2312" w:cs="仿宋_GB2312"/>
          <w:i w:val="0"/>
          <w:iCs w:val="0"/>
          <w:caps w:val="0"/>
          <w:spacing w:val="8"/>
          <w:sz w:val="32"/>
          <w:szCs w:val="32"/>
          <w:shd w:val="clear" w:fill="FFFFFF"/>
        </w:rPr>
        <w:t>教育。</w:t>
      </w:r>
      <w:r>
        <w:rPr>
          <w:rFonts w:hint="eastAsia" w:ascii="仿宋_GB2312" w:hAnsi="仿宋_GB2312" w:eastAsia="仿宋_GB2312" w:cs="仿宋_GB2312"/>
          <w:b w:val="0"/>
          <w:bCs w:val="0"/>
          <w:color w:val="auto"/>
          <w:sz w:val="32"/>
          <w:szCs w:val="32"/>
          <w:u w:val="none"/>
          <w:lang w:val="en-US" w:eastAsia="zh-CN"/>
        </w:rPr>
        <w:t>准确运用“四种形态”，严格落实“三个区分开来”，推动容错纠错工作具体化、规范化，</w:t>
      </w:r>
      <w:r>
        <w:rPr>
          <w:rFonts w:hint="eastAsia" w:ascii="仿宋_GB2312" w:hAnsi="仿宋_GB2312" w:eastAsia="仿宋_GB2312"/>
          <w:sz w:val="32"/>
          <w:szCs w:val="32"/>
          <w:u w:val="none"/>
          <w:lang w:eastAsia="zh-CN"/>
        </w:rPr>
        <w:t>健全完善</w:t>
      </w:r>
      <w:r>
        <w:rPr>
          <w:rFonts w:hint="eastAsia" w:ascii="仿宋_GB2312" w:hAnsi="仿宋_GB2312" w:eastAsia="仿宋_GB2312"/>
          <w:sz w:val="32"/>
          <w:szCs w:val="32"/>
          <w:u w:val="none"/>
        </w:rPr>
        <w:t>澄清</w:t>
      </w:r>
      <w:r>
        <w:rPr>
          <w:rFonts w:hint="eastAsia" w:ascii="仿宋_GB2312" w:hAnsi="仿宋_GB2312" w:eastAsia="仿宋_GB2312"/>
          <w:sz w:val="32"/>
          <w:szCs w:val="32"/>
          <w:u w:val="none"/>
          <w:lang w:eastAsia="zh-CN"/>
        </w:rPr>
        <w:t>保护机制，严肃</w:t>
      </w:r>
      <w:r>
        <w:rPr>
          <w:rFonts w:hint="eastAsia" w:ascii="仿宋_GB2312" w:hAnsi="仿宋_GB2312" w:eastAsia="仿宋_GB2312"/>
          <w:sz w:val="32"/>
          <w:szCs w:val="32"/>
          <w:u w:val="none"/>
        </w:rPr>
        <w:t>查处诬告陷害</w:t>
      </w:r>
      <w:r>
        <w:rPr>
          <w:rFonts w:hint="eastAsia" w:ascii="仿宋_GB2312" w:hAnsi="仿宋_GB2312" w:eastAsia="仿宋_GB2312"/>
          <w:sz w:val="32"/>
          <w:szCs w:val="32"/>
          <w:u w:val="none"/>
          <w:lang w:eastAsia="zh-CN"/>
        </w:rPr>
        <w:t>行为</w:t>
      </w:r>
      <w:r>
        <w:rPr>
          <w:rFonts w:hint="eastAsia" w:ascii="仿宋_GB2312" w:hAnsi="仿宋_GB2312" w:eastAsia="仿宋_GB2312"/>
          <w:sz w:val="32"/>
          <w:szCs w:val="32"/>
        </w:rPr>
        <w:t>。</w:t>
      </w:r>
      <w:r>
        <w:rPr>
          <w:rFonts w:hint="eastAsia" w:ascii="仿宋_GB2312" w:hAnsi="仿宋_GB2312" w:eastAsia="仿宋_GB2312" w:cs="仿宋_GB2312"/>
          <w:b w:val="0"/>
          <w:bCs w:val="0"/>
          <w:color w:val="auto"/>
          <w:sz w:val="32"/>
          <w:szCs w:val="32"/>
          <w:u w:val="none"/>
          <w:lang w:val="en-US" w:eastAsia="zh-CN"/>
        </w:rPr>
        <w:t>扎实开展</w:t>
      </w:r>
      <w:r>
        <w:rPr>
          <w:rFonts w:hint="eastAsia" w:ascii="仿宋_GB2312" w:hAnsi="仿宋_GB2312" w:eastAsia="仿宋_GB2312" w:cs="仿宋_GB2312"/>
          <w:color w:val="auto"/>
          <w:sz w:val="32"/>
          <w:szCs w:val="32"/>
          <w:u w:val="none"/>
          <w:lang w:eastAsia="zh-CN"/>
        </w:rPr>
        <w:t>“镜鉴”以案促改专项活动，久久为功净化政治生态。</w:t>
      </w:r>
      <w:r>
        <w:rPr>
          <w:rFonts w:hint="eastAsia" w:ascii="仿宋_GB2312" w:hAnsi="仿宋_GB2312" w:eastAsia="仿宋_GB2312"/>
          <w:sz w:val="32"/>
          <w:szCs w:val="32"/>
        </w:rPr>
        <w:t>扎实开展“信访办理质量提升年”活动和涉纪信访矛盾化解专项整治年活动，推进“四访”工作制度化常态化。</w:t>
      </w:r>
    </w:p>
    <w:p w14:paraId="058E33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楷体" w:hAnsi="楷体" w:eastAsia="楷体" w:cs="楷体"/>
          <w:b/>
          <w:bCs/>
          <w:color w:val="auto"/>
          <w:sz w:val="32"/>
          <w:szCs w:val="32"/>
          <w:lang w:val="en-US" w:eastAsia="zh-CN"/>
        </w:rPr>
        <w:t>第七，聚焦高质高效，全面深化纪检监察体制改革。</w:t>
      </w:r>
      <w:r>
        <w:rPr>
          <w:rFonts w:hint="eastAsia" w:ascii="仿宋_GB2312" w:hAnsi="仿宋_GB2312" w:eastAsia="仿宋_GB2312" w:cs="仿宋_GB2312"/>
          <w:b w:val="0"/>
          <w:bCs w:val="0"/>
          <w:color w:val="auto"/>
          <w:sz w:val="32"/>
          <w:szCs w:val="32"/>
          <w:u w:val="none"/>
          <w:lang w:val="en-US" w:eastAsia="zh-CN"/>
        </w:rPr>
        <w:t>完善问题线索处置、重要措施使用、干部处分处理和党风廉政意见回复集体研究制度，完善下级纪委监委向上级纪委监委报告工作制度。优化县纪委监委派驻机构和监督检查、审查调查部门设置。严格规范办案行为，健全案件质量全流程管控、常态化评查机制</w:t>
      </w:r>
      <w:r>
        <w:rPr>
          <w:rFonts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sz w:val="32"/>
          <w:szCs w:val="32"/>
          <w:u w:val="none"/>
          <w:lang w:val="en-US" w:eastAsia="zh-CN"/>
        </w:rPr>
        <w:t>统筹抓好新出台的党内法规和监察法规贯彻落实，健全不法利益追缴和涉案财物处置规范管理制度。完善纪检监察专责监督体系，健全以党内监督为主导、各类监督贯通协调机制。完善加强对</w:t>
      </w:r>
      <w:r>
        <w:rPr>
          <w:rFonts w:hint="eastAsia" w:ascii="仿宋_GB2312" w:hAnsi="仿宋_GB2312" w:eastAsia="仿宋_GB2312" w:cs="仿宋_GB2312"/>
          <w:color w:val="auto"/>
          <w:spacing w:val="9"/>
          <w:sz w:val="32"/>
          <w:szCs w:val="32"/>
          <w:u w:val="none"/>
        </w:rPr>
        <w:t>“一把手”和同级班子成员加强监督的制度措施。</w:t>
      </w:r>
    </w:p>
    <w:p w14:paraId="63364A96">
      <w:pPr>
        <w:pStyle w:val="5"/>
        <w:keepNext w:val="0"/>
        <w:keepLines w:val="0"/>
        <w:pageBreakBefore w:val="0"/>
        <w:widowControl w:val="0"/>
        <w:pBdr>
          <w:bottom w:val="single" w:color="FFFFFF" w:sz="4" w:space="20"/>
        </w:pBdr>
        <w:tabs>
          <w:tab w:val="left" w:pos="8050"/>
          <w:tab w:val="left" w:pos="8094"/>
        </w:tabs>
        <w:kinsoku/>
        <w:wordWrap/>
        <w:overflowPunct/>
        <w:topLinePunct w:val="0"/>
        <w:autoSpaceDE/>
        <w:autoSpaceDN/>
        <w:bidi w:val="0"/>
        <w:adjustRightInd w:val="0"/>
        <w:snapToGrid w:val="0"/>
        <w:spacing w:beforeLines="0" w:beforeAutospacing="0" w:afterLines="0" w:afterAutospacing="0" w:line="600" w:lineRule="exact"/>
        <w:ind w:left="0" w:firstLine="643"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楷体" w:hAnsi="楷体" w:eastAsia="楷体" w:cs="楷体"/>
          <w:b/>
          <w:bCs/>
          <w:color w:val="auto"/>
          <w:sz w:val="32"/>
          <w:szCs w:val="32"/>
          <w:lang w:val="en-US" w:eastAsia="zh-CN"/>
        </w:rPr>
        <w:t>第八，聚焦素质提升，以彻底自我革命精神锻造队伍。</w:t>
      </w:r>
      <w:r>
        <w:rPr>
          <w:rFonts w:hint="eastAsia" w:ascii="仿宋_GB2312" w:hAnsi="仿宋_GB2312" w:eastAsia="仿宋_GB2312" w:cs="仿宋_GB2312"/>
          <w:b w:val="0"/>
          <w:bCs w:val="0"/>
          <w:color w:val="auto"/>
          <w:sz w:val="32"/>
          <w:szCs w:val="32"/>
          <w:u w:val="none"/>
          <w:lang w:val="en-US" w:eastAsia="zh-CN"/>
        </w:rPr>
        <w:t>勇于在思想上自我革命，深化拓展主题教育和教育整顿成果，</w:t>
      </w:r>
      <w:r>
        <w:rPr>
          <w:rFonts w:hint="eastAsia" w:ascii="仿宋_GB2312" w:hAnsi="仿宋_GB2312" w:eastAsia="仿宋_GB2312"/>
          <w:sz w:val="32"/>
          <w:szCs w:val="32"/>
        </w:rPr>
        <w:t>坚持党对纪检监察工作的全面领导，</w:t>
      </w:r>
      <w:r>
        <w:rPr>
          <w:rFonts w:hint="eastAsia" w:ascii="仿宋_GB2312" w:hAnsi="仿宋_GB2312" w:eastAsia="仿宋_GB2312" w:cs="仿宋_GB2312"/>
          <w:b w:val="0"/>
          <w:bCs w:val="0"/>
          <w:color w:val="auto"/>
          <w:sz w:val="32"/>
          <w:szCs w:val="32"/>
          <w:u w:val="none"/>
          <w:lang w:val="en-US" w:eastAsia="zh-CN"/>
        </w:rPr>
        <w:t>做到绝对忠诚、绝对可靠、绝对纯洁。勇于在作风上自我革命，始终牢记“三个务必”、践行“三严三实”，</w:t>
      </w:r>
      <w:r>
        <w:rPr>
          <w:rFonts w:hint="eastAsia" w:ascii="仿宋_GB2312" w:hAnsi="仿宋_GB2312" w:eastAsia="仿宋_GB2312"/>
          <w:sz w:val="32"/>
          <w:szCs w:val="32"/>
        </w:rPr>
        <w:t>扎实开展“干在先走在前作表率”活动，推动全县纪检监察工作保持全市先进行列</w:t>
      </w:r>
      <w:r>
        <w:rPr>
          <w:rFonts w:hint="eastAsia" w:ascii="仿宋_GB2312" w:hAnsi="仿宋_GB2312" w:eastAsia="仿宋_GB2312" w:cs="仿宋_GB2312"/>
          <w:b w:val="0"/>
          <w:bCs w:val="0"/>
          <w:color w:val="auto"/>
          <w:sz w:val="32"/>
          <w:szCs w:val="32"/>
          <w:u w:val="none"/>
          <w:lang w:val="en-US" w:eastAsia="zh-CN"/>
        </w:rPr>
        <w:t>。勇于在廉洁上自我革命，常态化检视干部队伍存在的突出问题，做细做实经常性纪律监督，</w:t>
      </w:r>
      <w:r>
        <w:rPr>
          <w:rFonts w:hint="eastAsia" w:ascii="仿宋_GB2312" w:hAnsi="仿宋_GB2312" w:eastAsia="仿宋_GB2312"/>
          <w:sz w:val="32"/>
          <w:szCs w:val="32"/>
        </w:rPr>
        <w:t>努力做自我革命的表率、遵规守纪的标杆</w:t>
      </w:r>
      <w:r>
        <w:rPr>
          <w:rFonts w:hint="eastAsia" w:ascii="仿宋_GB2312" w:hAnsi="仿宋_GB2312" w:eastAsia="仿宋_GB2312" w:cs="仿宋_GB2312"/>
          <w:b w:val="0"/>
          <w:bCs w:val="0"/>
          <w:color w:val="auto"/>
          <w:sz w:val="32"/>
          <w:szCs w:val="32"/>
          <w:u w:val="none"/>
          <w:lang w:val="en-US" w:eastAsia="zh-CN"/>
        </w:rPr>
        <w:t>。勇于在严管上自我革命，健全严管严治内控机制，常态化清除“害群之马”。</w:t>
      </w:r>
      <w:r>
        <w:rPr>
          <w:rFonts w:hint="eastAsia" w:ascii="仿宋_GB2312" w:hAnsi="仿宋_GB2312" w:eastAsia="仿宋_GB2312"/>
          <w:sz w:val="32"/>
          <w:szCs w:val="32"/>
        </w:rPr>
        <w:t>加强纪检监察干部人才库建设，健全推动干部在基层锻炼成长的制度机制。</w:t>
      </w:r>
    </w:p>
    <w:p w14:paraId="04EF33BE">
      <w:pPr>
        <w:rPr>
          <w:rFonts w:hint="eastAsia" w:ascii="黑体" w:hAnsi="黑体" w:eastAsia="黑体" w:cs="黑体"/>
          <w:sz w:val="32"/>
          <w:szCs w:val="32"/>
        </w:rPr>
      </w:pPr>
      <w:r>
        <w:rPr>
          <w:rFonts w:hint="eastAsia" w:ascii="黑体" w:hAnsi="黑体" w:eastAsia="黑体" w:cs="黑体"/>
          <w:sz w:val="32"/>
          <w:szCs w:val="32"/>
        </w:rPr>
        <w:t>七、存在的问题及原因分析</w:t>
      </w:r>
    </w:p>
    <w:p w14:paraId="2593358D">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本年度无存在的问题。</w:t>
      </w:r>
    </w:p>
    <w:p w14:paraId="66A788EA">
      <w:pPr>
        <w:rPr>
          <w:rFonts w:hint="eastAsia" w:ascii="黑体" w:hAnsi="黑体" w:eastAsia="黑体" w:cs="黑体"/>
          <w:sz w:val="32"/>
          <w:szCs w:val="32"/>
        </w:rPr>
      </w:pPr>
      <w:r>
        <w:rPr>
          <w:rFonts w:hint="eastAsia" w:ascii="黑体" w:hAnsi="黑体" w:eastAsia="黑体" w:cs="黑体"/>
          <w:sz w:val="32"/>
          <w:szCs w:val="32"/>
        </w:rPr>
        <w:t>八、下一步改进措施</w:t>
      </w:r>
    </w:p>
    <w:p w14:paraId="1EADD9A6">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（一）规范账务处理，提高财务信息质量。</w:t>
      </w:r>
    </w:p>
    <w:p w14:paraId="1B2D9FE1">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严格按照《会计法》、《新政府会计制度》、《行政单位财务规则》等规定执行财务核算，并结合实际情况，完整、准确地披露相关信息，做到决算与预算相衔接。</w:t>
      </w:r>
    </w:p>
    <w:p w14:paraId="52421259">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（二）落实管理制度，进一步加强资产管理。</w:t>
      </w:r>
    </w:p>
    <w:p w14:paraId="13E62F28">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加强往来款项的管理，按月对帐，固定资产按时盘点，加强资金使用效率和保证资产安全。</w:t>
      </w:r>
    </w:p>
    <w:p w14:paraId="59E3EB05">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（三）总结经验，改进管理措施，不断增强和落实绩效管理责任，健全完善管理机制等。"</w:t>
      </w:r>
    </w:p>
    <w:p w14:paraId="3DA26BEF">
      <w:pPr>
        <w:rPr>
          <w:rFonts w:hint="eastAsia" w:ascii="黑体" w:hAnsi="黑体" w:eastAsia="黑体" w:cs="黑体"/>
          <w:sz w:val="32"/>
          <w:szCs w:val="32"/>
        </w:rPr>
      </w:pPr>
      <w:r>
        <w:rPr>
          <w:rFonts w:hint="eastAsia" w:ascii="黑体" w:hAnsi="黑体" w:eastAsia="黑体" w:cs="黑体"/>
          <w:sz w:val="32"/>
          <w:szCs w:val="32"/>
        </w:rPr>
        <w:t>九、绩效自评结果拟应用和公开情况</w:t>
      </w:r>
    </w:p>
    <w:p w14:paraId="552E87CC">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高度重视绩效评价结果的应用工作，积极探索和建立一套与预算管理相结合、多渠道应用评价结果的有效机制，着力提高绩效意识和财政资金使用效益。"</w:t>
      </w:r>
    </w:p>
    <w:p w14:paraId="2F0E34FC">
      <w:pPr>
        <w:numPr>
          <w:ilvl w:val="0"/>
          <w:numId w:val="3"/>
        </w:numPr>
        <w:rPr>
          <w:rFonts w:hint="eastAsia" w:ascii="黑体" w:hAnsi="黑体" w:eastAsia="黑体" w:cs="黑体"/>
          <w:sz w:val="32"/>
          <w:szCs w:val="32"/>
        </w:rPr>
      </w:pPr>
      <w:r>
        <w:rPr>
          <w:rFonts w:hint="eastAsia" w:ascii="黑体" w:hAnsi="黑体" w:eastAsia="黑体" w:cs="黑体"/>
          <w:sz w:val="32"/>
          <w:szCs w:val="32"/>
        </w:rPr>
        <w:t>其他需要说明的情况</w:t>
      </w:r>
    </w:p>
    <w:p w14:paraId="76AC3316">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无</w:t>
      </w:r>
      <w:r>
        <w:rPr>
          <w:rFonts w:hint="eastAsia" w:ascii="仿宋_GB2312" w:hAnsi="仿宋_GB2312" w:eastAsia="仿宋_GB2312" w:cs="仿宋_GB2312"/>
          <w:sz w:val="28"/>
          <w:szCs w:val="28"/>
          <w:lang w:eastAsia="zh-CN"/>
        </w:rPr>
        <w:t>其他需要说明的情况。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4A312"/>
    <w:multiLevelType w:val="singleLevel"/>
    <w:tmpl w:val="8154A312"/>
    <w:lvl w:ilvl="0" w:tentative="0">
      <w:start w:val="2"/>
      <w:numFmt w:val="chineseCounting"/>
      <w:suff w:val="nothing"/>
      <w:lvlText w:val="%1、"/>
      <w:lvlJc w:val="left"/>
      <w:rPr>
        <w:rFonts w:hint="eastAsia"/>
      </w:rPr>
    </w:lvl>
  </w:abstractNum>
  <w:abstractNum w:abstractNumId="1">
    <w:nsid w:val="046F3208"/>
    <w:multiLevelType w:val="singleLevel"/>
    <w:tmpl w:val="046F3208"/>
    <w:lvl w:ilvl="0" w:tentative="0">
      <w:start w:val="10"/>
      <w:numFmt w:val="chineseCounting"/>
      <w:suff w:val="nothing"/>
      <w:lvlText w:val="%1、"/>
      <w:lvlJc w:val="left"/>
      <w:rPr>
        <w:rFonts w:hint="eastAsia"/>
      </w:rPr>
    </w:lvl>
  </w:abstractNum>
  <w:abstractNum w:abstractNumId="2">
    <w:nsid w:val="536984F1"/>
    <w:multiLevelType w:val="singleLevel"/>
    <w:tmpl w:val="536984F1"/>
    <w:lvl w:ilvl="0" w:tentative="0">
      <w:start w:val="1"/>
      <w:numFmt w:val="chineseCounting"/>
      <w:suff w:val="nothing"/>
      <w:lvlText w:val="（%1）"/>
      <w:lvlJc w:val="left"/>
      <w:pPr>
        <w:ind w:left="562" w:leftChars="0" w:firstLine="0" w:firstLineChars="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OTY4MTAzMjI0MWM1ZTlhYjlmZWQ4ZGNjMjhhOTAifQ=="/>
    <w:docVar w:name="KSO_WPS_MARK_KEY" w:val="898e382b-d621-4a0e-b919-b561de0aed0d"/>
  </w:docVars>
  <w:rsids>
    <w:rsidRoot w:val="00000000"/>
    <w:rsid w:val="12223AB6"/>
    <w:rsid w:val="12B67A21"/>
    <w:rsid w:val="25C0461E"/>
    <w:rsid w:val="40F63C2A"/>
    <w:rsid w:val="4C4574AF"/>
    <w:rsid w:val="520E5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正文1"/>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3992</Words>
  <Characters>4118</Characters>
  <Lines>0</Lines>
  <Paragraphs>0</Paragraphs>
  <TotalTime>0</TotalTime>
  <ScaleCrop>false</ScaleCrop>
  <LinksUpToDate>false</LinksUpToDate>
  <CharactersWithSpaces>4124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2024-05-17T02:04:00Z</dcterms:created>
  <dc:creator>Administrator</dc:creator>
  <cp:lastModifiedBy>Administrator</cp:lastModifiedBy>
  <dcterms:modified xsi:type="dcterms:W3CDTF">2025-08-27T08:26:17Z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62A4B5AA7B174B0D830EC5DEEF7B0C36_13</vt:lpwstr>
  </property>
  <property fmtid="{D5CDD505-2E9C-101B-9397-08002B2CF9AE}" pid="4" name="KSOTemplateDocerSaveRecord">
    <vt:lpwstr>eyJoZGlkIjoiNjM2YjM5MDQ0NjU2NTdlZDE3NDkyZDExNWM1M2M3NjUifQ==</vt:lpwstr>
  </property>
</Properties>
</file>