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both"/>
        <w:rPr>
          <w:sz w:val="84"/>
          <w:szCs w:val="84"/>
        </w:rPr>
      </w:pPr>
    </w:p>
    <w:p>
      <w:pPr>
        <w:pStyle w:val="12"/>
        <w:jc w:val="center"/>
        <w:rPr>
          <w:sz w:val="84"/>
          <w:szCs w:val="84"/>
        </w:rPr>
      </w:pPr>
      <w:r>
        <w:rPr>
          <w:rFonts w:hint="eastAsia"/>
          <w:sz w:val="84"/>
          <w:szCs w:val="84"/>
          <w:lang w:eastAsia="zh-CN"/>
        </w:rPr>
        <w:t>2024年</w:t>
      </w:r>
      <w:r>
        <w:rPr>
          <w:rFonts w:hint="eastAsia"/>
          <w:sz w:val="84"/>
          <w:szCs w:val="84"/>
        </w:rPr>
        <w:t>度</w:t>
      </w:r>
    </w:p>
    <w:p>
      <w:pPr>
        <w:pStyle w:val="12"/>
        <w:jc w:val="center"/>
        <w:rPr>
          <w:sz w:val="84"/>
          <w:szCs w:val="84"/>
        </w:rPr>
      </w:pPr>
      <w:r>
        <w:rPr>
          <w:rFonts w:hint="eastAsia"/>
          <w:sz w:val="84"/>
          <w:szCs w:val="84"/>
        </w:rPr>
        <w:t>陈树湘烈士纪念馆部门决算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第一部分陈树湘烈士纪念馆单位概况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陈树湘烈士纪念馆单位概况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numId w:val="0"/>
        </w:numPr>
        <w:ind w:leftChars="200" w:firstLine="320" w:firstLineChars="1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树湘烈士纪念馆是为纪念中国工农红军第五军团第三十四师师长陈树湘及红三十四师全体将士而建，为湖南省爱国主义教育基地、湖南省党性教育基地、湖南省华侨文化交流基地；陈树湘烈士墓为湖南省第十批省级文物保护单位。充分利用陈树湘烈士红色文化资源，打造成红色教育基地和红色文化景区，更多游人到景区接受红色教育。</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内设机构设置。内设4个部门，综合部、史料展</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rPr>
        <w:t>部、宣传教育部、文保后勤部。</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（二）决算单位构成。</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部门决算汇总公开单位构成包括：陈树湘烈士纪念馆单位本级</w:t>
      </w:r>
      <w:r>
        <w:rPr>
          <w:rFonts w:hint="eastAsia" w:ascii="仿宋_GB2312" w:hAnsi="仿宋_GB2312" w:eastAsia="仿宋_GB2312" w:cs="仿宋_GB2312"/>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367.24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415.39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521" w:type="dxa"/>
        <w:tblInd w:w="0" w:type="dxa"/>
        <w:tblLayout w:type="fixed"/>
        <w:tblCellMar>
          <w:top w:w="0" w:type="dxa"/>
          <w:left w:w="0" w:type="dxa"/>
          <w:bottom w:w="0" w:type="dxa"/>
          <w:right w:w="0" w:type="dxa"/>
        </w:tblCellMar>
      </w:tblPr>
      <w:tblGrid>
        <w:gridCol w:w="986"/>
        <w:gridCol w:w="43"/>
        <w:gridCol w:w="73"/>
        <w:gridCol w:w="688"/>
        <w:gridCol w:w="222"/>
        <w:gridCol w:w="1411"/>
        <w:gridCol w:w="172"/>
        <w:gridCol w:w="17"/>
        <w:gridCol w:w="419"/>
        <w:gridCol w:w="609"/>
        <w:gridCol w:w="429"/>
        <w:gridCol w:w="40"/>
        <w:gridCol w:w="1202"/>
        <w:gridCol w:w="437"/>
        <w:gridCol w:w="1234"/>
        <w:gridCol w:w="445"/>
        <w:gridCol w:w="93"/>
        <w:gridCol w:w="632"/>
        <w:gridCol w:w="435"/>
        <w:gridCol w:w="66"/>
        <w:gridCol w:w="453"/>
        <w:gridCol w:w="1054"/>
        <w:gridCol w:w="164"/>
        <w:gridCol w:w="461"/>
        <w:gridCol w:w="769"/>
        <w:gridCol w:w="441"/>
        <w:gridCol w:w="953"/>
        <w:gridCol w:w="145"/>
        <w:gridCol w:w="1276"/>
        <w:gridCol w:w="152"/>
      </w:tblGrid>
      <w:tr>
        <w:tblPrEx>
          <w:tblCellMar>
            <w:top w:w="0" w:type="dxa"/>
            <w:left w:w="0" w:type="dxa"/>
            <w:bottom w:w="0" w:type="dxa"/>
            <w:right w:w="0" w:type="dxa"/>
          </w:tblCellMar>
        </w:tblPrEx>
        <w:trPr>
          <w:gridAfter w:val="1"/>
          <w:wAfter w:w="152" w:type="dxa"/>
          <w:trHeight w:val="435" w:hRule="atLeast"/>
        </w:trPr>
        <w:tc>
          <w:tcPr>
            <w:tcW w:w="15369" w:type="dxa"/>
            <w:gridSpan w:val="2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152" w:type="dxa"/>
          <w:trHeight w:val="285" w:hRule="atLeast"/>
        </w:trPr>
        <w:tc>
          <w:tcPr>
            <w:tcW w:w="10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10"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52" w:type="dxa"/>
          <w:trHeight w:val="285" w:hRule="atLeast"/>
        </w:trPr>
        <w:tc>
          <w:tcPr>
            <w:tcW w:w="110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10"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52" w:type="dxa"/>
          <w:trHeight w:val="450" w:hRule="atLeast"/>
        </w:trPr>
        <w:tc>
          <w:tcPr>
            <w:tcW w:w="3612" w:type="dxa"/>
            <w:gridSpan w:val="8"/>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0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52" w:type="dxa"/>
          <w:trHeight w:val="450" w:hRule="atLeast"/>
        </w:trPr>
        <w:tc>
          <w:tcPr>
            <w:tcW w:w="110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10" w:type="dxa"/>
            <w:gridSpan w:val="5"/>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10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0" w:type="dxa"/>
            <w:gridSpan w:val="5"/>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3612"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02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4"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52" w:type="dxa"/>
          <w:trHeight w:val="450" w:hRule="atLeast"/>
        </w:trPr>
        <w:tc>
          <w:tcPr>
            <w:tcW w:w="3612" w:type="dxa"/>
            <w:gridSpan w:val="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415.39</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415.39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2070105</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52" w:type="dxa"/>
          <w:trHeight w:val="756"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450" w:hRule="atLeast"/>
        </w:trPr>
        <w:tc>
          <w:tcPr>
            <w:tcW w:w="10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583"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02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52" w:type="dxa"/>
          <w:trHeight w:val="615" w:hRule="atLeast"/>
        </w:trPr>
        <w:tc>
          <w:tcPr>
            <w:tcW w:w="15369" w:type="dxa"/>
            <w:gridSpan w:val="2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2"/>
          <w:wAfter w:w="1428" w:type="dxa"/>
          <w:trHeight w:val="435" w:hRule="atLeast"/>
        </w:trPr>
        <w:tc>
          <w:tcPr>
            <w:tcW w:w="14093"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1428" w:type="dxa"/>
          <w:trHeight w:val="285" w:hRule="atLeast"/>
        </w:trPr>
        <w:tc>
          <w:tcPr>
            <w:tcW w:w="179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1428" w:type="dxa"/>
          <w:trHeight w:val="285" w:hRule="atLeast"/>
        </w:trPr>
        <w:tc>
          <w:tcPr>
            <w:tcW w:w="1790"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1428" w:type="dxa"/>
          <w:trHeight w:val="450" w:hRule="atLeast"/>
        </w:trPr>
        <w:tc>
          <w:tcPr>
            <w:tcW w:w="3423"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1428" w:type="dxa"/>
          <w:trHeight w:val="450" w:hRule="atLeast"/>
        </w:trPr>
        <w:tc>
          <w:tcPr>
            <w:tcW w:w="2012"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201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342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1428" w:type="dxa"/>
          <w:trHeight w:val="450" w:hRule="atLeast"/>
        </w:trPr>
        <w:tc>
          <w:tcPr>
            <w:tcW w:w="342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415.39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227.59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187.80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367.24</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179.44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187.80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367.24</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179.44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187.80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2070105</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367.24</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179.44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187.80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437"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646"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28" w:type="dxa"/>
          <w:trHeight w:val="630" w:hRule="atLeast"/>
        </w:trPr>
        <w:tc>
          <w:tcPr>
            <w:tcW w:w="14093" w:type="dxa"/>
            <w:gridSpan w:val="2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360" w:hRule="atLeast"/>
        </w:trPr>
        <w:tc>
          <w:tcPr>
            <w:tcW w:w="15521" w:type="dxa"/>
            <w:gridSpan w:val="3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7"/>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1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367.24</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367.24</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25.63</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25.63</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11.33</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11.33</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11.19</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415.39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585" w:hRule="atLeast"/>
        </w:trPr>
        <w:tc>
          <w:tcPr>
            <w:tcW w:w="15521" w:type="dxa"/>
            <w:gridSpan w:val="3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75"/>
        <w:gridCol w:w="3290"/>
        <w:gridCol w:w="2838"/>
        <w:gridCol w:w="3292"/>
        <w:gridCol w:w="2838"/>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415.39</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227.59</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187.80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367.24</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179.44</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367.24</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179.44</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367.24</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179.44</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11.19</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11.19</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11.19</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8"/>
        <w:tblW w:w="15627" w:type="dxa"/>
        <w:tblInd w:w="0" w:type="dxa"/>
        <w:tblLayout w:type="fixed"/>
        <w:tblCellMar>
          <w:top w:w="0" w:type="dxa"/>
          <w:left w:w="108" w:type="dxa"/>
          <w:bottom w:w="0" w:type="dxa"/>
          <w:right w:w="108" w:type="dxa"/>
        </w:tblCellMar>
      </w:tblPr>
      <w:tblGrid>
        <w:gridCol w:w="1294"/>
        <w:gridCol w:w="3242"/>
        <w:gridCol w:w="875"/>
        <w:gridCol w:w="977"/>
        <w:gridCol w:w="2468"/>
        <w:gridCol w:w="894"/>
        <w:gridCol w:w="954"/>
        <w:gridCol w:w="4048"/>
        <w:gridCol w:w="875"/>
      </w:tblGrid>
      <w:tr>
        <w:tblPrEx>
          <w:tblCellMar>
            <w:top w:w="0" w:type="dxa"/>
            <w:left w:w="108" w:type="dxa"/>
            <w:bottom w:w="0" w:type="dxa"/>
            <w:right w:w="108" w:type="dxa"/>
          </w:tblCellMar>
        </w:tblPrEx>
        <w:trPr>
          <w:trHeight w:val="113" w:hRule="atLeast"/>
        </w:trPr>
        <w:tc>
          <w:tcPr>
            <w:tcW w:w="1562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60"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196.80</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30.79</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64.97</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7.56</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30.64</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40.63</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12.41</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25.63</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11.33</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11.19</w:t>
            </w: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2.59</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5.29</w:t>
            </w: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4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4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9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4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4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4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3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196.80</w:t>
            </w:r>
          </w:p>
        </w:tc>
        <w:tc>
          <w:tcPr>
            <w:tcW w:w="934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公用经费合计</w:t>
            </w:r>
          </w:p>
        </w:tc>
        <w:tc>
          <w:tcPr>
            <w:tcW w:w="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30.799</w:t>
            </w:r>
          </w:p>
        </w:tc>
      </w:tr>
      <w:tr>
        <w:tblPrEx>
          <w:tblCellMar>
            <w:top w:w="0" w:type="dxa"/>
            <w:left w:w="108" w:type="dxa"/>
            <w:bottom w:w="0" w:type="dxa"/>
            <w:right w:w="108" w:type="dxa"/>
          </w:tblCellMar>
        </w:tblPrEx>
        <w:trPr>
          <w:trHeight w:val="284" w:hRule="exact"/>
        </w:trPr>
        <w:tc>
          <w:tcPr>
            <w:tcW w:w="1562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2024年度收、支总计</w:t>
      </w:r>
      <w:r>
        <w:rPr>
          <w:rFonts w:hint="eastAsia" w:ascii="Times New Roman" w:hAnsi="Times New Roman" w:eastAsia="仿宋_GB2312"/>
          <w:sz w:val="32"/>
          <w:szCs w:val="32"/>
          <w:lang w:val="en-US" w:eastAsia="zh-CN"/>
        </w:rPr>
        <w:t>415.39</w:t>
      </w:r>
      <w:r>
        <w:rPr>
          <w:rFonts w:hint="eastAsia" w:ascii="Times New Roman" w:hAnsi="Times New Roman" w:eastAsia="仿宋_GB2312"/>
          <w:sz w:val="32"/>
          <w:szCs w:val="32"/>
          <w:lang w:eastAsia="zh-CN"/>
        </w:rPr>
        <w:t>万元。与上年相比，增加</w:t>
      </w:r>
      <w:r>
        <w:rPr>
          <w:rFonts w:hint="eastAsia" w:ascii="Times New Roman" w:hAnsi="Times New Roman" w:eastAsia="仿宋_GB2312"/>
          <w:sz w:val="32"/>
          <w:szCs w:val="32"/>
          <w:lang w:val="en-US" w:eastAsia="zh-CN"/>
        </w:rPr>
        <w:t>14.31</w:t>
      </w:r>
      <w:r>
        <w:rPr>
          <w:rFonts w:hint="eastAsia" w:ascii="Times New Roman" w:hAnsi="Times New Roman" w:eastAsia="仿宋_GB2312"/>
          <w:sz w:val="32"/>
          <w:szCs w:val="32"/>
          <w:lang w:eastAsia="zh-CN"/>
        </w:rPr>
        <w:t>万元，增长</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lang w:eastAsia="zh-CN"/>
        </w:rPr>
        <w:t>%，主要是因为人员及业务活动增加。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2024年度收入合计415.39万元，其中：财政拨款收入415.39万元，占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2024年度支出合计</w:t>
      </w:r>
      <w:r>
        <w:rPr>
          <w:rFonts w:hint="eastAsia" w:ascii="Times New Roman" w:hAnsi="Times New Roman" w:eastAsia="仿宋_GB2312"/>
          <w:sz w:val="32"/>
          <w:szCs w:val="32"/>
          <w:lang w:val="en-US" w:eastAsia="zh-CN"/>
        </w:rPr>
        <w:t>415.39</w:t>
      </w:r>
      <w:r>
        <w:rPr>
          <w:rFonts w:hint="eastAsia" w:ascii="Times New Roman" w:hAnsi="Times New Roman" w:eastAsia="仿宋_GB2312"/>
          <w:sz w:val="32"/>
          <w:szCs w:val="32"/>
          <w:lang w:eastAsia="zh-CN"/>
        </w:rPr>
        <w:t>万元，其中：基本支出</w:t>
      </w:r>
      <w:r>
        <w:rPr>
          <w:rFonts w:hint="eastAsia" w:ascii="Times New Roman" w:hAnsi="Times New Roman" w:eastAsia="仿宋_GB2312"/>
          <w:sz w:val="32"/>
          <w:szCs w:val="32"/>
          <w:lang w:val="en-US" w:eastAsia="zh-CN"/>
        </w:rPr>
        <w:t>227.59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54.79</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199.7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45.21</w:t>
      </w:r>
      <w:r>
        <w:rPr>
          <w:rFonts w:hint="eastAsia" w:ascii="Times New Roman" w:hAnsi="Times New Roman" w:eastAsia="仿宋_GB2312"/>
          <w:sz w:val="32"/>
          <w:szCs w:val="32"/>
          <w:lang w:eastAsia="zh-CN"/>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2024年度财政拨款收、支总计415.39万元。与上年相比，增加</w:t>
      </w:r>
      <w:r>
        <w:rPr>
          <w:rFonts w:hint="eastAsia" w:ascii="Times New Roman" w:hAnsi="Times New Roman" w:eastAsia="仿宋_GB2312"/>
          <w:sz w:val="32"/>
          <w:szCs w:val="32"/>
          <w:lang w:val="en-US" w:eastAsia="zh-CN"/>
        </w:rPr>
        <w:t>14.31</w:t>
      </w:r>
      <w:r>
        <w:rPr>
          <w:rFonts w:hint="eastAsia" w:ascii="Times New Roman" w:hAnsi="Times New Roman" w:eastAsia="仿宋_GB2312"/>
          <w:sz w:val="32"/>
          <w:szCs w:val="32"/>
          <w:lang w:eastAsia="zh-CN"/>
        </w:rPr>
        <w:t>万元，增长</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lang w:eastAsia="zh-CN"/>
        </w:rPr>
        <w:t>%，主要是因为人员及业务活动增加。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2024年度财政拨款支出</w:t>
      </w:r>
      <w:r>
        <w:rPr>
          <w:rFonts w:hint="eastAsia" w:ascii="Times New Roman" w:hAnsi="Times New Roman" w:eastAsia="仿宋_GB2312"/>
          <w:sz w:val="32"/>
          <w:szCs w:val="32"/>
          <w:lang w:val="en-US" w:eastAsia="zh-CN"/>
        </w:rPr>
        <w:t>415.39</w:t>
      </w:r>
      <w:r>
        <w:rPr>
          <w:rFonts w:hint="eastAsia" w:ascii="Times New Roman" w:hAnsi="Times New Roman" w:eastAsia="仿宋_GB2312"/>
          <w:sz w:val="32"/>
          <w:szCs w:val="32"/>
          <w:lang w:eastAsia="zh-CN"/>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%，与上年相比，财政拨款支出增加</w:t>
      </w:r>
      <w:r>
        <w:rPr>
          <w:rFonts w:hint="eastAsia" w:ascii="Times New Roman" w:hAnsi="Times New Roman" w:eastAsia="仿宋_GB2312"/>
          <w:sz w:val="32"/>
          <w:szCs w:val="32"/>
          <w:lang w:val="en-US" w:eastAsia="zh-CN"/>
        </w:rPr>
        <w:t>14.31</w:t>
      </w:r>
      <w:r>
        <w:rPr>
          <w:rFonts w:hint="eastAsia" w:ascii="Times New Roman" w:hAnsi="Times New Roman" w:eastAsia="仿宋_GB2312"/>
          <w:sz w:val="32"/>
          <w:szCs w:val="32"/>
          <w:lang w:eastAsia="zh-CN"/>
        </w:rPr>
        <w:t>万元，增长</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lang w:eastAsia="zh-CN"/>
        </w:rPr>
        <w:t>%，主要是因为人员及业务活动增加。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2024年度财政拨款支出</w:t>
      </w:r>
      <w:r>
        <w:rPr>
          <w:rFonts w:hint="eastAsia" w:ascii="Times New Roman" w:hAnsi="Times New Roman" w:eastAsia="仿宋_GB2312"/>
          <w:sz w:val="32"/>
          <w:szCs w:val="32"/>
          <w:lang w:val="en-US" w:eastAsia="zh-CN"/>
        </w:rPr>
        <w:t>415.39</w:t>
      </w:r>
      <w:r>
        <w:rPr>
          <w:rFonts w:hint="eastAsia" w:ascii="Times New Roman" w:hAnsi="Times New Roman" w:eastAsia="仿宋_GB2312"/>
          <w:sz w:val="32"/>
          <w:szCs w:val="32"/>
          <w:lang w:eastAsia="zh-CN"/>
        </w:rPr>
        <w:t>万元，主要用于以下方面：文化旅游体育与传媒支出文化旅游体育与传媒支出支出</w:t>
      </w:r>
      <w:r>
        <w:rPr>
          <w:rFonts w:hint="eastAsia" w:ascii="Times New Roman" w:hAnsi="Times New Roman" w:eastAsia="仿宋_GB2312"/>
          <w:sz w:val="32"/>
          <w:szCs w:val="32"/>
          <w:lang w:val="en-US" w:eastAsia="zh-CN"/>
        </w:rPr>
        <w:t>367.24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88.41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25.63</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6.17</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11.33</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2.73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住房保障支出11.19万元，占比2.69%</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2024年度财政拨款支出年初预算数为</w:t>
      </w:r>
      <w:r>
        <w:rPr>
          <w:rFonts w:hint="eastAsia" w:ascii="Times New Roman" w:hAnsi="Times New Roman" w:eastAsia="仿宋_GB2312"/>
          <w:sz w:val="32"/>
          <w:szCs w:val="32"/>
          <w:lang w:val="en-US" w:eastAsia="zh-CN"/>
        </w:rPr>
        <w:t>397.28</w:t>
      </w:r>
      <w:r>
        <w:rPr>
          <w:rFonts w:hint="eastAsia" w:ascii="Times New Roman" w:hAnsi="Times New Roman" w:eastAsia="仿宋_GB2312"/>
          <w:sz w:val="32"/>
          <w:szCs w:val="32"/>
          <w:lang w:eastAsia="zh-CN"/>
        </w:rPr>
        <w:t>万元，支出决算数为</w:t>
      </w:r>
      <w:r>
        <w:rPr>
          <w:rFonts w:hint="eastAsia" w:ascii="Times New Roman" w:hAnsi="Times New Roman" w:eastAsia="仿宋_GB2312"/>
          <w:sz w:val="32"/>
          <w:szCs w:val="32"/>
          <w:lang w:val="en-US" w:eastAsia="zh-CN"/>
        </w:rPr>
        <w:t>415.39</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104.56</w:t>
      </w:r>
      <w:r>
        <w:rPr>
          <w:rFonts w:hint="eastAsia" w:ascii="Times New Roman" w:hAnsi="Times New Roman" w:eastAsia="仿宋_GB2312"/>
          <w:sz w:val="32"/>
          <w:szCs w:val="32"/>
          <w:lang w:eastAsia="zh-CN"/>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、文化旅游体育与传媒支出（类）文化和旅游（款）文化展示及纪念机构（项）。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360.67</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367.24</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101.82</w:t>
      </w:r>
      <w:r>
        <w:rPr>
          <w:rFonts w:hint="eastAsia" w:ascii="Times New Roman" w:hAnsi="Times New Roman" w:eastAsia="仿宋_GB2312"/>
          <w:sz w:val="32"/>
          <w:szCs w:val="32"/>
          <w:lang w:eastAsia="zh-CN"/>
        </w:rPr>
        <w:t>%。支出决算大于年初预算主要是由于工资福利支出增加。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15.98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25.63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160.39%。支出决算大于年初预算是缴费工资基数调整。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（类）行政事业单位医疗（款）事业单位医疗（项）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8.68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11.33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130.53%。支出决算大于年初预算是缴费工资基数调整。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lang w:val="en-US" w:eastAsia="zh-CN"/>
        </w:rPr>
        <w:t>（款）住房公积金（项）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11.95</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11.19</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93.64%。支出决算小于年初预算是缴费工资基数调整。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2024年度财政拨款基本支出</w:t>
      </w:r>
      <w:r>
        <w:rPr>
          <w:rFonts w:hint="eastAsia" w:ascii="Times New Roman" w:hAnsi="Times New Roman" w:eastAsia="仿宋_GB2312"/>
          <w:sz w:val="32"/>
          <w:szCs w:val="32"/>
          <w:lang w:val="en-US" w:eastAsia="zh-CN"/>
        </w:rPr>
        <w:t>227.59</w:t>
      </w:r>
      <w:r>
        <w:rPr>
          <w:rFonts w:hint="eastAsia" w:ascii="Times New Roman" w:hAnsi="Times New Roman" w:eastAsia="仿宋_GB2312"/>
          <w:sz w:val="32"/>
          <w:szCs w:val="32"/>
          <w:lang w:eastAsia="zh-CN"/>
        </w:rPr>
        <w:t>万元，其中：人员经费</w:t>
      </w:r>
      <w:r>
        <w:rPr>
          <w:rFonts w:hint="eastAsia" w:ascii="Times New Roman" w:hAnsi="Times New Roman" w:eastAsia="仿宋_GB2312"/>
          <w:sz w:val="32"/>
          <w:szCs w:val="32"/>
          <w:lang w:val="en-US" w:eastAsia="zh-CN"/>
        </w:rPr>
        <w:t>196.8</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86.47</w:t>
      </w:r>
      <w:r>
        <w:rPr>
          <w:rFonts w:hint="eastAsia" w:ascii="Times New Roman" w:hAnsi="Times New Roman" w:eastAsia="仿宋_GB2312"/>
          <w:sz w:val="32"/>
          <w:szCs w:val="32"/>
          <w:lang w:eastAsia="zh-CN"/>
        </w:rPr>
        <w:t>%,主要包括基本工资、津贴补贴、奖金、伙食补助费等；公用经费</w:t>
      </w:r>
      <w:r>
        <w:rPr>
          <w:rFonts w:hint="eastAsia" w:ascii="Times New Roman" w:hAnsi="Times New Roman" w:eastAsia="仿宋_GB2312"/>
          <w:sz w:val="32"/>
          <w:szCs w:val="32"/>
          <w:lang w:val="en-US" w:eastAsia="zh-CN"/>
        </w:rPr>
        <w:t>30.79</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13.53</w:t>
      </w:r>
      <w:r>
        <w:rPr>
          <w:rFonts w:hint="eastAsia" w:ascii="Times New Roman" w:hAnsi="Times New Roman" w:eastAsia="仿宋_GB2312"/>
          <w:sz w:val="32"/>
          <w:szCs w:val="32"/>
          <w:lang w:eastAsia="zh-CN"/>
        </w:rPr>
        <w:t>%，主要包括办公费、印刷费、咨询费、手续费等。</w:t>
      </w:r>
    </w:p>
    <w:p>
      <w:pPr>
        <w:pStyle w:val="12"/>
        <w:ind w:firstLine="640" w:firstLineChars="200"/>
        <w:rPr>
          <w:rFonts w:hAnsi="黑体"/>
          <w:b/>
          <w:sz w:val="32"/>
          <w:szCs w:val="32"/>
        </w:rPr>
      </w:pPr>
      <w:r>
        <w:rPr>
          <w:rFonts w:hint="eastAsia" w:ascii="黑体" w:hAnsi="黑体" w:eastAsia="黑体" w:cs="黑体"/>
          <w:b w:val="0"/>
          <w:bCs/>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2024年度“三公”经费财政拨款支出预算为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86.33</w:t>
      </w:r>
      <w:r>
        <w:rPr>
          <w:rFonts w:hint="eastAsia" w:ascii="Times New Roman" w:hAnsi="Times New Roman" w:eastAsia="仿宋_GB2312"/>
          <w:sz w:val="32"/>
          <w:szCs w:val="32"/>
          <w:lang w:eastAsia="zh-CN"/>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公务接待费支出预算为</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万元，与预算持平。</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heme="minorEastAsia" w:hAnsiTheme="minorEastAsia" w:eastAsiaTheme="minorEastAsia"/>
          <w:sz w:val="32"/>
          <w:szCs w:val="32"/>
        </w:rPr>
      </w:pPr>
      <w:r>
        <w:rPr>
          <w:rFonts w:hint="eastAsia" w:ascii="Times New Roman" w:hAnsi="Times New Roman" w:eastAsia="仿宋_GB2312"/>
          <w:sz w:val="32"/>
          <w:szCs w:val="32"/>
          <w:lang w:eastAsia="zh-CN"/>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元。</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2024年度“三公”经费财政拨款支出决算中，公务接待费支出决算</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人次。</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2、公务接待费支出决算为</w:t>
      </w:r>
      <w:r>
        <w:rPr>
          <w:rFonts w:hint="eastAsia" w:ascii="Times New Roman" w:hAnsi="Times New Roman" w:eastAsia="仿宋_GB2312"/>
          <w:sz w:val="32"/>
          <w:szCs w:val="32"/>
          <w:lang w:val="en-US" w:eastAsia="zh-CN"/>
        </w:rPr>
        <w:t>2.59</w:t>
      </w:r>
      <w:r>
        <w:rPr>
          <w:rFonts w:hint="eastAsia" w:ascii="Times New Roman" w:hAnsi="Times New Roman" w:eastAsia="仿宋_GB2312"/>
          <w:sz w:val="32"/>
          <w:szCs w:val="32"/>
          <w:lang w:eastAsia="zh-CN"/>
        </w:rPr>
        <w:t>万元，全年共接待来访团组</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lang w:eastAsia="zh-CN"/>
        </w:rPr>
        <w:t>个、来宾</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lang w:eastAsia="zh-CN"/>
        </w:rPr>
        <w:t>人次，主要是红色旅游经验交流等发生的接待支出。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万元，截止2024年12月31日，我单位开支财政拨款的公务用车保有量为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2024年度政府性基金预算财政拨款收入0万元；年初结转和结余0万元；支出0万元，其中基本支出0万元，项目支出0万元；年末结转和结余0万元。具体情况如下：本单位无政府性基金收支。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九、机关运行经费支出说明</w:t>
      </w:r>
    </w:p>
    <w:p>
      <w:pPr>
        <w:pStyle w:val="12"/>
        <w:ind w:left="319" w:leftChars="152" w:firstLine="640" w:firstLineChars="200"/>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lang w:eastAsia="zh-CN"/>
        </w:rPr>
        <w:t>本部门2024年度机关运行经费支出</w:t>
      </w:r>
      <w:r>
        <w:rPr>
          <w:rFonts w:hint="eastAsia" w:ascii="Times New Roman" w:hAnsi="Times New Roman" w:eastAsia="仿宋_GB2312"/>
          <w:sz w:val="32"/>
          <w:szCs w:val="32"/>
          <w:lang w:val="en-US" w:eastAsia="zh-CN"/>
        </w:rPr>
        <w:t>30.79</w:t>
      </w:r>
      <w:r>
        <w:rPr>
          <w:rFonts w:hint="eastAsia" w:ascii="Times New Roman" w:hAnsi="Times New Roman" w:eastAsia="仿宋_GB2312"/>
          <w:sz w:val="32"/>
          <w:szCs w:val="32"/>
          <w:lang w:eastAsia="zh-CN"/>
        </w:rPr>
        <w:t>万元，与去年持平。</w:t>
      </w:r>
      <w:r>
        <w:rPr>
          <w:rFonts w:hint="eastAsia" w:asciiTheme="minorEastAsia" w:hAnsiTheme="minorEastAsia" w:eastAsiaTheme="minorEastAsia"/>
          <w:sz w:val="32"/>
          <w:szCs w:val="32"/>
          <w:lang w:val="en-US" w:eastAsia="zh-CN"/>
        </w:rPr>
        <w:t xml:space="preserve">            </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万元，人数</w:t>
      </w:r>
      <w:r>
        <w:rPr>
          <w:rFonts w:hint="eastAsia" w:ascii="Times New Roman" w:hAnsi="Times New Roman" w:eastAsia="仿宋_GB2312"/>
          <w:sz w:val="32"/>
          <w:szCs w:val="32"/>
          <w:lang w:val="en-US" w:eastAsia="zh-CN"/>
        </w:rPr>
        <w:t>0人。</w:t>
      </w:r>
      <w:r>
        <w:rPr>
          <w:rFonts w:hint="eastAsia" w:ascii="Times New Roman" w:hAnsi="Times New Roman" w:eastAsia="仿宋_GB2312"/>
          <w:sz w:val="32"/>
          <w:szCs w:val="32"/>
          <w:lang w:eastAsia="zh-CN"/>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万元人数</w:t>
      </w:r>
      <w:r>
        <w:rPr>
          <w:rFonts w:hint="eastAsia" w:ascii="Times New Roman" w:hAnsi="Times New Roman" w:eastAsia="仿宋_GB2312"/>
          <w:sz w:val="32"/>
          <w:szCs w:val="32"/>
          <w:lang w:val="en-US" w:eastAsia="zh-CN"/>
        </w:rPr>
        <w:t>0人</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本部门2024年度政府采购支出总额</w:t>
      </w:r>
      <w:r>
        <w:rPr>
          <w:rFonts w:hint="eastAsia" w:ascii="Times New Roman" w:hAnsi="Times New Roman" w:eastAsia="仿宋_GB2312"/>
          <w:sz w:val="32"/>
          <w:szCs w:val="32"/>
          <w:lang w:val="en-US" w:eastAsia="zh-CN"/>
        </w:rPr>
        <w:t>187.8</w:t>
      </w:r>
      <w:r>
        <w:rPr>
          <w:rFonts w:hint="eastAsia" w:ascii="Times New Roman" w:hAnsi="Times New Roman" w:eastAsia="仿宋_GB2312"/>
          <w:sz w:val="32"/>
          <w:szCs w:val="32"/>
          <w:lang w:eastAsia="zh-CN"/>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万元、政府采购工程支出</w:t>
      </w:r>
      <w:r>
        <w:rPr>
          <w:rFonts w:hint="eastAsia" w:ascii="Times New Roman" w:hAnsi="Times New Roman" w:eastAsia="仿宋_GB2312"/>
          <w:sz w:val="32"/>
          <w:szCs w:val="32"/>
          <w:lang w:val="en-US" w:eastAsia="zh-CN"/>
        </w:rPr>
        <w:t>187.8</w:t>
      </w:r>
      <w:r>
        <w:rPr>
          <w:rFonts w:hint="eastAsia" w:ascii="Times New Roman" w:hAnsi="Times New Roman" w:eastAsia="仿宋_GB2312"/>
          <w:sz w:val="32"/>
          <w:szCs w:val="32"/>
          <w:lang w:eastAsia="zh-CN"/>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万元。授予中小企业合同金额</w:t>
      </w:r>
      <w:r>
        <w:rPr>
          <w:rFonts w:hint="eastAsia" w:ascii="Times New Roman" w:hAnsi="Times New Roman" w:eastAsia="仿宋_GB2312"/>
          <w:sz w:val="32"/>
          <w:szCs w:val="32"/>
          <w:lang w:val="en-US" w:eastAsia="zh-CN"/>
        </w:rPr>
        <w:t>187.8</w:t>
      </w:r>
      <w:r>
        <w:rPr>
          <w:rFonts w:hint="eastAsia" w:ascii="Times New Roman" w:hAnsi="Times New Roman" w:eastAsia="仿宋_GB2312"/>
          <w:sz w:val="32"/>
          <w:szCs w:val="32"/>
          <w:lang w:eastAsia="zh-CN"/>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%，工程采购授予中小企业合同金额占工程支出金额的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2"/>
        <w:ind w:firstLine="640" w:firstLineChars="200"/>
        <w:rPr>
          <w:rFonts w:hAnsi="黑体"/>
          <w:b w:val="0"/>
          <w:bCs/>
          <w:sz w:val="32"/>
          <w:szCs w:val="32"/>
        </w:rPr>
      </w:pPr>
      <w:r>
        <w:rPr>
          <w:rFonts w:hint="eastAsia" w:hAnsi="黑体"/>
          <w:b w:val="0"/>
          <w:bCs/>
          <w:sz w:val="32"/>
          <w:szCs w:val="32"/>
        </w:rPr>
        <w:t>十二、国有资产占用情况说明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截至2024年12月31日，部门（单位）共有车辆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台（套）。</w:t>
      </w:r>
    </w:p>
    <w:p>
      <w:pPr>
        <w:pStyle w:val="12"/>
        <w:ind w:firstLine="640" w:firstLineChars="200"/>
        <w:rPr>
          <w:rFonts w:hAnsi="黑体"/>
          <w:b w:val="0"/>
          <w:bCs/>
          <w:sz w:val="32"/>
          <w:szCs w:val="32"/>
        </w:rPr>
      </w:pPr>
      <w:r>
        <w:rPr>
          <w:rFonts w:hint="eastAsia" w:hAnsi="黑体"/>
          <w:b w:val="0"/>
          <w:bCs/>
          <w:sz w:val="32"/>
          <w:szCs w:val="32"/>
        </w:rPr>
        <w:t>十三、</w:t>
      </w:r>
      <w:r>
        <w:rPr>
          <w:rFonts w:hint="eastAsia" w:hAnsi="黑体"/>
          <w:b w:val="0"/>
          <w:bCs/>
          <w:sz w:val="32"/>
          <w:szCs w:val="32"/>
          <w:lang w:eastAsia="zh-CN"/>
        </w:rPr>
        <w:t>2024年</w:t>
      </w:r>
      <w:r>
        <w:rPr>
          <w:rFonts w:hint="eastAsia" w:hAnsi="黑体"/>
          <w:b w:val="0"/>
          <w:bCs/>
          <w:sz w:val="32"/>
          <w:szCs w:val="32"/>
        </w:rPr>
        <w:t>度预算绩效情况说明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本部门预算绩效管理开展情况、绩效目标和绩效评价报告等见附件。</w:t>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pStyle w:val="12"/>
        <w:jc w:val="center"/>
        <w:rPr>
          <w:sz w:val="72"/>
          <w:szCs w:val="72"/>
        </w:rPr>
      </w:pPr>
      <w:r>
        <w:rPr>
          <w:rFonts w:hint="eastAsia" w:ascii="黑体" w:eastAsia="黑体" w:cs="黑体"/>
          <w:color w:val="000000"/>
          <w:kern w:val="0"/>
          <w:sz w:val="70"/>
          <w:szCs w:val="70"/>
        </w:rPr>
        <w:t>名词解释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center"/>
        <w:rPr>
          <w:sz w:val="72"/>
          <w:szCs w:val="7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财政拨款收入：指单位本年度从同级财政部门取得的各类财政拨款。</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2．上级补助收入：指事业单位从主管部门和上级单位取得的非财政补助收入。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5．对附属单位补助支出：指事业单位用财政拨款收入之外的收入对附属单位补助发生的支出。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6．经营支出：指事业单位在专业业务活动及其辅助活动之外开展非独立核算经营活动发生的支出。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7</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事业收入：指事业单位开展专业业务活动及其辅助活动取得的</w:t>
      </w:r>
      <w:bookmarkStart w:id="2" w:name="28"/>
      <w:bookmarkEnd w:id="2"/>
      <w:r>
        <w:rPr>
          <w:rFonts w:hint="default" w:ascii="Times New Roman" w:hAnsi="Times New Roman" w:eastAsia="仿宋_GB2312"/>
          <w:sz w:val="32"/>
          <w:szCs w:val="32"/>
          <w:lang w:val="en-US" w:eastAsia="zh-CN"/>
        </w:rPr>
        <w:t>收入，事业单位收到的财政专户实际核拨的教育收费等资金在此反映。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8．经营收入：指事业单位在专业业务活动及其辅助活动之外开展</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非独立核算经营活动取得的收入。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9．附属单位上缴收入：指事业单位附属独立核算单位按照有关规</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定上缴的收入。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10．其他收入：指单位取得的除上述“财政拨款收入”、“事业收入”、“经营收入”等以外的各项收入。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11．使用非财政拨款结余：指事业单位使用非财政拨款结余（原事业基金）弥补当年收支差额的数额。</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12．年初结转和结余：指单位上年结转本年使用的基本支出结转、项目支出结转和结余和经营结余。</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13．结余分配：指事业单位按规定对非财政拨款结余资金提取的专用基金、缴纳的所得税和转入非财政拨款结余等。</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14．年末结转和结余资金：指本年度或以前年度预算安排、因客观条件发生变化无法按原计划实施，需要延迟到以后年度按有关规定继续使用的资金。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15．基本支出：指为保障机构正常运转、完成日常工作任务而发生的支出，包括人员经费和公用经费。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16．项目支出：指在为完成特定的工作任务和事业发展目标所发生的支出。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17．上缴上级支出：指事业单位按照财政部门和主管部门的规定上缴上级单位的支出。</w:t>
      </w:r>
    </w:p>
    <w:p>
      <w:pPr>
        <w:pStyle w:val="12"/>
        <w:jc w:val="both"/>
        <w:rPr>
          <w:sz w:val="72"/>
          <w:szCs w:val="72"/>
        </w:rPr>
      </w:pPr>
      <w:bookmarkStart w:id="3" w:name="29"/>
      <w:bookmarkEnd w:id="3"/>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ind w:firstLine="640" w:firstLineChars="200"/>
        <w:jc w:val="left"/>
        <w:rPr>
          <w:rFonts w:cs="黑体" w:asciiTheme="minorEastAsia" w:hAnsiTheme="minorEastAsia"/>
          <w:color w:val="000000"/>
          <w:kern w:val="0"/>
          <w:sz w:val="32"/>
          <w:szCs w:val="32"/>
        </w:rPr>
      </w:pPr>
    </w:p>
    <w:p>
      <w:pPr>
        <w:pStyle w:val="12"/>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2024年道县</w:t>
      </w:r>
      <w:r>
        <w:rPr>
          <w:rFonts w:hint="eastAsia" w:ascii="方正小标宋简体" w:hAnsi="方正小标宋简体" w:eastAsia="方正小标宋简体" w:cs="方正小标宋简体"/>
          <w:b w:val="0"/>
          <w:bCs w:val="0"/>
          <w:sz w:val="44"/>
          <w:szCs w:val="44"/>
        </w:rPr>
        <w:t>陈树湘烈士纪念馆</w:t>
      </w:r>
    </w:p>
    <w:p>
      <w:pPr>
        <w:ind w:firstLine="880" w:firstLineChars="2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一、基本情况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(一）部门（单位）基本情况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陈树湘烈士纪念馆为副处级公益一类事业单位，内设4个部门，综合部、史料展陈部、宣传教育部、文保后勤部。在职人数17人，其中副处级1人，正副科级6人，其他人员10人。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主要职能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陈树湘烈士纪念馆是为纪念中国工农红军第五军团第三十四师师长陈树湘及红三十四师全体将士而建，为湖南省爱国主义教育基地、湖南省党性教育基地、湖南省华侨文化交流基地；陈树湘烈士墓为湖南省第十批省级文物保护单位。充分利用陈树湘烈士红色文化资源，打造成红色教育基地和红色文化景区，更多游人到景区接受红色教育。 </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（二）部门（单位）年度整体支出绩效目标，省级专项资金绩效目标、其他项目支出（除省级专项资金以外）绩效目标</w:t>
      </w:r>
    </w:p>
    <w:p>
      <w:pPr>
        <w:keepNext w:val="0"/>
        <w:keepLines w:val="0"/>
        <w:pageBreakBefore w:val="0"/>
        <w:widowControl w:val="0"/>
        <w:kinsoku/>
        <w:wordWrap/>
        <w:overflowPunct/>
        <w:topLinePunct w:val="0"/>
        <w:autoSpaceDE/>
        <w:autoSpaceDN/>
        <w:bidi w:val="0"/>
        <w:spacing w:line="500" w:lineRule="exact"/>
        <w:ind w:left="15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年度总体支出绩效目标：</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1、开展清明祭树湘纪念活动；</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2、陈树湘烈士纪念馆基建；</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3、举行9.30国家烈士公祭仪式；</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4、开展纪念馆宣传广告；</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5、进行陈树湘红色文化园维护养护；</w:t>
      </w:r>
    </w:p>
    <w:p>
      <w:pPr>
        <w:pStyle w:val="13"/>
        <w:keepNext w:val="0"/>
        <w:keepLines w:val="0"/>
        <w:pageBreakBefore w:val="0"/>
        <w:widowControl w:val="0"/>
        <w:kinsoku/>
        <w:wordWrap/>
        <w:overflowPunct/>
        <w:topLinePunct w:val="0"/>
        <w:autoSpaceDE/>
        <w:autoSpaceDN/>
        <w:bidi w:val="0"/>
        <w:spacing w:line="500" w:lineRule="exact"/>
        <w:ind w:left="42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6、陈树湘烈士牺牲地维护养护。</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二、一般公共预算支出情况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2024年陈树湘纪念馆整体支出415.40万元。一般公共预算财政拨款收入415.40万元。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基本支出情况：基本支出227.60万元，其中：基本工资支出64.97万元,津贴补贴30.64万元，奖金40.63万元，绩效工资12.41万元，基本养老保险25.63万元，医疗保险经费11.33，住房公积金11.19万元。一般商品服务支出30.79万元:办公费7.56万元；印刷费2.05万元；水费1.25万元；电费1.30万元；公务接待费2.59万元；工会经费6万元；福利费2.75万元；其他交通费5.29万元；其它商品和服务支出2万元。</w:t>
      </w:r>
    </w:p>
    <w:p>
      <w:pPr>
        <w:keepNext w:val="0"/>
        <w:keepLines w:val="0"/>
        <w:pageBreakBefore w:val="0"/>
        <w:widowControl w:val="0"/>
        <w:kinsoku/>
        <w:wordWrap/>
        <w:overflowPunct/>
        <w:topLinePunct w:val="0"/>
        <w:autoSpaceDE/>
        <w:autoSpaceDN/>
        <w:bidi w:val="0"/>
        <w:spacing w:line="500" w:lineRule="exact"/>
        <w:ind w:left="14" w:leftChars="7"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支出情况：2024年年初预算数为187.80万元，其中：纪念馆运营管理费113.40万元；文旅及各类节庆活动（专批）30.70万元；陈树湘新增游客中心生态停车场运营管理费（核拨）16.8万元；陈树湘烈士牺牲地（石马神村）运营管理费10万元；申报全国爱国主义教育示范基地工作经费10万元；花篮及鲜花（核拨）5万元；陈树湘智慧景区云主机租赁费（核拨）1.9万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三、政府性基金预算支出情况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陈树湘烈士纪念馆2024年无政府性基金预算。</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四、国有资本经营预算支出情况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陈树湘烈士纪念馆2024年无国有资本经营预算支出。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五、社会保险基金预算支出情况</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陈树湘烈士纪念馆2024年无社会保险基金预算支出。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六、部门整体支出绩效情况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陈树湘烈士纪念馆在县委、县政府的坚强领导下，在各部门的大力支持下，通过深入贯彻习近平文化思想和习近平总书记考察湖南时的重要讲话精神，依托道县深厚的红色文化底蕴，立足工作实际，发挥资源优势，在建阵地、富馆藏、抓宣教、促传承、强服务等方面取得比较好的工作成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1.树湘馆成功获评湖南省社会科学普及基地（2024年全市1个）,并获永州市社会科学普及基地考核优秀等次（全市共3个）。</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2.树湘馆成功获评湖南省少先队校外实践教育营地（全市共3个）。</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3.成功接待包括共青团中央书记处第一书记阿东，中国社会科学院原院长王伟光，省政协副主席赖明勇、何寄华和省人大常委会原副主任谢勇等在内的多位重宾，收到了良好效果。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4.永州职业技术学院、永州师范高等专科学校思政课教学基地在树湘馆挂牌；广东省能源集团贵州有限公司华中分公司党员教育基地在树湘馆挂牌。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5.积极配合中央广播电视总台综合频道《国家荣光-陈树湘》专题片拍摄，2024年</w:t>
      </w:r>
      <w:r>
        <w:rPr>
          <w:rFonts w:hint="default" w:ascii="仿宋_GB2312" w:hAnsi="仿宋_GB2312" w:eastAsia="仿宋_GB2312" w:cs="仿宋_GB2312"/>
          <w:color w:val="auto"/>
          <w:sz w:val="32"/>
          <w:szCs w:val="32"/>
          <w:highlight w:val="none"/>
          <w:lang w:val="en-US" w:eastAsia="zh-CN"/>
        </w:rPr>
        <w:t>11月21日在央视综合频道（CCTV-1）播出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时长45分钟</w:t>
      </w:r>
      <w:r>
        <w:rPr>
          <w:rFonts w:hint="eastAsia" w:ascii="仿宋_GB2312" w:hAnsi="仿宋_GB2312" w:eastAsia="仿宋_GB2312" w:cs="仿宋_GB2312"/>
          <w:color w:val="auto"/>
          <w:sz w:val="32"/>
          <w:szCs w:val="32"/>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6.2024年，共免费讲解600余场，宣讲红色微党课90余场，共接待游客56万余人，机关团体700余个，红色研学人员2万余人，特别在国庆假期期间共接待游客29894人，日均2000余人，并在湖南新闻联播播出报道。</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7.精心组织“清明祭英烈”专项活动、“9.30”公祭活动、“传承红色文化 倡导文明新风”有奖互动贺新春系列活动、农村留守儿童暑假红色夏令营活动，获得良好反响，得到了社会各界的充分肯定。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8.2024年4月1日，红34师烈士后代向树湘馆捐赠5件珍贵历史文物。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9.结合文明创建“德润人心”行动，开展“忠诚正道”红领巾红色微宣讲讲解员培训工作，选拔了10名中小学生参加讲解培训和义务讲解工作。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10.提拔重用4名干部，另有1名干部到乡镇挂职锻炼，4名干部进入全县优秀年轻干部后备库。3月份，完成陈树湘烈士纪念馆党支部换届工作。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七、存在</w:t>
      </w:r>
      <w:bookmarkStart w:id="4" w:name="_GoBack"/>
      <w:bookmarkEnd w:id="4"/>
      <w:r>
        <w:rPr>
          <w:rFonts w:hint="eastAsia" w:ascii="黑体" w:hAnsi="黑体" w:eastAsia="黑体" w:cs="黑体"/>
          <w:b/>
          <w:bCs/>
          <w:sz w:val="32"/>
          <w:szCs w:val="32"/>
        </w:rPr>
        <w:t>的问题及原因分析</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理论武装有待加强;专业人才比较缺乏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运营管理不够规范，接待能力有所不足，景观质量仍需提升</w:t>
      </w:r>
      <w:r>
        <w:rPr>
          <w:rFonts w:hint="eastAsia" w:ascii="仿宋_GB2312" w:hAnsi="仿宋_GB2312" w:eastAsia="仿宋_GB2312" w:cs="仿宋_GB2312"/>
          <w:color w:val="auto"/>
          <w:sz w:val="32"/>
          <w:szCs w:val="32"/>
        </w:rPr>
        <w:t>等短板。</w:t>
      </w:r>
      <w:r>
        <w:rPr>
          <w:rFonts w:hint="eastAsia" w:ascii="仿宋_GB2312" w:hAnsi="仿宋_GB2312" w:eastAsia="仿宋_GB2312" w:cs="仿宋_GB2312"/>
          <w:color w:val="auto"/>
          <w:kern w:val="2"/>
          <w:sz w:val="32"/>
          <w:szCs w:val="32"/>
          <w:highlight w:val="none"/>
          <w:lang w:val="en-US" w:eastAsia="zh-CN" w:bidi="ar-SA"/>
        </w:rPr>
        <w:t>专项资金拨付不及时，资金使用与专项工作运行时间不对口，凸显出账目不规范。</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1、严格按照《会计法》、《行政事业单位会计制度》等规定执行财务核算，结合实际情况，完整、准确披露相关信息，做到决算和预算相结合。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2、加强资金的使用管理，让各类资金用到实处。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3、加强队伍建设，抓好绩效评价管理部门的队伍建设和业务指导，培养部门的绩效管理队伍，建立绩效评价的长期机制。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本年度绩效自评结果为95分。按规定时间内将2024年度专项资金绩效自评报告、整体部门支出绩效自评报告在本部门门户网站公开，并接受社会监督。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陈树湘烈士纪念馆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2025年6月18日</w:t>
      </w:r>
    </w:p>
    <w:p>
      <w:pPr>
        <w:ind w:firstLine="640" w:firstLineChars="200"/>
        <w:jc w:val="left"/>
        <w:rPr>
          <w:rFonts w:cs="黑体" w:asciiTheme="minorEastAsia" w:hAnsiTheme="minorEastAsia"/>
          <w:color w:val="000000"/>
          <w:kern w:val="0"/>
          <w:sz w:val="32"/>
          <w:szCs w:val="32"/>
        </w:rPr>
      </w:pPr>
    </w:p>
    <w:sectPr>
      <w:pgSz w:w="11906" w:h="16838"/>
      <w:pgMar w:top="720" w:right="720" w:bottom="567"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0A05D4"/>
    <w:rsid w:val="11F1104F"/>
    <w:rsid w:val="16473CF8"/>
    <w:rsid w:val="16834396"/>
    <w:rsid w:val="17D03743"/>
    <w:rsid w:val="1C533032"/>
    <w:rsid w:val="1D99667B"/>
    <w:rsid w:val="1EAF7992"/>
    <w:rsid w:val="20CC5B0E"/>
    <w:rsid w:val="221C27B9"/>
    <w:rsid w:val="2A005E38"/>
    <w:rsid w:val="2C853F11"/>
    <w:rsid w:val="2FB14C9D"/>
    <w:rsid w:val="30CC0162"/>
    <w:rsid w:val="31A90E35"/>
    <w:rsid w:val="347D25A2"/>
    <w:rsid w:val="36501413"/>
    <w:rsid w:val="372907BF"/>
    <w:rsid w:val="3A2636DC"/>
    <w:rsid w:val="3AAE1F12"/>
    <w:rsid w:val="3BFA59F5"/>
    <w:rsid w:val="3C93043D"/>
    <w:rsid w:val="3D152858"/>
    <w:rsid w:val="3F301F5C"/>
    <w:rsid w:val="42997C24"/>
    <w:rsid w:val="43792ACE"/>
    <w:rsid w:val="459F0951"/>
    <w:rsid w:val="47585FA5"/>
    <w:rsid w:val="53300DE6"/>
    <w:rsid w:val="54324CFF"/>
    <w:rsid w:val="54870940"/>
    <w:rsid w:val="54B24092"/>
    <w:rsid w:val="552F6557"/>
    <w:rsid w:val="55B55BE8"/>
    <w:rsid w:val="55F14746"/>
    <w:rsid w:val="571B7CCD"/>
    <w:rsid w:val="57F81DBC"/>
    <w:rsid w:val="5D9231A4"/>
    <w:rsid w:val="5DFD637E"/>
    <w:rsid w:val="5E0A2849"/>
    <w:rsid w:val="61875944"/>
    <w:rsid w:val="623D1284"/>
    <w:rsid w:val="64E5191A"/>
    <w:rsid w:val="65A802BC"/>
    <w:rsid w:val="6759039D"/>
    <w:rsid w:val="69D97048"/>
    <w:rsid w:val="6E844BCD"/>
    <w:rsid w:val="6F3D09AC"/>
    <w:rsid w:val="6F991755"/>
    <w:rsid w:val="702C73BF"/>
    <w:rsid w:val="71246B35"/>
    <w:rsid w:val="7487654A"/>
    <w:rsid w:val="765326EA"/>
    <w:rsid w:val="794E1CDB"/>
    <w:rsid w:val="7A165705"/>
    <w:rsid w:val="7A225FF7"/>
    <w:rsid w:val="7C6F6241"/>
    <w:rsid w:val="7D222E16"/>
    <w:rsid w:val="7DC91981"/>
    <w:rsid w:val="7DCA301C"/>
    <w:rsid w:val="7E7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ody Text"/>
    <w:basedOn w:val="1"/>
    <w:next w:val="4"/>
    <w:unhideWhenUsed/>
    <w:qFormat/>
    <w:uiPriority w:val="99"/>
    <w:pPr>
      <w:spacing w:after="120"/>
    </w:pPr>
  </w:style>
  <w:style w:type="paragraph" w:styleId="4">
    <w:name w:val="Body Text First Indent"/>
    <w:basedOn w:val="3"/>
    <w:qFormat/>
    <w:uiPriority w:val="0"/>
    <w:pPr>
      <w:widowControl w:val="0"/>
      <w:autoSpaceDE w:val="0"/>
      <w:autoSpaceDN w:val="0"/>
      <w:ind w:left="112" w:firstLine="420" w:firstLineChars="100"/>
      <w:jc w:val="both"/>
    </w:pPr>
    <w:rPr>
      <w:rFonts w:ascii="Calibri" w:hAnsi="Calibri" w:eastAsia="微软雅黑" w:cs="Times New Roman"/>
      <w:kern w:val="2"/>
      <w:sz w:val="28"/>
      <w:szCs w:val="28"/>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paragraph" w:customStyle="1" w:styleId="15">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1464</Words>
  <Characters>1701</Characters>
  <Lines>69</Lines>
  <Paragraphs>19</Paragraphs>
  <TotalTime>3</TotalTime>
  <ScaleCrop>false</ScaleCrop>
  <LinksUpToDate>false</LinksUpToDate>
  <CharactersWithSpaces>1768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2023-09-08T11:01:00Z</cp:lastPrinted>
  <dcterms:modified xsi:type="dcterms:W3CDTF">2025-08-28T00:41:54Z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33798F5AB3F240F5ACAF3BFC1B47D565</vt:lpwstr>
  </property>
  <property fmtid="{D5CDD505-2E9C-101B-9397-08002B2CF9AE}" pid="4" name="KSOTemplateDocerSaveRecord">
    <vt:lpwstr>eyJoZGlkIjoiYzYxN2RkYTBhNDA4MWUzNzRmMDdiN2FlZjRjZGVhMTQifQ==</vt:lpwstr>
  </property>
</Properties>
</file>