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ABADF">
      <w:pPr>
        <w:widowControl/>
        <w:spacing w:line="600" w:lineRule="exact"/>
        <w:jc w:val="center"/>
        <w:rPr>
          <w:rFonts w:hint="eastAsia" w:ascii="方正小标宋简体" w:hAnsi="方正小标宋简体" w:eastAsia="方正小标宋简体" w:cs="方正小标宋简体"/>
          <w:b w:val="0"/>
          <w:bCs w:val="0"/>
          <w:sz w:val="44"/>
          <w:szCs w:val="44"/>
        </w:rPr>
      </w:pPr>
      <w:bookmarkStart w:id="0" w:name="_GoBack"/>
      <w:bookmarkEnd w:id="0"/>
      <w:r>
        <w:rPr>
          <w:rFonts w:hint="eastAsia" w:ascii="方正小标宋简体" w:hAnsi="方正小标宋简体" w:eastAsia="方正小标宋简体" w:cs="方正小标宋简体"/>
          <w:b w:val="0"/>
          <w:bCs w:val="0"/>
          <w:sz w:val="44"/>
          <w:szCs w:val="44"/>
        </w:rPr>
        <w:t>2024年月岩-周敦颐故里风景名胜区管理处</w:t>
      </w:r>
      <w:r>
        <w:rPr>
          <w:rFonts w:hint="eastAsia" w:ascii="方正小标宋简体" w:hAnsi="方正小标宋简体" w:eastAsia="方正小标宋简体" w:cs="方正小标宋简体"/>
          <w:b w:val="0"/>
          <w:bCs w:val="0"/>
          <w:sz w:val="44"/>
          <w:szCs w:val="44"/>
          <w:lang w:eastAsia="zh-CN"/>
        </w:rPr>
        <w:t>整体支出</w:t>
      </w:r>
      <w:r>
        <w:rPr>
          <w:rFonts w:hint="eastAsia" w:ascii="方正小标宋简体" w:hAnsi="方正小标宋简体" w:eastAsia="方正小标宋简体" w:cs="方正小标宋简体"/>
          <w:b w:val="0"/>
          <w:bCs w:val="0"/>
          <w:sz w:val="44"/>
          <w:szCs w:val="44"/>
        </w:rPr>
        <w:t>绩效自评报告</w:t>
      </w:r>
    </w:p>
    <w:p w14:paraId="4EBEA806">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一、基本情况</w:t>
      </w:r>
    </w:p>
    <w:p w14:paraId="0A607207">
      <w:pPr>
        <w:ind w:firstLine="640" w:firstLineChars="200"/>
        <w:rPr>
          <w:rFonts w:hint="eastAsia" w:ascii="宋体" w:hAnsi="宋体" w:eastAsia="宋体" w:cs="宋体"/>
          <w:sz w:val="32"/>
          <w:szCs w:val="32"/>
        </w:rPr>
      </w:pPr>
      <w:r>
        <w:rPr>
          <w:rFonts w:hint="eastAsia" w:ascii="宋体" w:hAnsi="宋体" w:eastAsia="宋体" w:cs="宋体"/>
          <w:sz w:val="32"/>
          <w:szCs w:val="32"/>
        </w:rPr>
        <w:t>(一）部门（单位）基本情况</w:t>
      </w:r>
    </w:p>
    <w:p w14:paraId="691198AE">
      <w:pPr>
        <w:ind w:firstLine="640" w:firstLineChars="200"/>
        <w:rPr>
          <w:rFonts w:hint="eastAsia" w:ascii="宋体" w:hAnsi="宋体" w:eastAsia="宋体" w:cs="宋体"/>
          <w:sz w:val="32"/>
          <w:szCs w:val="32"/>
        </w:rPr>
      </w:pPr>
      <w:r>
        <w:rPr>
          <w:rFonts w:hint="eastAsia" w:ascii="宋体" w:hAnsi="宋体" w:eastAsia="宋体" w:cs="宋体"/>
          <w:sz w:val="32"/>
          <w:szCs w:val="32"/>
        </w:rPr>
        <w:t>月岩-周敦颐故里风景名胜区管理处为副处级单位，内设4个科室:综合办公室、旅游发展科、工程建设科、文物保护科，编制数16人，其中正副科级7人，其它人员7人，实际在岗15人，实有车辆0台。</w:t>
      </w:r>
    </w:p>
    <w:p w14:paraId="7ABF60BF">
      <w:pPr>
        <w:ind w:firstLine="640" w:firstLineChars="200"/>
        <w:rPr>
          <w:rFonts w:hint="eastAsia" w:ascii="宋体" w:hAnsi="宋体" w:eastAsia="宋体" w:cs="宋体"/>
          <w:sz w:val="32"/>
          <w:szCs w:val="32"/>
        </w:rPr>
      </w:pPr>
      <w:r>
        <w:rPr>
          <w:rFonts w:hint="eastAsia" w:ascii="宋体" w:hAnsi="宋体" w:eastAsia="宋体" w:cs="宋体"/>
          <w:sz w:val="32"/>
          <w:szCs w:val="32"/>
        </w:rPr>
        <w:t>主要职能 ：</w:t>
      </w:r>
    </w:p>
    <w:p w14:paraId="5FDCFE40">
      <w:pPr>
        <w:ind w:firstLine="640" w:firstLineChars="200"/>
        <w:rPr>
          <w:rFonts w:hint="eastAsia" w:ascii="宋体" w:hAnsi="宋体" w:eastAsia="宋体" w:cs="宋体"/>
          <w:sz w:val="32"/>
          <w:szCs w:val="32"/>
        </w:rPr>
      </w:pPr>
      <w:r>
        <w:rPr>
          <w:rFonts w:hint="eastAsia" w:ascii="宋体" w:hAnsi="宋体" w:eastAsia="宋体" w:cs="宋体"/>
          <w:sz w:val="32"/>
          <w:szCs w:val="32"/>
        </w:rPr>
        <w:t>根据《湖南省风景名胜区管理条例》规定，月岩-周敦颐故里风景名胜区管理处主要是保护月岩、周敦颐故里、玉蟾岩国保单位的古迹，开发名胜古迹，供游人参观</w:t>
      </w:r>
    </w:p>
    <w:p w14:paraId="1AA4DF6E">
      <w:pPr>
        <w:ind w:firstLine="640" w:firstLineChars="200"/>
        <w:rPr>
          <w:rFonts w:hint="eastAsia" w:ascii="宋体" w:hAnsi="宋体" w:eastAsia="宋体" w:cs="宋体"/>
          <w:sz w:val="32"/>
          <w:szCs w:val="32"/>
        </w:rPr>
      </w:pPr>
      <w:r>
        <w:rPr>
          <w:rFonts w:hint="eastAsia" w:ascii="宋体" w:hAnsi="宋体" w:eastAsia="宋体" w:cs="宋体"/>
          <w:sz w:val="32"/>
          <w:szCs w:val="32"/>
        </w:rPr>
        <w:t>（二）部门（单位）年度整体支出绩效目标，省级专项资金绩效目标、其他项目支出（除省级专项资金以外）绩效目标</w:t>
      </w:r>
    </w:p>
    <w:p w14:paraId="25449273">
      <w:pPr>
        <w:ind w:left="150" w:firstLine="640" w:firstLineChars="200"/>
        <w:rPr>
          <w:rFonts w:hint="eastAsia" w:ascii="宋体" w:hAnsi="宋体" w:eastAsia="宋体" w:cs="宋体"/>
          <w:sz w:val="32"/>
          <w:szCs w:val="32"/>
        </w:rPr>
      </w:pPr>
      <w:r>
        <w:rPr>
          <w:rFonts w:hint="eastAsia" w:ascii="宋体" w:hAnsi="宋体" w:eastAsia="宋体" w:cs="宋体"/>
          <w:sz w:val="32"/>
          <w:szCs w:val="32"/>
        </w:rPr>
        <w:t>1、年度总体支出绩效目标：</w:t>
      </w:r>
    </w:p>
    <w:p w14:paraId="77BF7874">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目标1、完成对濂溪总祠项目的立项、放线、踏界、设计、预算。</w:t>
      </w:r>
    </w:p>
    <w:p w14:paraId="29EC20BB">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目标2、完成月岩景区停车场新建厕所工程的建设、验收，财政结算评审。</w:t>
      </w:r>
    </w:p>
    <w:p w14:paraId="7BED319D">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目标3、完成周敦颐故居布展的设计和预算。</w:t>
      </w:r>
    </w:p>
    <w:p w14:paraId="481B45A1">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目标4、完成风景区疑似图斑核查。</w:t>
      </w:r>
    </w:p>
    <w:p w14:paraId="43B3469B">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目标5、完成濂溪故里古建筑群修缮二期工程的设计。</w:t>
      </w:r>
    </w:p>
    <w:p w14:paraId="0E064B7F">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目标6、完成濂溪故里古建筑群安防、防雷计划项目上报省文物局。</w:t>
      </w:r>
    </w:p>
    <w:p w14:paraId="7A4082DF">
      <w:pPr>
        <w:snapToGrid w:val="0"/>
        <w:spacing w:line="600" w:lineRule="exact"/>
        <w:ind w:left="559" w:firstLine="640" w:firstLineChars="200"/>
        <w:rPr>
          <w:rFonts w:hint="eastAsia" w:ascii="宋体" w:hAnsi="宋体" w:eastAsia="宋体" w:cs="宋体"/>
          <w:sz w:val="32"/>
          <w:szCs w:val="32"/>
        </w:rPr>
      </w:pPr>
      <w:r>
        <w:rPr>
          <w:rFonts w:hint="eastAsia" w:ascii="宋体" w:hAnsi="宋体" w:eastAsia="宋体" w:cs="宋体"/>
          <w:sz w:val="32"/>
          <w:szCs w:val="32"/>
        </w:rPr>
        <w:t>目标7、加强基础建设，完善景区遗留部分断头路和安全护栏。             目标8、智慧景区、导视系统（标识标牌）等工程均处在建设和不断完善中。</w:t>
      </w:r>
    </w:p>
    <w:p w14:paraId="7FBA0C2C">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二、一般公共预算支出情况</w:t>
      </w:r>
    </w:p>
    <w:p w14:paraId="39E09C02">
      <w:pPr>
        <w:snapToGrid w:val="0"/>
        <w:spacing w:line="600" w:lineRule="exact"/>
        <w:ind w:firstLine="640" w:firstLineChars="200"/>
        <w:rPr>
          <w:rFonts w:hint="eastAsia" w:ascii="宋体" w:hAnsi="宋体" w:eastAsia="宋体" w:cs="宋体"/>
          <w:b/>
          <w:bCs/>
          <w:sz w:val="32"/>
          <w:szCs w:val="32"/>
        </w:rPr>
      </w:pPr>
      <w:r>
        <w:rPr>
          <w:rFonts w:hint="eastAsia" w:ascii="宋体" w:hAnsi="宋体" w:eastAsia="宋体" w:cs="宋体"/>
          <w:sz w:val="32"/>
          <w:szCs w:val="32"/>
        </w:rPr>
        <w:t>2024年月岩-周敦颐故里风景名胜区管理处整体支出9266.12万元。一般公共预算财政拨款收入558.84万元。</w:t>
      </w:r>
    </w:p>
    <w:p w14:paraId="4B41602D">
      <w:pPr>
        <w:numPr>
          <w:ilvl w:val="0"/>
          <w:numId w:val="1"/>
        </w:numPr>
        <w:ind w:firstLine="640" w:firstLineChars="200"/>
        <w:rPr>
          <w:rFonts w:hint="eastAsia" w:ascii="宋体" w:hAnsi="宋体" w:eastAsia="宋体" w:cs="宋体"/>
          <w:sz w:val="32"/>
          <w:szCs w:val="32"/>
        </w:rPr>
      </w:pPr>
      <w:r>
        <w:rPr>
          <w:rFonts w:hint="eastAsia" w:ascii="宋体" w:hAnsi="宋体" w:eastAsia="宋体" w:cs="宋体"/>
          <w:sz w:val="32"/>
          <w:szCs w:val="32"/>
        </w:rPr>
        <w:t>基本支出情况：基本支出192.14万元，其中：基本工资支出63.29万元,奖金25.57万元,绩效工资36.51万元,基本养老保险22.28万元，医疗保险经费10.14万元，住房公积金10.30万元。一般商品服务支出23.75万元：办公费4.95万元；印刷费2.46万元；水费0.20万元；电费0.30万元；邮电费1.37万元;差旅费2.81万元；公务接待费1.94万元；工会经费8.10万元；其他交通费1.25万元; 其他商品和服务支出0.38万元。</w:t>
      </w:r>
    </w:p>
    <w:p w14:paraId="4A2EAF09">
      <w:pPr>
        <w:ind w:firstLine="640" w:firstLineChars="200"/>
        <w:rPr>
          <w:rFonts w:hint="eastAsia" w:ascii="宋体" w:hAnsi="宋体" w:eastAsia="宋体" w:cs="宋体"/>
          <w:sz w:val="32"/>
          <w:szCs w:val="32"/>
        </w:rPr>
      </w:pPr>
      <w:r>
        <w:rPr>
          <w:rFonts w:hint="eastAsia" w:ascii="宋体" w:hAnsi="宋体" w:eastAsia="宋体" w:cs="宋体"/>
          <w:sz w:val="32"/>
          <w:szCs w:val="32"/>
        </w:rPr>
        <w:t>（二）项目支出情况：2024年年初预算数为366.7万元，其中：周敦颐故里运营管理经费（专批）108万元；月岩玉蟾岩楼田故里保护经费（核拨）8万元；“楼田惨案”爱教基地经费6万元；自然保护地巡查、核查、执法（专批）7万元；周子理学文化协会10万元；游客集散中心荷花池租金10万元；2024年物业服务费缺口资金60万元；月岩景区运营管理10万元；第十一届周敦颐国际理学文化节活动筹备工作经费6万元; 白蚁防治13万元; 道县濂溪博物馆改造工程 60.6万元; 新游客中心室内配套设施设备68.10万元。</w:t>
      </w:r>
    </w:p>
    <w:p w14:paraId="6E7F9294">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三、政府性基金预算支出情况</w:t>
      </w:r>
    </w:p>
    <w:p w14:paraId="4E16F62B">
      <w:pPr>
        <w:pStyle w:val="22"/>
        <w:ind w:firstLine="640" w:firstLineChars="200"/>
        <w:rPr>
          <w:rFonts w:hint="eastAsia" w:ascii="宋体" w:hAnsi="宋体" w:eastAsia="宋体" w:cs="宋体"/>
          <w:sz w:val="32"/>
          <w:szCs w:val="32"/>
        </w:rPr>
      </w:pPr>
      <w:r>
        <w:rPr>
          <w:rFonts w:hint="eastAsia" w:ascii="宋体" w:hAnsi="宋体" w:eastAsia="宋体" w:cs="宋体"/>
          <w:sz w:val="32"/>
          <w:szCs w:val="32"/>
        </w:rPr>
        <w:t>月岩-周敦颐故里风景名胜区管理处2024年政府性基金预算8707.28万元,其中: 2024年周敦颐廉洁文化展示馆运营管理费用（专批）3.28万元; 玉蟾岩遗址保护规划所需地形测绘费用4万元; 濂溪故里景区提质升级建设项目8700万元。</w:t>
      </w:r>
    </w:p>
    <w:p w14:paraId="2AE97E75">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四、国有资本经营预算支出情况</w:t>
      </w:r>
    </w:p>
    <w:p w14:paraId="7322166C">
      <w:pPr>
        <w:ind w:firstLine="640" w:firstLineChars="200"/>
        <w:rPr>
          <w:rFonts w:hint="eastAsia" w:ascii="宋体" w:hAnsi="宋体" w:eastAsia="宋体" w:cs="宋体"/>
          <w:b/>
          <w:bCs/>
          <w:sz w:val="32"/>
          <w:szCs w:val="32"/>
        </w:rPr>
      </w:pPr>
      <w:r>
        <w:rPr>
          <w:rFonts w:hint="eastAsia" w:ascii="宋体" w:hAnsi="宋体" w:eastAsia="宋体" w:cs="宋体"/>
          <w:sz w:val="32"/>
          <w:szCs w:val="32"/>
        </w:rPr>
        <w:t>月岩-周敦颐故里风景名胜区管理处2024年无国有资本经营预算支出。</w:t>
      </w:r>
    </w:p>
    <w:p w14:paraId="43E50281">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五、社会保险基金预算支出情况</w:t>
      </w:r>
    </w:p>
    <w:p w14:paraId="300A8787">
      <w:pPr>
        <w:ind w:firstLine="640" w:firstLineChars="200"/>
        <w:rPr>
          <w:rFonts w:hint="eastAsia" w:ascii="宋体" w:hAnsi="宋体" w:eastAsia="宋体" w:cs="宋体"/>
          <w:sz w:val="32"/>
          <w:szCs w:val="32"/>
        </w:rPr>
      </w:pPr>
      <w:r>
        <w:rPr>
          <w:rFonts w:hint="eastAsia" w:ascii="宋体" w:hAnsi="宋体" w:eastAsia="宋体" w:cs="宋体"/>
          <w:sz w:val="32"/>
          <w:szCs w:val="32"/>
        </w:rPr>
        <w:t>月岩-周敦颐故里风景名胜区管理处2024年无社会保险基金预算支出。</w:t>
      </w:r>
    </w:p>
    <w:p w14:paraId="5AF069B8">
      <w:pPr>
        <w:numPr>
          <w:ilvl w:val="0"/>
          <w:numId w:val="2"/>
        </w:num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部门整体支出绩效情况</w:t>
      </w:r>
    </w:p>
    <w:p w14:paraId="0EB02528">
      <w:pPr>
        <w:pStyle w:val="2"/>
        <w:spacing w:before="240" w:after="0"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2024年，月岩-周敦颐故里风景名胜区管理处在县委、县政府的正确领导下，深入学习贯彻党的二十大和二十届三中全会精神，立足景区实际，紧紧围绕县委、县政府“四个十”重点工作部署，以饱满的热情，务实的作风，扎实推动各项工作落实落地落细。现将工作情况汇报如下：</w:t>
      </w:r>
    </w:p>
    <w:p w14:paraId="44F0799B">
      <w:pPr>
        <w:widowControl/>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紧抓目标任务，推进项目建设。一是“精提升”核心景区。完成了周敦颐廉洁文化展示馆多媒体项目，投资金额153.8万元。濂溪故里景区提质升级建设项目，到位资金8700万元，完成施工图的设计和预算。濂溪总祠完成了重大项目选址论证，成功办理了林业用地及采伐手续，完成了土石方招标及开工建设。二是“微改造”配套项目。完成了濂溪故里供水工程,投资金额10.3万元。完成了濂溪故里10kv供电工程，投资金额82.4万元。完成了濂溪故里景区物业服务项目的政府采购工作，中标金额58.6万元。完成月岩景区创3A级景区基础设施建设项目专项债5500万元已获双通过，拟进入项目初步设计阶段。三是“小更新”基础设施。对景区内的道路、桥梁、栏杆、标识牌等基础设施定期进行检查和维护，确保游客的安全。同时，根据游客的需求和景区的发展，适时更新和完善了部分设施，增设了8张休息石长椅、16个垃圾桶等，提升了游客的游览体验。</w:t>
      </w:r>
    </w:p>
    <w:p w14:paraId="1C303E8B">
      <w:pPr>
        <w:widowControl/>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二）提升游览体验，强化景区管理。一是集中整治“保环境”。针对古民居、爱莲湖、休闲广场等重点区域，开展景区环境集中整治提升行动，组织人员进行拉网式卫生环境清理，新增加了保洁人员和垃圾清运次数，确保景区环境整洁干净。特别是在旅游旺季，加大了对重点区域的清扫力度，为游客营造了一个舒适、优美的环境。二是提升服务“保质量”。今年，管理处组织讲解员培训开展2期，组织保洁人员培训12余次、安保人员培训16余次，全方位大力提高了景区讲解员、保洁、保安等景区工作人员服务意识和服务水平。进一步加强对游客的引导和管理，维护了景区的正常游览秩序。三是加强巡查“保安全”。制定了完善的安全管理制度和应急预案，对古建筑、古民居群等重点场所及消防安全、食品安全、道路交通安全、特种设备等重点行业领域开展常态化风险隐患排查。节假日期间实行24小时在岗值守，解决游客高峰期景区内自来水压力低、电力不稳和手机网络信号差等问题，为游客提供了一个安全放心的游览环境。</w:t>
      </w:r>
    </w:p>
    <w:p w14:paraId="1FA53107">
      <w:pPr>
        <w:snapToGrid w:val="0"/>
        <w:spacing w:line="52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三）强化品牌引领，赋能旅游发展。一是“建品牌”扩大影响力。制定《关于扩大周敦颐理学文化思想影响力的工作实施方案》，通过举办一个节庆活动、编排一个情景剧、开办一个濂溪讲坛等“七个一”活动，全面推动周敦颐理学文化思想的传承和传播，打造一个具有国际影响力的理学文化品牌。二是“办活动”扩大传播力。对景区的旅游资源包括自然景观、文化遗产和民俗活动等进行了全面整合，并通过线上线下的多种渠道，加大对景区的宣传力度。1月，玉蟾岩遗址入选第一批省级大遗址名单；5月，全国首个周敦颐廉洁文化展馆开馆，成为打卡“廉洁新地标”，6月，在“文化中国行”活动中宣传景区，提升了景区知名度和美誉度；8月，开展“沿着周敦颐理学思想和足迹游世界”散文征文活动；11月，成功举办“周敦颐遗迹遗址地政协协商协作会议”系列活动，提升了景区的知名度和影响力。三是“推新品”扩大吸引力。与文生旅公司合作开发了一系列具有特色的旅游产品、特色线路和定制化讲解服务。加强旅游产品创新，推出新颖的旅游融合项目。今年5月道县“开展“理学圣地，龙腾潇湘”国家非遗龙船赛活动”，吸引了大量游客在观看龙舟赛的同时了解周敦颐文化思想，提高景区吸引力。四是“搞服务”扩大凝聚力。今年，高质量完成各项政务考察、各单位廉政教育、爱国主义教育、系列党员主题活动、社科、研学考察团队等接待讲解工作，其中接待中纪委、民政部、中国发展出版社、中央美院、红旗杂志、南京市、省委、省人大、省政府、省政协、省纪委、省统战部、湖南大江集团、湖南大学、湖南师范大学、永州市委、市政府、市政协、市纪委、市宣传部等全国各地政务考察与调研。</w:t>
      </w:r>
    </w:p>
    <w:p w14:paraId="2D008ED7">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四）保护文化遗产，守护文物安全。一是保护规划“绘蓝图”。编制《濂溪故里古建筑文物保护规划（2023-2035年》；启动了《玉蟾岩遗址保护规划》修编工作；申报《濂溪故里古建筑群防雷项目》；编制《玉蟾岩危岩体加固项目设计方案》。二是文物保护“抓项目”。积极申报濂溪故里古建筑群安防项目，专项保护资金352万元，现已到位资金228万元。玉蟾岩危岩体加固1200万元项目已批，周敦颐廉洁文化展示馆多媒体建设60万元，古建筑群二期修缮11万元等。三是安全整改“强保护”。根据《风景名胜区条例》和《中华人民共和国文物保护法》等法律法律要求，管理处联合有关部门，按照《月岩－周敦颐故里风景名胜区总体规划》要求，积极开展日常监管巡查工作，查处整改影响景区资源的周祖郁、周祖友违章建筑2处，确保了风景名胜区辖区内自然生态资源安全。</w:t>
      </w:r>
    </w:p>
    <w:p w14:paraId="336B8019">
      <w:pPr>
        <w:widowControl/>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五）聚焦职能职责，提升工作质效。一是强化政治理论学习。坚持“三会一课”制度，严格执行“一月一课一片一实践”活动要求，积极开展党纪学习教育，党的二十届三中全会精神学习，严格落实“第一议题制度”“</w:t>
      </w:r>
      <w:r>
        <w:rPr>
          <w:rFonts w:hint="eastAsia" w:ascii="宋体" w:hAnsi="宋体" w:eastAsia="宋体" w:cs="宋体"/>
          <w:sz w:val="32"/>
          <w:szCs w:val="32"/>
          <w:lang w:eastAsia="zh-CN"/>
        </w:rPr>
        <w:t>理论学习中心组</w:t>
      </w:r>
      <w:r>
        <w:rPr>
          <w:rFonts w:hint="eastAsia" w:ascii="宋体" w:hAnsi="宋体" w:eastAsia="宋体" w:cs="宋体"/>
          <w:sz w:val="32"/>
          <w:szCs w:val="32"/>
        </w:rPr>
        <w:t>学习制度”。截至目前，管理处</w:t>
      </w:r>
      <w:r>
        <w:rPr>
          <w:rFonts w:hint="eastAsia" w:ascii="宋体" w:hAnsi="宋体" w:eastAsia="宋体" w:cs="宋体"/>
          <w:sz w:val="32"/>
          <w:szCs w:val="32"/>
          <w:lang w:eastAsia="zh-CN"/>
        </w:rPr>
        <w:t>理论学习中心组</w:t>
      </w:r>
      <w:r>
        <w:rPr>
          <w:rFonts w:hint="eastAsia" w:ascii="宋体" w:hAnsi="宋体" w:eastAsia="宋体" w:cs="宋体"/>
          <w:sz w:val="32"/>
          <w:szCs w:val="32"/>
        </w:rPr>
        <w:t>集中学习了12次，领导班子上了4次党课，召开了12次支部委员会和7次党员大会，12次主题党日活动。二是落实意识形态工作责任制。单位主要负责人为第一责任人，通过“三带头三亲自”落实意识形态工作责任制，班子成员按照“一岗双责”要求，抓好分管科室的意识形态工作，确保上级意识形态工作的决策部署得到贯彻落实。始终坚持正确的政治方向、舆论导向、价值取向，发挥思想引领、舆论推动、精神激励的重要作用。全面提升了干部职工对意识形态工作重要性的认识，强化了意识形态工作责任。三是履行</w:t>
      </w:r>
      <w:r>
        <w:rPr>
          <w:rFonts w:hint="eastAsia" w:ascii="宋体" w:hAnsi="宋体" w:eastAsia="宋体" w:cs="宋体"/>
          <w:b/>
          <w:sz w:val="32"/>
          <w:szCs w:val="32"/>
        </w:rPr>
        <w:t>党风廉政建设责任制</w:t>
      </w:r>
      <w:r>
        <w:rPr>
          <w:rFonts w:hint="eastAsia" w:ascii="宋体" w:hAnsi="宋体" w:eastAsia="宋体" w:cs="宋体"/>
          <w:sz w:val="32"/>
          <w:szCs w:val="32"/>
        </w:rPr>
        <w:t>。准确把握党中央全面从严治党战略部署，结合清廉道州建设，不断加强党风廉政建设，进一步完善单位各项制度。坚持厉行节约的原则，强化中央八项规定及省、市、县委关于纪律要求的有关规定，组织主要领导与分管领导，分管领导与分管科室负责人签订《党风廉政建设责任书》，所有党员签订《廉政承诺书》。四是加强基层工作推动乡村振兴实效。坚持每月到联系的棉竹源村开展巩固脱贫攻坚成果与乡村振兴有效衔接工作，与结对所联系监测户、脱贫户开展帮扶。组织管理处同志按时到所结对的楼田村、月岩村开展帮扶走访，通过开展入走访、开展志愿服务等形式，认真开展乡村振兴工作，解决楼田村旅游发展、月岩村停车等问题。五是抓好创建工作提升文明形象。积极配合县里做好创建国家文明县城、国家</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"http://toutiao.eastday.com/search.html?kw=生态" \h </w:instrText>
      </w:r>
      <w:r>
        <w:rPr>
          <w:rFonts w:hint="eastAsia" w:ascii="宋体" w:hAnsi="宋体" w:eastAsia="宋体" w:cs="宋体"/>
          <w:sz w:val="32"/>
          <w:szCs w:val="32"/>
        </w:rPr>
        <w:fldChar w:fldCharType="separate"/>
      </w:r>
      <w:r>
        <w:rPr>
          <w:rFonts w:hint="eastAsia" w:ascii="宋体" w:hAnsi="宋体" w:eastAsia="宋体" w:cs="宋体"/>
          <w:sz w:val="32"/>
          <w:szCs w:val="32"/>
        </w:rPr>
        <w:t>生态</w:t>
      </w:r>
      <w:r>
        <w:rPr>
          <w:rFonts w:hint="eastAsia" w:ascii="宋体" w:hAnsi="宋体" w:eastAsia="宋体" w:cs="宋体"/>
          <w:sz w:val="32"/>
          <w:szCs w:val="32"/>
        </w:rPr>
        <w:fldChar w:fldCharType="end"/>
      </w:r>
      <w:r>
        <w:rPr>
          <w:rFonts w:hint="eastAsia" w:ascii="宋体" w:hAnsi="宋体" w:eastAsia="宋体" w:cs="宋体"/>
          <w:sz w:val="32"/>
          <w:szCs w:val="32"/>
        </w:rPr>
        <w:t>文明</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"http://toutiao.eastday.com/search.html?kw=建设" \h </w:instrText>
      </w:r>
      <w:r>
        <w:rPr>
          <w:rFonts w:hint="eastAsia" w:ascii="宋体" w:hAnsi="宋体" w:eastAsia="宋体" w:cs="宋体"/>
          <w:sz w:val="32"/>
          <w:szCs w:val="32"/>
        </w:rPr>
        <w:fldChar w:fldCharType="separate"/>
      </w:r>
      <w:r>
        <w:rPr>
          <w:rFonts w:hint="eastAsia" w:ascii="宋体" w:hAnsi="宋体" w:eastAsia="宋体" w:cs="宋体"/>
          <w:sz w:val="32"/>
          <w:szCs w:val="32"/>
        </w:rPr>
        <w:t>建设</w:t>
      </w:r>
      <w:r>
        <w:rPr>
          <w:rFonts w:hint="eastAsia" w:ascii="宋体" w:hAnsi="宋体" w:eastAsia="宋体" w:cs="宋体"/>
          <w:sz w:val="32"/>
          <w:szCs w:val="32"/>
        </w:rPr>
        <w:fldChar w:fldCharType="end"/>
      </w:r>
      <w:r>
        <w:rPr>
          <w:rFonts w:hint="eastAsia" w:ascii="宋体" w:hAnsi="宋体" w:eastAsia="宋体" w:cs="宋体"/>
          <w:sz w:val="32"/>
          <w:szCs w:val="32"/>
        </w:rPr>
        <w:t>示范县工作。组织干部职工参加每周四下午的文明创建日活动，并在景区广泛开展国家安全教育日、文明旅游宣传、生态保护宣传、成年人保护宣传、文明创建志愿活动等，提高干部群众文明创建的意识，弘扬时代新风尚。</w:t>
      </w:r>
    </w:p>
    <w:p w14:paraId="57A1B5DF">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七、存在的问题及原因分析</w:t>
      </w:r>
    </w:p>
    <w:p w14:paraId="6010206A">
      <w:pPr>
        <w:pStyle w:val="10"/>
        <w:widowControl/>
        <w:spacing w:before="0" w:beforeAutospacing="0" w:after="0" w:afterAutospacing="0" w:line="33" w:lineRule="atLeast"/>
        <w:ind w:firstLine="640" w:firstLineChars="200"/>
        <w:jc w:val="both"/>
        <w:rPr>
          <w:rFonts w:hint="eastAsia" w:ascii="宋体" w:hAnsi="宋体" w:eastAsia="宋体" w:cs="宋体"/>
          <w:kern w:val="2"/>
          <w:sz w:val="32"/>
          <w:szCs w:val="32"/>
        </w:rPr>
      </w:pPr>
      <w:r>
        <w:rPr>
          <w:rFonts w:hint="eastAsia" w:ascii="宋体" w:hAnsi="宋体" w:eastAsia="宋体" w:cs="宋体"/>
          <w:kern w:val="2"/>
          <w:sz w:val="32"/>
          <w:szCs w:val="32"/>
        </w:rPr>
        <w:t>一是专项资金拨付不及时，资金使用与专项工作运行时间不对口，凸显出账目不规范。</w:t>
      </w:r>
    </w:p>
    <w:p w14:paraId="3DAF5577">
      <w:pPr>
        <w:pStyle w:val="10"/>
        <w:widowControl/>
        <w:spacing w:before="0" w:beforeAutospacing="0" w:after="0" w:afterAutospacing="0" w:line="33" w:lineRule="atLeast"/>
        <w:ind w:firstLine="640" w:firstLineChars="200"/>
        <w:jc w:val="both"/>
        <w:rPr>
          <w:rFonts w:hint="eastAsia" w:ascii="宋体" w:hAnsi="宋体" w:eastAsia="宋体" w:cs="宋体"/>
          <w:kern w:val="2"/>
          <w:sz w:val="32"/>
          <w:szCs w:val="32"/>
        </w:rPr>
      </w:pPr>
      <w:r>
        <w:rPr>
          <w:rFonts w:hint="eastAsia" w:ascii="宋体" w:hAnsi="宋体" w:eastAsia="宋体" w:cs="宋体"/>
          <w:kern w:val="2"/>
          <w:sz w:val="32"/>
          <w:szCs w:val="32"/>
        </w:rPr>
        <w:t>二是财政预算安排单项工作经费不足，难于足额保障开展专项工作。</w:t>
      </w:r>
    </w:p>
    <w:p w14:paraId="061BDAA1">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八、下一步改进措施</w:t>
      </w:r>
    </w:p>
    <w:p w14:paraId="650DC576">
      <w:pPr>
        <w:ind w:firstLine="640" w:firstLineChars="200"/>
        <w:rPr>
          <w:rFonts w:hint="eastAsia" w:ascii="宋体" w:hAnsi="宋体" w:eastAsia="宋体" w:cs="宋体"/>
          <w:sz w:val="32"/>
          <w:szCs w:val="32"/>
        </w:rPr>
      </w:pPr>
      <w:r>
        <w:rPr>
          <w:rFonts w:hint="eastAsia" w:ascii="宋体" w:hAnsi="宋体" w:eastAsia="宋体" w:cs="宋体"/>
          <w:sz w:val="32"/>
          <w:szCs w:val="32"/>
        </w:rPr>
        <w:t>1、严格按照《会计法》、《行政事业单位会计制度》等规定执行财务核算，结合实际情况，完整、准确披露相关信息，做到决算和预算相结合。</w:t>
      </w:r>
    </w:p>
    <w:p w14:paraId="16CBC050">
      <w:pPr>
        <w:ind w:firstLine="640" w:firstLineChars="200"/>
        <w:rPr>
          <w:rFonts w:hint="eastAsia" w:ascii="宋体" w:hAnsi="宋体" w:eastAsia="宋体" w:cs="宋体"/>
          <w:sz w:val="32"/>
          <w:szCs w:val="32"/>
        </w:rPr>
      </w:pPr>
      <w:r>
        <w:rPr>
          <w:rFonts w:hint="eastAsia" w:ascii="宋体" w:hAnsi="宋体" w:eastAsia="宋体" w:cs="宋体"/>
          <w:sz w:val="32"/>
          <w:szCs w:val="32"/>
        </w:rPr>
        <w:t>2、加强资金的使用管理，让各类资金用到实处。</w:t>
      </w:r>
    </w:p>
    <w:p w14:paraId="7B187BD5">
      <w:pPr>
        <w:ind w:firstLine="640" w:firstLineChars="200"/>
        <w:rPr>
          <w:rFonts w:hint="eastAsia" w:ascii="宋体" w:hAnsi="宋体" w:eastAsia="宋体" w:cs="宋体"/>
          <w:sz w:val="32"/>
          <w:szCs w:val="32"/>
        </w:rPr>
      </w:pPr>
      <w:r>
        <w:rPr>
          <w:rFonts w:hint="eastAsia" w:ascii="宋体" w:hAnsi="宋体" w:eastAsia="宋体" w:cs="宋体"/>
          <w:sz w:val="32"/>
          <w:szCs w:val="32"/>
        </w:rPr>
        <w:t>3、加强队伍建设，抓好绩效评价管理部门的队伍建设和业务指导，培养部门的绩效管理队伍，建立绩效评价的长期机制。</w:t>
      </w:r>
    </w:p>
    <w:p w14:paraId="4486BA64">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九、绩效自评结果拟应用和公开情况</w:t>
      </w:r>
    </w:p>
    <w:p w14:paraId="1755F826">
      <w:pPr>
        <w:ind w:firstLine="640" w:firstLineChars="200"/>
        <w:rPr>
          <w:rFonts w:hint="eastAsia" w:ascii="宋体" w:hAnsi="宋体" w:eastAsia="宋体" w:cs="宋体"/>
          <w:sz w:val="32"/>
          <w:szCs w:val="32"/>
        </w:rPr>
      </w:pPr>
      <w:r>
        <w:rPr>
          <w:rFonts w:hint="eastAsia" w:ascii="宋体" w:hAnsi="宋体" w:eastAsia="宋体" w:cs="宋体"/>
          <w:sz w:val="32"/>
          <w:szCs w:val="32"/>
        </w:rPr>
        <w:t>本年度绩效自评结果为90分。按规定时间内将2024年度专项资金绩效自评报告、整体部门支出绩效自评报告在本部门门户网站公开，并接受社会监督。</w:t>
      </w:r>
    </w:p>
    <w:p w14:paraId="1701FC7A">
      <w:pPr>
        <w:pStyle w:val="2"/>
        <w:rPr>
          <w:rFonts w:hint="eastAsia" w:ascii="宋体" w:hAnsi="宋体" w:eastAsia="宋体" w:cs="宋体"/>
          <w:sz w:val="32"/>
          <w:szCs w:val="32"/>
        </w:rPr>
      </w:pPr>
    </w:p>
    <w:p w14:paraId="468902B3">
      <w:pPr>
        <w:pStyle w:val="3"/>
        <w:rPr>
          <w:rFonts w:hint="eastAsia"/>
        </w:rPr>
      </w:pPr>
    </w:p>
    <w:p w14:paraId="78A6ABD7">
      <w:pPr>
        <w:ind w:firstLine="640" w:firstLineChars="200"/>
        <w:jc w:val="right"/>
        <w:rPr>
          <w:rFonts w:hint="eastAsia" w:ascii="宋体" w:hAnsi="宋体" w:eastAsia="宋体" w:cs="宋体"/>
          <w:sz w:val="32"/>
          <w:szCs w:val="32"/>
        </w:rPr>
      </w:pPr>
      <w:r>
        <w:rPr>
          <w:rFonts w:hint="eastAsia" w:ascii="宋体" w:hAnsi="宋体" w:eastAsia="宋体" w:cs="宋体"/>
          <w:sz w:val="32"/>
          <w:szCs w:val="32"/>
        </w:rPr>
        <w:t>月岩-周敦颐故里风景名胜区管理处</w:t>
      </w:r>
    </w:p>
    <w:p w14:paraId="296ED669">
      <w:pPr>
        <w:ind w:firstLine="640" w:firstLineChars="200"/>
        <w:jc w:val="center"/>
        <w:rPr>
          <w:rFonts w:ascii="仿宋" w:hAnsi="仿宋" w:eastAsia="仿宋" w:cs="仿宋"/>
          <w:sz w:val="28"/>
          <w:szCs w:val="28"/>
        </w:rPr>
      </w:pP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202</w:t>
      </w:r>
      <w:r>
        <w:rPr>
          <w:rFonts w:hint="eastAsia" w:ascii="宋体" w:hAnsi="宋体" w:eastAsia="宋体" w:cs="宋体"/>
          <w:sz w:val="32"/>
          <w:szCs w:val="32"/>
          <w:lang w:val="en-US" w:eastAsia="zh-CN"/>
        </w:rPr>
        <w:t>5</w:t>
      </w:r>
      <w:r>
        <w:rPr>
          <w:rFonts w:hint="eastAsia" w:ascii="宋体" w:hAnsi="宋体" w:eastAsia="宋体" w:cs="宋体"/>
          <w:sz w:val="32"/>
          <w:szCs w:val="32"/>
        </w:rPr>
        <w:t>年</w:t>
      </w:r>
      <w:r>
        <w:rPr>
          <w:rFonts w:hint="eastAsia" w:ascii="宋体" w:hAnsi="宋体" w:eastAsia="宋体" w:cs="宋体"/>
          <w:sz w:val="32"/>
          <w:szCs w:val="32"/>
          <w:lang w:val="en-US" w:eastAsia="zh-CN"/>
        </w:rPr>
        <w:t>6</w:t>
      </w:r>
      <w:r>
        <w:rPr>
          <w:rFonts w:hint="eastAsia" w:ascii="宋体" w:hAnsi="宋体" w:eastAsia="宋体" w:cs="宋体"/>
          <w:sz w:val="32"/>
          <w:szCs w:val="32"/>
        </w:rPr>
        <w:t>月6日</w:t>
      </w:r>
    </w:p>
    <w:sectPr>
      <w:headerReference r:id="rId4" w:type="default"/>
      <w:footerReference r:id="rId5" w:type="default"/>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otosanscjksc">
    <w:altName w:val="Segoe Print"/>
    <w:panose1 w:val="00000000000000000000"/>
    <w:charset w:val="00"/>
    <w:family w:val="auto"/>
    <w:pitch w:val="default"/>
    <w:sig w:usb0="00000000" w:usb1="00000000" w:usb2="00000000" w:usb3="00000000" w:csb0="00000000" w:csb1="00000000"/>
  </w:font>
  <w:font w:name="Noto Sans CJK SC">
    <w:altName w:val="Segoe Print"/>
    <w:panose1 w:val="00000000000000000000"/>
    <w:charset w:val="01"/>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51D93">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FAAB9">
    <w:pPr>
      <w:pStyle w:val="8"/>
      <w:pBdr>
        <w:bottom w:val="none" w:color="000000"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6"/>
      <w:numFmt w:val="chineseCountingThousand"/>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0053208E"/>
    <w:multiLevelType w:val="multilevel"/>
    <w:tmpl w:val="0053208E"/>
    <w:lvl w:ilvl="0" w:tentative="0">
      <w:start w:val="1"/>
      <w:numFmt w:val="chineseCountingThousand"/>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autoHyphenation/>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5A056C"/>
    <w:rsid w:val="52DE01EA"/>
    <w:rsid w:val="54A523BC"/>
    <w:rsid w:val="5E3F7D40"/>
  </w:rsids>
  <m:mathPr>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spacing w:before="0" w:after="0"/>
      <w:jc w:val="both"/>
    </w:pPr>
    <w:rPr>
      <w:rFonts w:cs="notosanscjksc" w:asciiTheme="minorHAnsi" w:hAnsiTheme="minorHAnsi" w:eastAsiaTheme="minorEastAsia"/>
      <w:color w:val="auto"/>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before="0" w:after="120"/>
    </w:pPr>
  </w:style>
  <w:style w:type="paragraph" w:styleId="3">
    <w:name w:val="Body Text Indent 2"/>
    <w:basedOn w:val="1"/>
    <w:qFormat/>
    <w:uiPriority w:val="0"/>
    <w:pPr>
      <w:spacing w:before="0" w:after="120" w:line="480" w:lineRule="auto"/>
      <w:ind w:left="420" w:firstLine="0"/>
    </w:pPr>
  </w:style>
  <w:style w:type="paragraph" w:styleId="4">
    <w:name w:val="Normal Indent"/>
    <w:basedOn w:val="1"/>
    <w:qFormat/>
    <w:uiPriority w:val="0"/>
    <w:pPr>
      <w:ind w:firstLine="420"/>
    </w:pPr>
  </w:style>
  <w:style w:type="paragraph" w:styleId="5">
    <w:name w:val="caption"/>
    <w:basedOn w:val="1"/>
    <w:next w:val="1"/>
    <w:qFormat/>
    <w:uiPriority w:val="0"/>
    <w:pPr>
      <w:suppressLineNumbers/>
      <w:spacing w:before="120" w:after="120"/>
    </w:pPr>
    <w:rPr>
      <w:i/>
      <w:iCs/>
      <w:sz w:val="24"/>
      <w:szCs w:val="24"/>
    </w:rPr>
  </w:style>
  <w:style w:type="paragraph" w:styleId="6">
    <w:name w:val="Balloon Text"/>
    <w:basedOn w:val="1"/>
    <w:qFormat/>
    <w:uiPriority w:val="0"/>
    <w:rPr>
      <w:sz w:val="18"/>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000000" w:sz="6" w:space="1"/>
      </w:pBdr>
      <w:tabs>
        <w:tab w:val="center" w:pos="4153"/>
        <w:tab w:val="right" w:pos="8306"/>
      </w:tabs>
      <w:snapToGrid w:val="0"/>
      <w:jc w:val="center"/>
    </w:pPr>
    <w:rPr>
      <w:sz w:val="18"/>
      <w:szCs w:val="18"/>
    </w:rPr>
  </w:style>
  <w:style w:type="paragraph" w:styleId="9">
    <w:name w:val="List"/>
    <w:basedOn w:val="2"/>
    <w:qFormat/>
    <w:uiPriority w:val="0"/>
  </w:style>
  <w:style w:type="paragraph" w:styleId="10">
    <w:name w:val="Normal (Web)"/>
    <w:basedOn w:val="1"/>
    <w:qFormat/>
    <w:uiPriority w:val="0"/>
    <w:pPr>
      <w:spacing w:beforeAutospacing="1" w:afterAutospacing="1"/>
      <w:jc w:val="left"/>
    </w:pPr>
    <w:rPr>
      <w:rFonts w:cs="Times New Roman"/>
      <w:kern w:val="0"/>
      <w:sz w:val="24"/>
    </w:rPr>
  </w:style>
  <w:style w:type="character" w:styleId="13">
    <w:name w:val="Strong"/>
    <w:basedOn w:val="12"/>
    <w:qFormat/>
    <w:uiPriority w:val="0"/>
    <w:rPr>
      <w:b/>
    </w:rPr>
  </w:style>
  <w:style w:type="character" w:customStyle="1" w:styleId="14">
    <w:name w:val="Internet 链接"/>
    <w:basedOn w:val="12"/>
    <w:qFormat/>
    <w:uiPriority w:val="0"/>
    <w:rPr>
      <w:color w:val="0000FF"/>
      <w:u w:val="single"/>
    </w:rPr>
  </w:style>
  <w:style w:type="character" w:customStyle="1" w:styleId="15">
    <w:name w:val="页眉 Char"/>
    <w:basedOn w:val="12"/>
    <w:link w:val="8"/>
    <w:qFormat/>
    <w:uiPriority w:val="0"/>
    <w:rPr>
      <w:rFonts w:cs="notosanscjksc" w:asciiTheme="minorHAnsi" w:hAnsiTheme="minorHAnsi" w:eastAsiaTheme="minorEastAsia"/>
      <w:kern w:val="2"/>
      <w:sz w:val="18"/>
      <w:szCs w:val="18"/>
    </w:rPr>
  </w:style>
  <w:style w:type="character" w:customStyle="1" w:styleId="16">
    <w:name w:val="页脚 Char"/>
    <w:basedOn w:val="12"/>
    <w:link w:val="7"/>
    <w:qFormat/>
    <w:uiPriority w:val="0"/>
    <w:rPr>
      <w:rFonts w:cs="notosanscjksc" w:asciiTheme="minorHAnsi" w:hAnsiTheme="minorHAnsi" w:eastAsiaTheme="minorEastAsia"/>
      <w:kern w:val="2"/>
      <w:sz w:val="18"/>
      <w:szCs w:val="18"/>
    </w:rPr>
  </w:style>
  <w:style w:type="character" w:customStyle="1" w:styleId="17">
    <w:name w:val="style401"/>
    <w:basedOn w:val="12"/>
    <w:qFormat/>
    <w:uiPriority w:val="0"/>
    <w:rPr>
      <w:rFonts w:ascii="Calibri" w:hAnsi="Calibri" w:eastAsia="宋体" w:cs="Arial"/>
      <w:sz w:val="20"/>
      <w:szCs w:val="20"/>
    </w:rPr>
  </w:style>
  <w:style w:type="paragraph" w:customStyle="1" w:styleId="18">
    <w:name w:val="标题样式"/>
    <w:basedOn w:val="1"/>
    <w:next w:val="2"/>
    <w:qFormat/>
    <w:uiPriority w:val="0"/>
    <w:pPr>
      <w:keepNext/>
      <w:spacing w:before="240" w:after="120"/>
    </w:pPr>
    <w:rPr>
      <w:rFonts w:ascii="Noto Sans CJK SC" w:hAnsi="Noto Sans CJK SC" w:eastAsia="Noto Sans CJK SC" w:cs="Noto Sans CJK SC"/>
      <w:sz w:val="28"/>
      <w:szCs w:val="28"/>
    </w:rPr>
  </w:style>
  <w:style w:type="paragraph" w:customStyle="1" w:styleId="19">
    <w:name w:val="索引"/>
    <w:basedOn w:val="1"/>
    <w:qFormat/>
    <w:uiPriority w:val="0"/>
    <w:pPr>
      <w:suppressLineNumbers/>
    </w:pPr>
    <w:rPr>
      <w:lang w:val="zh-CN" w:eastAsia="zh-CN" w:bidi="zh-CN"/>
    </w:rPr>
  </w:style>
  <w:style w:type="paragraph" w:customStyle="1" w:styleId="20">
    <w:name w:val="页眉与页脚"/>
    <w:basedOn w:val="1"/>
    <w:qFormat/>
    <w:uiPriority w:val="0"/>
  </w:style>
  <w:style w:type="paragraph" w:styleId="21">
    <w:name w:val="List Paragraph"/>
    <w:basedOn w:val="1"/>
    <w:unhideWhenUsed/>
    <w:qFormat/>
    <w:uiPriority w:val="99"/>
    <w:pPr>
      <w:ind w:firstLine="420"/>
    </w:pPr>
  </w:style>
  <w:style w:type="paragraph" w:customStyle="1" w:styleId="22">
    <w:name w:val="列出段落1"/>
    <w:qFormat/>
    <w:uiPriority w:val="0"/>
    <w:pPr>
      <w:widowControl w:val="0"/>
      <w:suppressAutoHyphens/>
      <w:bidi w:val="0"/>
      <w:spacing w:before="0" w:after="0"/>
      <w:ind w:firstLine="420"/>
      <w:jc w:val="both"/>
    </w:pPr>
    <w:rPr>
      <w:rFonts w:ascii="Times New Roman" w:hAnsi="Times New Roman" w:eastAsia="宋体" w:cs="黑体"/>
      <w:color w:val="auto"/>
      <w:kern w:val="2"/>
      <w:sz w:val="21"/>
      <w:szCs w:val="24"/>
      <w:lang w:val="en-US" w:eastAsia="zh-CN" w:bidi="ar-SA"/>
    </w:rPr>
  </w:style>
  <w:style w:type="paragraph" w:customStyle="1" w:styleId="23">
    <w:name w:val="p0"/>
    <w:basedOn w:val="1"/>
    <w:qFormat/>
    <w:uiPriority w:val="0"/>
    <w:pPr>
      <w:widowControl/>
      <w:spacing w:beforeAutospacing="1"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4183</Words>
  <Characters>4373</Characters>
  <Paragraphs>44</Paragraphs>
  <TotalTime>59</TotalTime>
  <ScaleCrop>false</ScaleCrop>
  <LinksUpToDate>false</LinksUpToDate>
  <CharactersWithSpaces>4404</CharactersWithSpaces>
  <Application>WPS Office_12.8.2.18205_F1E327BC-269C-435d-A152-05C5408002CA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2025-06-14T02:50:00Z</dcterms:created>
  <dc:creator>WPS_1483577055</dc:creator>
  <cp:lastModifiedBy>Administrator</cp:lastModifiedBy>
  <dcterms:modified xsi:type="dcterms:W3CDTF">2025-12-04T21:25:52Z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F119EE33BA364410A60F8032AC9AA72A</vt:lpwstr>
  </property>
  <property fmtid="{D5CDD505-2E9C-101B-9397-08002B2CF9AE}" pid="3" name="KSOProductBuildVer">
    <vt:lpwstr>2052-12.8.2.18205</vt:lpwstr>
  </property>
</Properties>
</file>