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9569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道县</w:t>
      </w:r>
      <w:r>
        <w:rPr>
          <w:rFonts w:hint="eastAsia" w:ascii="宋体" w:hAnsi="宋体"/>
          <w:b/>
          <w:sz w:val="44"/>
          <w:szCs w:val="44"/>
          <w:lang w:eastAsia="zh-CN"/>
        </w:rPr>
        <w:t>万家庄街道办事处</w:t>
      </w:r>
      <w:r>
        <w:rPr>
          <w:rFonts w:hint="eastAsia" w:ascii="宋体" w:hAnsi="宋体"/>
          <w:b/>
          <w:sz w:val="44"/>
          <w:szCs w:val="44"/>
        </w:rPr>
        <w:t>部门</w:t>
      </w:r>
    </w:p>
    <w:p w14:paraId="321D0841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 w14:paraId="69D42353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center"/>
        <w:textAlignment w:val="auto"/>
        <w:rPr>
          <w:rFonts w:ascii="宋体" w:hAnsi="宋体"/>
          <w:b/>
          <w:sz w:val="44"/>
          <w:szCs w:val="44"/>
        </w:rPr>
      </w:pPr>
    </w:p>
    <w:p w14:paraId="6A4EDF9F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800" w:firstLineChars="200"/>
        <w:textAlignment w:val="auto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 w14:paraId="5C37321E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450" w:firstLineChars="15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主要职能。</w:t>
      </w:r>
    </w:p>
    <w:p w14:paraId="43D46CEC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</w:t>
      </w:r>
      <w:bookmarkStart w:id="25" w:name="_GoBack"/>
      <w:bookmarkEnd w:id="25"/>
      <w:r>
        <w:rPr>
          <w:rFonts w:hint="eastAsia" w:ascii="宋体" w:hAnsi="宋体"/>
          <w:color w:val="010101"/>
          <w:sz w:val="30"/>
          <w:szCs w:val="30"/>
        </w:rPr>
        <w:t>命令，发布决定和命令。</w:t>
      </w:r>
    </w:p>
    <w:p w14:paraId="742BAE8F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 w14:paraId="07D33CEF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 w14:paraId="6CC078CD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 w14:paraId="3020DD87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 w14:paraId="0F5218FA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 w14:paraId="7C489E63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 w14:paraId="53B61A91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 w14:paraId="232EA4BA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 w14:paraId="4FBF4979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450" w:firstLineChars="15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机构情况，包括当年变动情况及原因。</w:t>
      </w:r>
    </w:p>
    <w:p w14:paraId="218F777F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万家庄街道办事处</w:t>
      </w:r>
      <w:r>
        <w:rPr>
          <w:rFonts w:hint="eastAsia" w:ascii="宋体" w:hAnsi="宋体"/>
          <w:color w:val="010101"/>
          <w:sz w:val="30"/>
          <w:szCs w:val="30"/>
        </w:rPr>
        <w:t>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 w14:paraId="23AAC0AC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450" w:firstLineChars="15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人员情况，包括当年变动情况及原因。</w:t>
      </w:r>
    </w:p>
    <w:p w14:paraId="749A0C57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现编人数行政</w:t>
      </w:r>
      <w:r>
        <w:rPr>
          <w:rFonts w:hint="eastAsia" w:ascii="仿宋_GB2312"/>
          <w:sz w:val="30"/>
          <w:szCs w:val="30"/>
          <w:lang w:val="en-US" w:eastAsia="zh-CN"/>
        </w:rPr>
        <w:t>30</w:t>
      </w:r>
      <w:r>
        <w:rPr>
          <w:rFonts w:hint="eastAsia" w:ascii="仿宋_GB2312"/>
          <w:sz w:val="30"/>
          <w:szCs w:val="30"/>
        </w:rPr>
        <w:t>人，事业</w:t>
      </w:r>
      <w:r>
        <w:rPr>
          <w:rFonts w:hint="eastAsia" w:ascii="仿宋_GB2312"/>
          <w:sz w:val="30"/>
          <w:szCs w:val="30"/>
          <w:lang w:val="en-US" w:eastAsia="zh-CN"/>
        </w:rPr>
        <w:t>36</w:t>
      </w:r>
      <w:r>
        <w:rPr>
          <w:rFonts w:hint="eastAsia" w:ascii="仿宋_GB2312"/>
          <w:sz w:val="30"/>
          <w:szCs w:val="30"/>
        </w:rPr>
        <w:t>人</w:t>
      </w:r>
      <w:r>
        <w:rPr>
          <w:rFonts w:hint="eastAsia" w:ascii="仿宋_GB2312"/>
          <w:sz w:val="30"/>
          <w:szCs w:val="30"/>
          <w:lang w:eastAsia="zh-CN"/>
        </w:rPr>
        <w:t>。</w:t>
      </w:r>
      <w:r>
        <w:rPr>
          <w:rFonts w:hint="eastAsia" w:ascii="仿宋_GB2312"/>
          <w:sz w:val="30"/>
          <w:szCs w:val="30"/>
        </w:rPr>
        <w:t>配有小车1辆</w:t>
      </w:r>
      <w:r>
        <w:rPr>
          <w:rFonts w:hint="eastAsia" w:ascii="仿宋_GB2312"/>
          <w:sz w:val="30"/>
          <w:szCs w:val="30"/>
        </w:rPr>
        <w:t>。现实有在编人数</w:t>
      </w:r>
      <w:r>
        <w:rPr>
          <w:rFonts w:hint="eastAsia" w:ascii="仿宋_GB2312"/>
          <w:sz w:val="30"/>
          <w:szCs w:val="30"/>
          <w:lang w:val="en-US" w:eastAsia="zh-CN"/>
        </w:rPr>
        <w:t>66</w:t>
      </w:r>
      <w:r>
        <w:rPr>
          <w:rFonts w:hint="eastAsia" w:ascii="仿宋_GB2312"/>
          <w:sz w:val="30"/>
          <w:szCs w:val="30"/>
        </w:rPr>
        <w:t>人，临时人员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人，配有小车一辆。</w:t>
      </w:r>
    </w:p>
    <w:p w14:paraId="33048388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450" w:firstLineChars="15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eastAsia" w:ascii="宋体" w:hAnsi="宋体"/>
          <w:sz w:val="30"/>
          <w:szCs w:val="30"/>
        </w:rPr>
        <w:t>部门整体支出规模、使用方向和主要内容</w:t>
      </w:r>
    </w:p>
    <w:p w14:paraId="7930E68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Theme="minorEastAsia" w:cstheme="minorBidi"/>
          <w:color w:val="010101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010101"/>
          <w:kern w:val="2"/>
          <w:sz w:val="30"/>
          <w:szCs w:val="30"/>
          <w:lang w:val="en-US" w:eastAsia="zh-CN" w:bidi="ar-SA"/>
        </w:rPr>
        <w:t>2024年度财政拨款支出1203.09万元，</w:t>
      </w:r>
      <w:bookmarkStart w:id="0" w:name="START_PAY_AMT_1"/>
      <w:bookmarkEnd w:id="0"/>
      <w:bookmarkStart w:id="1" w:name="DIS_MARK_PAY_AMT_1"/>
      <w:r>
        <w:rPr>
          <w:rFonts w:hint="eastAsia" w:ascii="宋体" w:hAnsi="宋体" w:eastAsiaTheme="minorEastAsia" w:cstheme="minorBidi"/>
          <w:color w:val="010101"/>
          <w:kern w:val="2"/>
          <w:sz w:val="30"/>
          <w:szCs w:val="30"/>
          <w:lang w:val="en-US" w:eastAsia="zh-CN" w:bidi="ar-SA"/>
        </w:rPr>
        <w:t>主要用于以下方面：一般公共服务支出766.61万元，占63.72%；社会保障和就业支出9.25万元，占比0.77%；农林水支出426.33万元，占比35.44%；灾害防治及应急管理支出0.9万元，占比0.001%。</w:t>
      </w:r>
      <w:bookmarkEnd w:id="1"/>
      <w:bookmarkStart w:id="2" w:name="START_PAY_ZYXZCZC_AMT_1"/>
      <w:bookmarkEnd w:id="2"/>
      <w:bookmarkStart w:id="3" w:name="END_PAY_ZWFXFZC_AMT_1"/>
      <w:bookmarkEnd w:id="3"/>
      <w:bookmarkStart w:id="4" w:name="END_PAY_KYTBGZAPDZC_AMT_1"/>
      <w:bookmarkEnd w:id="4"/>
      <w:bookmarkStart w:id="5" w:name="END_PAY_ZWFXZC_AMT_1"/>
      <w:bookmarkEnd w:id="5"/>
      <w:bookmarkStart w:id="6" w:name="END_PAY_QTZC_AMT_1"/>
      <w:bookmarkEnd w:id="6"/>
      <w:bookmarkStart w:id="7" w:name="START_PAY_QTZC_AMT_1"/>
      <w:bookmarkEnd w:id="7"/>
      <w:bookmarkStart w:id="8" w:name="DIS_MARK_PAY_ZYXZCZC_AMT_1"/>
      <w:bookmarkEnd w:id="8"/>
      <w:bookmarkStart w:id="9" w:name="START_PAY_ZWHBZC_AMT_1"/>
      <w:bookmarkEnd w:id="9"/>
      <w:bookmarkStart w:id="10" w:name="END_PAY_ZYXZCZC_AMT_1"/>
      <w:bookmarkEnd w:id="10"/>
      <w:bookmarkStart w:id="11" w:name="DIS_MARK_PAY_ZWFXZC_AMT_1"/>
      <w:bookmarkEnd w:id="11"/>
      <w:bookmarkStart w:id="12" w:name="END_PAY_ZHFZJYJGLZC_AMT_1"/>
      <w:bookmarkEnd w:id="12"/>
      <w:bookmarkStart w:id="13" w:name="START_PAY_YBF_AMT_1"/>
      <w:bookmarkEnd w:id="13"/>
      <w:bookmarkStart w:id="14" w:name="DIS_MARK_PAY_QTZC_AMT_1"/>
      <w:bookmarkEnd w:id="14"/>
      <w:bookmarkStart w:id="15" w:name="DIS_MARK_PAY_ZWFXFZC_AMT_1"/>
      <w:bookmarkEnd w:id="15"/>
      <w:bookmarkStart w:id="16" w:name="DIS_MARK_PAY_ZWHBZC_AMT_1"/>
      <w:bookmarkEnd w:id="16"/>
      <w:bookmarkStart w:id="17" w:name="START_PAY_ZWFXZC_AMT_1"/>
      <w:bookmarkEnd w:id="17"/>
      <w:bookmarkStart w:id="18" w:name="END_PAY_YBF_AMT_1"/>
      <w:bookmarkEnd w:id="18"/>
      <w:bookmarkStart w:id="19" w:name="END_PAY_ZWHBZC_AMT_1"/>
      <w:bookmarkEnd w:id="19"/>
      <w:bookmarkStart w:id="20" w:name="START_PAY_KYTBGZAPDZC_AMT_1"/>
      <w:bookmarkEnd w:id="20"/>
      <w:bookmarkStart w:id="21" w:name="DIS_MARK_PAY_KYTBGZAPDZC_AMT_1"/>
      <w:bookmarkEnd w:id="21"/>
      <w:bookmarkStart w:id="22" w:name="START_PAY_ZWFXFZC_AMT_1"/>
      <w:bookmarkEnd w:id="22"/>
      <w:bookmarkStart w:id="23" w:name="END_PAY_AMT_1"/>
      <w:bookmarkEnd w:id="23"/>
      <w:bookmarkStart w:id="24" w:name="DIS_MARK_PAY_YBF_AMT_1"/>
      <w:bookmarkEnd w:id="24"/>
    </w:p>
    <w:p w14:paraId="1FDE7153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360" w:lineRule="auto"/>
        <w:ind w:right="11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 w14:paraId="6B14D588"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pacing w:line="360" w:lineRule="auto"/>
        <w:ind w:left="901" w:right="11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 w14:paraId="7ACB11C3">
      <w:pPr>
        <w:pStyle w:val="3"/>
        <w:keepNext w:val="0"/>
        <w:keepLines w:val="0"/>
        <w:pageBreakBefore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bidi w:val="0"/>
        <w:spacing w:before="1" w:line="360" w:lineRule="auto"/>
        <w:ind w:right="420" w:firstLine="600" w:firstLineChars="200"/>
        <w:textAlignment w:val="auto"/>
        <w:rPr>
          <w:rFonts w:hint="eastAsia" w:ascii="宋体" w:hAnsi="宋体" w:eastAsiaTheme="minorEastAsia" w:cstheme="minorBidi"/>
          <w:color w:val="010101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2024年</w:t>
      </w:r>
      <w:r>
        <w:rPr>
          <w:rFonts w:hint="eastAsia" w:ascii="宋体" w:hAnsi="宋体"/>
          <w:color w:val="010101"/>
          <w:sz w:val="30"/>
          <w:szCs w:val="30"/>
        </w:rPr>
        <w:t>一般公共预算拨款支出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1203.09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其中</w:t>
      </w:r>
      <w:r>
        <w:rPr>
          <w:rFonts w:hint="eastAsia" w:ascii="宋体" w:hAnsi="宋体" w:eastAsiaTheme="minorEastAsia" w:cstheme="minorBidi"/>
          <w:color w:val="010101"/>
          <w:kern w:val="2"/>
          <w:sz w:val="30"/>
          <w:szCs w:val="30"/>
          <w:lang w:val="en-US" w:eastAsia="zh-CN" w:bidi="ar-SA"/>
        </w:rPr>
        <w:t>机关运行经费合计支出：310.46万元。</w:t>
      </w:r>
    </w:p>
    <w:p w14:paraId="37397078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二</w:t>
      </w:r>
      <w:r>
        <w:rPr>
          <w:rFonts w:hint="eastAsia" w:ascii="宋体" w:hAnsi="宋体"/>
          <w:sz w:val="30"/>
          <w:szCs w:val="30"/>
        </w:rPr>
        <w:t>）“三公经费”预算与实际支出减少</w:t>
      </w:r>
    </w:p>
    <w:p w14:paraId="3A01B2AC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8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Theme="minorEastAsia" w:cstheme="minorBidi"/>
          <w:color w:val="010101"/>
          <w:kern w:val="2"/>
          <w:sz w:val="30"/>
          <w:szCs w:val="30"/>
          <w:lang w:val="en-US" w:eastAsia="zh-CN" w:bidi="ar-SA"/>
        </w:rPr>
        <w:t>2024年度本单位“三公”经费总额为5.98万元，其中公务用车运行及维护费用5.18万元，公务接待费0.8万元。2024年公务用车购置数0台，公务接待费支出决算为0.8万元，全年共接待来访团组7个，来宾80人次，主要是接待来宾，领导。</w:t>
      </w:r>
    </w:p>
    <w:p w14:paraId="251AABB5"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spacing w:before="0" w:beforeAutospacing="0" w:after="0" w:afterAutospacing="0" w:line="360" w:lineRule="auto"/>
        <w:ind w:right="11" w:firstLine="600" w:firstLineChars="200"/>
        <w:textAlignment w:val="auto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 w14:paraId="11518211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901" w:right="11"/>
        <w:textAlignment w:val="auto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万家庄街道办事处2024年</w:t>
      </w:r>
      <w:r>
        <w:rPr>
          <w:rFonts w:hint="eastAsia" w:ascii="宋体" w:hAnsi="宋体"/>
          <w:color w:val="010101"/>
          <w:sz w:val="30"/>
          <w:szCs w:val="30"/>
        </w:rPr>
        <w:t>无政府性基金预算。</w:t>
      </w:r>
    </w:p>
    <w:p w14:paraId="0739CA5B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600" w:firstLineChars="200"/>
        <w:textAlignment w:val="auto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 w14:paraId="50EF329E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901" w:right="11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万家庄街道办事处2024年</w:t>
      </w:r>
      <w:r>
        <w:rPr>
          <w:rFonts w:hint="eastAsia" w:ascii="宋体" w:hAnsi="宋体"/>
          <w:color w:val="010101"/>
          <w:sz w:val="30"/>
          <w:szCs w:val="30"/>
        </w:rPr>
        <w:t>无国有资本经营预算支出。</w:t>
      </w:r>
    </w:p>
    <w:p w14:paraId="02E56154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600" w:firstLineChars="200"/>
        <w:textAlignment w:val="auto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 w14:paraId="1A4D8333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901" w:right="11"/>
        <w:textAlignment w:val="auto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万家庄街道办事处2024年</w:t>
      </w:r>
      <w:r>
        <w:rPr>
          <w:rFonts w:ascii="宋体" w:hAnsi="宋体"/>
          <w:bCs/>
          <w:color w:val="010101"/>
          <w:sz w:val="30"/>
          <w:szCs w:val="30"/>
        </w:rPr>
        <w:t>无社会保险基金预算支出。</w:t>
      </w:r>
    </w:p>
    <w:p w14:paraId="110329C0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1" w:firstLine="600" w:firstLineChars="200"/>
        <w:textAlignment w:val="auto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 w14:paraId="2098837F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 w14:paraId="741EF12C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 w14:paraId="6513C24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</w:t>
      </w:r>
    </w:p>
    <w:p w14:paraId="0750CF88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hint="eastAsia" w:cs="Times New Roman" w:asciiTheme="minorEastAsia" w:hAnsiTheme="minorEastAsia" w:eastAsiaTheme="minorEastAsia"/>
          <w:color w:val="010101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我单位领导非常重视预算绩效管理工作，对该项工作给予大力支持,对上级做出的批示和下发的预算批发非常的关心。我单位严格按照上级的要求在规定的时间报送绩效目标。在</w:t>
      </w: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>2024年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，本单位加强乡级财政的监督和管理,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单位不断强化会计核算工作，延续全年使用了全新的府会计制度软件，如预算管理一体化。进行平行记账;顺利完成了软件革新等一系列工作。同时单位不断强化预算意识，结合单位业务情况，进行科学合理安排支出，降低预算支出的波动幅度，并及时与党政领导和相关科室进行反馈，促进预算目标的全面完成。</w:t>
      </w:r>
    </w:p>
    <w:p w14:paraId="7C9D285E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40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 w14:paraId="1D8700E0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600" w:firstLineChars="200"/>
        <w:textAlignment w:val="auto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</w:t>
      </w:r>
      <w:r>
        <w:rPr>
          <w:rFonts w:hint="eastAsia" w:ascii="宋体" w:hAnsi="宋体"/>
          <w:color w:val="010101"/>
          <w:sz w:val="30"/>
          <w:szCs w:val="30"/>
        </w:rPr>
        <w:t>政府事处公务接待管理办法》、《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万家庄街道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办</w:t>
      </w:r>
      <w:r>
        <w:rPr>
          <w:rFonts w:hint="eastAsia" w:ascii="宋体" w:hAnsi="宋体"/>
          <w:color w:val="010101"/>
          <w:sz w:val="30"/>
          <w:szCs w:val="30"/>
        </w:rPr>
        <w:t>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干部</w:t>
      </w:r>
      <w:r>
        <w:rPr>
          <w:rFonts w:hint="eastAsia" w:ascii="宋体" w:hAnsi="宋体"/>
          <w:color w:val="010101"/>
          <w:sz w:val="30"/>
          <w:szCs w:val="30"/>
        </w:rPr>
        <w:t>参与，制度建立完善。</w:t>
      </w:r>
    </w:p>
    <w:p w14:paraId="54D7DC3B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 w14:paraId="400EA926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800" w:firstLineChars="25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14:paraId="38F83544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800" w:firstLineChars="25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 w14:paraId="43EAE7C1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360" w:lineRule="auto"/>
        <w:ind w:left="0" w:leftChars="0" w:firstLine="840" w:firstLineChars="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 w14:paraId="3C9D5EE2"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left"/>
        <w:textAlignment w:val="auto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 w14:paraId="65DFFE08"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039B0"/>
    <w:rsid w:val="25B22B52"/>
    <w:rsid w:val="7CE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2025-06-26T01:46:00Z</dcterms:created>
  <dc:creator>czs</dc:creator>
  <cp:lastModifiedBy>czs</cp:lastModifiedBy>
  <cp:lastPrinted>2025-07-21T03:01:00Z</cp:lastPrinted>
  <dcterms:modified xsi:type="dcterms:W3CDTF">2025-08-28T01:48:14Z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eyJoZGlkIjoiOGExMWI0Njc3NmI2ZmI4MTY4NTNhYjcyMzA5MGI2NTEifQ==</vt:lpwstr>
  </property>
  <property fmtid="{D5CDD505-2E9C-101B-9397-08002B2CF9AE}" pid="4" name="ICV">
    <vt:lpwstr>B917E0DF0F5C4FF798D1EF2D5BD0591F_12</vt:lpwstr>
  </property>
</Properties>
</file>