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永州工贸学校</w:t>
      </w:r>
      <w:r>
        <w:rPr>
          <w:rFonts w:hint="eastAsia" w:ascii="方正小标宋简体" w:hAnsi="方正小标宋简体" w:eastAsia="方正小标宋简体" w:cs="方正小标宋简体"/>
          <w:sz w:val="36"/>
          <w:szCs w:val="36"/>
        </w:rPr>
        <w:t>整体支出绩效评价报告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（一）部门（单位）基本情况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永州市工业贸易中等专业学校（简称“永州工贸学校”）是道县人民政府主办的中等职业学校，是国家级重点中等职业学校、国家中等职业教育改革发展示范学校、首批湖南省卓越中等职业学校。2017 年 5 月，永州市委以我校为载体创建了永州市农村党员和青年农民培训中心。2019 年 3 月，经湖南省人社厅批准，在我校寿雁校区设立了道州技工学校。2021 年获评“省级乡村振兴人才培养优质校”。</w:t>
      </w:r>
      <w:r>
        <w:rPr>
          <w:rFonts w:hint="eastAsia" w:ascii="宋体" w:hAnsi="宋体" w:eastAsia="宋体" w:cs="宋体"/>
          <w:sz w:val="28"/>
          <w:szCs w:val="28"/>
          <w:lang w:val="en-US" w:eastAsia="zh-CN"/>
        </w:rPr>
        <w:t>2022年，学校被省教育厅授予“关工委先进工作典型”荣誉称号。2024年5月，道州技工学校被湖南省人社厅评为“湖南省2024年第一批专项职业能力考核站”。</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工作职能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培养大、中专学历人才，培养中、高级技术应用人才，中等专业技术教育、教学、科研、相关职业培训。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2、学校内设机构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学校内设办公室、教务科、科技科、学生科、保卫科、总务科、招生就业办公室、培训联络科、新闻宣传科和</w:t>
      </w:r>
      <w:r>
        <w:rPr>
          <w:rFonts w:hint="eastAsia" w:ascii="宋体" w:hAnsi="宋体" w:eastAsia="宋体" w:cs="宋体"/>
          <w:sz w:val="28"/>
          <w:szCs w:val="28"/>
          <w:lang w:eastAsia="zh-CN"/>
        </w:rPr>
        <w:t>人事</w:t>
      </w:r>
      <w:r>
        <w:rPr>
          <w:rFonts w:hint="eastAsia" w:ascii="宋体" w:hAnsi="宋体" w:eastAsia="宋体" w:cs="宋体"/>
          <w:sz w:val="28"/>
          <w:szCs w:val="28"/>
        </w:rPr>
        <w:t>人才科10个职能科室。</w:t>
      </w:r>
      <w:r>
        <w:rPr>
          <w:rFonts w:hint="eastAsia" w:ascii="宋体" w:hAnsi="宋体" w:eastAsia="宋体" w:cs="宋体"/>
          <w:strike w:val="0"/>
          <w:dstrike w:val="0"/>
          <w:color w:val="auto"/>
          <w:sz w:val="28"/>
          <w:szCs w:val="28"/>
          <w:lang w:eastAsia="zh-CN"/>
        </w:rPr>
        <w:t>分</w:t>
      </w:r>
      <w:r>
        <w:rPr>
          <w:rFonts w:hint="eastAsia" w:ascii="宋体" w:hAnsi="宋体" w:eastAsia="宋体" w:cs="宋体"/>
          <w:sz w:val="28"/>
          <w:szCs w:val="28"/>
        </w:rPr>
        <w:t>寿雁和城北两个校区</w:t>
      </w:r>
      <w:r>
        <w:rPr>
          <w:rFonts w:hint="eastAsia" w:ascii="宋体" w:hAnsi="宋体" w:eastAsia="宋体" w:cs="宋体"/>
          <w:sz w:val="28"/>
          <w:szCs w:val="28"/>
          <w:lang w:eastAsia="zh-CN"/>
        </w:rPr>
        <w:t>，</w:t>
      </w:r>
      <w:r>
        <w:rPr>
          <w:rFonts w:hint="eastAsia" w:ascii="宋体" w:hAnsi="宋体" w:eastAsia="宋体" w:cs="宋体"/>
          <w:strike w:val="0"/>
          <w:dstrike w:val="0"/>
          <w:color w:val="auto"/>
          <w:sz w:val="28"/>
          <w:szCs w:val="28"/>
        </w:rPr>
        <w:t>三个年级</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3、人员编制、领导职数及实有在职人数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道县机构编制委员会核定学校编制数为390名，校领导职数设校长1名，党委书记1名，副校长4名，纪委书记1名。202</w:t>
      </w:r>
      <w:r>
        <w:rPr>
          <w:rFonts w:hint="eastAsia" w:ascii="宋体" w:hAnsi="宋体" w:eastAsia="宋体" w:cs="宋体"/>
          <w:sz w:val="28"/>
          <w:szCs w:val="28"/>
          <w:lang w:val="en-US" w:eastAsia="zh-CN"/>
        </w:rPr>
        <w:t>4</w:t>
      </w:r>
      <w:r>
        <w:rPr>
          <w:rFonts w:hint="eastAsia" w:ascii="宋体" w:hAnsi="宋体" w:eastAsia="宋体" w:cs="宋体"/>
          <w:sz w:val="28"/>
          <w:szCs w:val="28"/>
        </w:rPr>
        <w:t>年度年末在职</w:t>
      </w:r>
      <w:r>
        <w:rPr>
          <w:rFonts w:hint="eastAsia" w:ascii="宋体" w:hAnsi="宋体" w:eastAsia="宋体" w:cs="宋体"/>
          <w:sz w:val="28"/>
          <w:szCs w:val="28"/>
          <w:lang w:eastAsia="zh-CN"/>
        </w:rPr>
        <w:t>在编职工</w:t>
      </w:r>
      <w:r>
        <w:rPr>
          <w:rFonts w:hint="eastAsia" w:ascii="宋体" w:hAnsi="宋体" w:eastAsia="宋体" w:cs="宋体"/>
          <w:sz w:val="28"/>
          <w:szCs w:val="28"/>
        </w:rPr>
        <w:t>3</w:t>
      </w:r>
      <w:r>
        <w:rPr>
          <w:rFonts w:hint="eastAsia" w:ascii="宋体" w:hAnsi="宋体" w:eastAsia="宋体" w:cs="宋体"/>
          <w:sz w:val="28"/>
          <w:szCs w:val="28"/>
          <w:lang w:val="en-US" w:eastAsia="zh-CN"/>
        </w:rPr>
        <w:t>74</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退休职工</w:t>
      </w:r>
      <w:r>
        <w:rPr>
          <w:rFonts w:hint="eastAsia" w:ascii="宋体" w:hAnsi="宋体" w:eastAsia="宋体" w:cs="宋体"/>
          <w:sz w:val="28"/>
          <w:szCs w:val="28"/>
          <w:lang w:val="en-US" w:eastAsia="zh-CN"/>
        </w:rPr>
        <w:t>79</w:t>
      </w:r>
      <w:r>
        <w:rPr>
          <w:rFonts w:hint="eastAsia" w:ascii="宋体" w:hAnsi="宋体" w:eastAsia="宋体" w:cs="宋体"/>
          <w:sz w:val="28"/>
          <w:szCs w:val="28"/>
        </w:rPr>
        <w:t>人，合同制职工</w:t>
      </w:r>
      <w:r>
        <w:rPr>
          <w:rFonts w:hint="eastAsia" w:ascii="宋体" w:hAnsi="宋体" w:eastAsia="宋体" w:cs="宋体"/>
          <w:sz w:val="28"/>
          <w:szCs w:val="28"/>
          <w:lang w:val="en-US" w:eastAsia="zh-CN"/>
        </w:rPr>
        <w:t>82</w:t>
      </w:r>
      <w:r>
        <w:rPr>
          <w:rFonts w:hint="eastAsia" w:ascii="宋体" w:hAnsi="宋体" w:eastAsia="宋体" w:cs="宋体"/>
          <w:sz w:val="28"/>
          <w:szCs w:val="28"/>
        </w:rPr>
        <w:t>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（二）部门整体支出规模、使用方向和主要内容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lang w:val="en-US" w:eastAsia="zh-CN"/>
        </w:rPr>
        <w:t>2024年部门整体共支出9023.15万元。其中，教育支出8308.54万元，</w:t>
      </w:r>
      <w:r>
        <w:rPr>
          <w:rFonts w:hint="eastAsia" w:ascii="宋体" w:hAnsi="宋体" w:eastAsia="宋体" w:cs="宋体"/>
          <w:color w:val="auto"/>
          <w:sz w:val="28"/>
          <w:szCs w:val="28"/>
          <w:lang w:val="en-US" w:eastAsia="zh-CN"/>
        </w:rPr>
        <w:t>主要用于人员工资、社保、日常运转及改善学校办学条件等。社会保障和就业支出463.05万元，主要是用于职工基本养老保险缴费；卫生健康支出251.56万元，主要是用于职工基本医疗保险缴费。</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二、一般公共预算支出</w:t>
      </w:r>
      <w:r>
        <w:rPr>
          <w:rFonts w:hint="eastAsia" w:ascii="宋体" w:hAnsi="宋体" w:eastAsia="宋体" w:cs="宋体"/>
          <w:b/>
          <w:bCs/>
          <w:sz w:val="28"/>
          <w:szCs w:val="28"/>
        </w:rPr>
        <w:t>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本年度一般公共预算支出8253.42万元，具体安排情况如下：</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基本支出情况：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基本支出6950.39万元。其中：工资福利支出支出5578.69万元，主要是包括教职工的工资、绩效、奖金及各项社会保险缴费；一般商品和服务支出1015.61万元，用于为保障我校正常运转、完成日常工作任务而发生的支出，包括办公经费、水电费、差旅费、会议费、教师培训费、工会经费等；对个人和家庭的补助支出356.09万元，主要是抚恤金、生活补助、助学金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2024年项目支出1303.04万元。其中：实训大楼工程项目支出157.88万元，主要用于完善实训大楼基础设施建设工程款、设施设备购置、办公设备购置、信息网络及软件购置等方面；保障性住房项目支出267.6万元，主要用于完善保障性住房基础设施建设工程款、设施设备购置、办公设备购置、信息网络及软件购置等方面；产教融合项目支出92.17万元；湘南移民培训基地建设项目支出91.95万元；双优校建设项目支出693.44万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政府性基金预算支出情况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国有资本经营预算支出情况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社会保险基金预算支出情况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3"/>
        </w:numPr>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部门整体支出得到了较好的回报，我校完成了招聘新教师26人，职业技能等级认定5批次，招收新生2396人，免学费人数7166人，资助贫困学生1162人，国家奖学金13人，对口高考二本及以上上线人数111人，完成了8门精品课程认定，完成校舍维修4栋，完成设备采购8批次，基本完成了年初绩效总体目标。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（一）聚焦内涵提升，专业建设取得新成效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强化学科专业建设，2024年，增设市场急需紧缺直播电商服务专业和电子技术应用（高级技工专业），招收新增专业学生53人。2020级五年制转段考核工作圆满完成，2020级畜牧生产技术、机电技术应用、园艺技术等专业112名学生成功通过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举办职业技能等级认定。2023年下期，在宁远县开展职业技能等级认定5批，对157人进行了考核和认定；2024年上期，在寿雁校区完成了电工、汽车维修工、数控铣工、数控车工四个工种的职业技能等级认定工作，在校学生及社会人员共392人申报并参加职业技能等级考核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加强精品课程建设。《数控车床编程与操作》《电子技能与实训》2门课程入选“2023年湖南省职业教育一流核心课程”，截至目前，立项的12门省级精品课程已成功认定8门。同时，完成2022年4门省级精品课程验收准备工作和2023年2门省级核心课程的中期检查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强化教学科研改革。在2024年湖南省职业院校教育教学改革研究项目立项名单中，何娟、刘杰、秦敦岗、盘格萍、郑飞、王静、杨慧敏、何彩云、杨婷婷等老师负责项目获批立项。完成2024年省市教改课题开题论证工作；省级课题立项9个，结题7个；市级课题立项10个，结题6个。教师获国家专利4人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5.高效开展省优质技工学校创建工作。根据省人社厅《关于开展2024年湖南省优质技工院校和技工教育优质专业建设申报工作的通知》文件精神，学校申报2024年湖南省优质技工院校和技工教育优质专业建设项目。 2024年5月，学校（道州技工学校）被湖南省人社厅评为“湖南省2024年第一批专项职业能力考核站”。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（二）聚焦精准培养，人才培养开创新局面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成功组织“我的韶山行活动”。2024年11月，组织23级2千余名学生赴韶山开展“我的韶山行”研学活动。参研学生以高昂的热情和良好的精神风貌顺利完成各项研学课程，得到省市领导的充分肯定，中央电视台新闻频道对我校“我的韶山行”红色研学活动作了专题报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促进家校合作育人。一是开展“万师访万家”家访活动。2024年寒暑假，筛选重点家访对象，组织党员干部、班主任和任课教师300多人走进2000余名学生的家庭，了解学生成长状况并加强家庭教育指导，架起家校联系的连心桥，守护每一名学生健康成长。二是召开学生家长会。2024年上下期，分别面向3个年级学生召开学生家长会6次，学校主要负责人和相关部门负责人出席会议，2000多名家长代表参加会议，促进家校齐心齐力、共育共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开展“利剑护蕾”行动。根据省市县的安排部署，制定《永州工贸学校关于开展“利剑护蕾”防范性侵未成年人专项整治行动方案》，扎实开展防范性侵未成年人专项整治行动，组织教职工集中学习《关于建立侵害未成年人案件强制报告制度的意见》《中华人民共和国未成年人保护法》，观看《预防学生侵害警示教育片》，签订《预防未成年人侵害工作责任书》，扎实做好学校未成年人保护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抓实职业院校“三大赛事”。学校坚持以赛促教，高度重视职业技能竞赛、中职生“文明风采”大赛、“黄炎培”创新创业规划大赛等“三大赛事”。始终坚持赛训一体、以赛促教，成立技能竞赛核心研究团队，培训优化和激励技能大赛指导教师，提升学生备赛参赛水平。2024年，学生参加各级各类大赛获国家级奖项8人次，省级奖项4人次，市级奖项13人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顺利完成新生招生工作。为确保公平公正、阳光招生，精心制定招生简章，编制招生计划，开展招生宣传和咨询服务。招生录取期间，校领导亲临现场指导督查，校纪检监察部门全程监督，严格贯彻教育部及省级招生部门相关文件精神，依循招生章程与招生计划进行录取工作。2024年秋季，录取新生2396名，涵盖对口高考、技能班、技工教育、中高职衔接转段等类型。此外，分别与湖南环境生物职业技术学院、湖南生物机电职业技术学院联合举办中高职衔接转段等招生新生140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实施对口高考攻坚工程。成立党委书记、校长为组长的2024届对口高考领导小组，成立以骨干教师为主的对口高考核心研究团队，针对优质生源不足、学生基础薄弱等实际，大力弘扬“三苦”精神，加大教学改革力度，改进师生激励机制，强化培优补弱、固本强基，创新转化“弱质生源”，2024年，对口高考上二本及以上分数线人数111人，位居永州第三位，居全省同类学校前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7.圆满完成公共基础课普测。根据省市公共基础课普测工作要求和《学校公共基础课普测工作方案》，组织22级学生积极参加公共基础课普测工作，优秀率、合格率均居全省同类学校前列。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（三）聚焦强师培优，师资队伍实现新突破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1.补齐教师队伍建设短板。2024年，县委、县政府为我校分别引进人才1名，接收免费师范生5名，公开招考教师5名，补充招聘教师15名，有效地补齐教师队伍建设数量不足的短板。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打造优质教学团队。2024学，孙玉俊教学团队和刘杰教学团队分别入围湖南省职业教育“楚怡”行动高水平教师队伍中的教师教学创新团队、名师工作室立项建设项目。魏景林老师获评永州市“潇湘名师”，杨子荣获“市优秀教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聘请企业技术骨干为兼职教师。为助力学校专业群建设，加深学生对行业企业的了解，推进校企合作、产教融合，聘请合作企业佛山顺德矢崎汽车配件有限公司高级技师李鸿佳等5人为兼职教师，赴校开展校企合作实践教学活动20余次，不断提升学生的专业素养和实践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提升教师职业素养能力。围绕教师职业素质能力提升，利用寒假开展了师资校本培训、入企锻炼、课堂教学实施培训等工作，组织专业教师报名参加职业院校教师素质提高计划国家级、省级、市级培训，提升职业素质能力。2024年，评选市级骨干教师3人，教师获市级职业能力竞赛二等奖4个。市科普讲解大赛中荣获市二等奖1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（四）聚焦产教融合，服务发展展现新作为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推进产教融合校企合作。一是组织学生深入县高新区企业观摩见习。组织22级电子技术应用、电子信息技术、计算机网络技术、数控模具、服装设计与工艺五个专业共200余名学生代表，深入道县高新区湖南恒显坤光电科技有限公司、湖南金磐精密机械有限公司、永州腾辉鞋业有限公司等10余家企业观摩见习，增进学校与企业之间的沟通与交流，为校企联合打下坚实的基础。二是举办县域内企业校园现场招聘会。与县高新区、县人社局联合县高新区湖南恒显坤光电科技有限公司、湖南田牧之家股份有限公司、永州锋源运动用品有限公司、道县晶石电子科技有限公司等企业，举办2024年永州工贸学校、道州技工学校县域内企业校园现场招聘会，为学生与企业搭建实习、就业的沟通桥梁，实现企业与学生的零距离对接，服务地方产业高质量发展。三是推进22级学生分流和岗位实习工作。召开2022级学生岗位实习动员暨安全教育大会，为学生详细解读岗位实习管理规定和进行安全教育培训，完成了22级2300多名学生的分流和分别到县高新区、珠三角、长三角等企业开展岗位实习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完成全市“党建+乡村振兴高素质农民培育”工作。2024年，完成2024年全市“党建+乡村振兴高素质农民培育”培训工作，来自全市各县区的450名学员，分三期在我校参加培训。《培育新时代高素质农民，服务乡村振兴战略—永州市工业贸易中等专业学校“党建+乡村振兴高素质农民”培育案例》被省教育厅国家向教育部推荐为全国职业技能培训典型案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出色做好“校友回湘”相关工作。根据县委、县政府工作安排，学校认真做好“校友回湘”工作，杰出校友财政部综合司副司长唐在富，国防科大党委常委、办公室主任谭羽，新疆乌恰县委副书记、政法委书记黄志文，湖南生物机电职业技术学院动物科学院院长何德肆，著名企业家唐咸亮等优秀校友先后回道县，为学校发展、为道县振兴献计献策。2024年9月，校友唐咸亮投资兴办的湖南雁晟农业科技有限公司，在校办企业深永发电子有限公司园区内举行道州灰鹅循环生态产业园项目开工暨奠基仪式。在11月20日至21日省政府组织召开的“校友回湘”大会上，我校作为全市唯一一所职业学校被邀请出席大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4.做好结对帮扶工作。根据县委安排，学校结对监测横岭瑶族乡两江村脱贫户防返贫45户。每月核实结对帮扶或结对联系对象的基本情况，精准落实结对帮扶措施。按县易地搬迁联席办的工作要求，做了帮扶联系对象是横岭乡浪石安置区易地搬迁户搬迁后扶工作。根据县委乡村振兴战略领导小组工作安排，学校有结对帮扶（联系）的领导前往横岭乡两江村、沙窝村、清塘镇铜狮井村监测户和脱贫户家中开展走访，排查返贫风险和低保、孤儿、残疾人、教育、医保等补贴政策落实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做优文明创建工作。按照县委、县政府《道县文明创建工作实施方案》要求，按要求到责任路段做好文明劝导、夜巡和进社区入户开展文明创建宣传等工作。根据道县文明创建工作领导小组《关于印发〈“文明道州 城乡同行”新风行 动实施方案〉的通知》文件精神，营造了干净整洁、规范有序、清新怡人的校园环境。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七、存在的主要问题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一）教师编制缺口较大。近年来，学校办学规模持续扩大，教师编制数却没有增加，原有教师编制数不能满足学校日常教育教学工作。按省编办文件测算，目前学校需增加编制120个以上。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（二）学生文化基础薄弱。优质生源招生严重不足，学生文化基础薄弱，存在厌学情绪严重、行为习惯不良、成绩不理想等现象，导致学校出现教学质量提升的难度大和对口高考上本科线人数下滑等现象。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三）基础设施设备陈旧。教学硬件设施陈旧，学生宿舍拥挤、热水供应设备不足。学校因建设资金紧缺，不能及时更新改进，不适应现代新课程改革深入展开和不能满足学生生活需要，影响教学质量和育人水平提升。</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下一步改进措施</w:t>
      </w:r>
      <w:r>
        <w:rPr>
          <w:rFonts w:hint="eastAsia" w:ascii="宋体" w:hAnsi="宋体" w:eastAsia="宋体" w:cs="宋体"/>
          <w:b/>
          <w:bCs/>
          <w:sz w:val="28"/>
          <w:szCs w:val="28"/>
          <w:lang w:eastAsia="zh-CN"/>
        </w:rPr>
        <w:t>和有关建议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（一）争取经费，改善办学条件。积极争取各级财政经费和项目经费，添加仪器设备，加强实训基地建设，改善办学条件。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深化改革，增强质量意识。一是深化教学改革。用先进的教育理念引领教师积极开展教学改革，把人才培养目标落实到教学环节中。二是改革教学模式。注重教学过程与工作过程、专业学习与岗位要求、理论知识与实践技能等相统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（三）健全制度，规范管理活动 。根据学校管理工作的需要，建立健全和完善工作机制、规章制度和方法。将督查考核结果与绩效奖励、资源配置结合起来，与个人晋级晋升相挂钩，确保各项制度落实到日常教学中去。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（四）优化环境，促进和谐发展。 一是优化育人环境。以教学为中心，以学生成长成才为根本，为学生的学习、生活提供更便捷的条件和更优美的环境。二是优化教师发展环境。改善教师办公条件和教学、科研环境，重视教师的个人发展，将教职工个人利益和学校利益有机结合起来。</w:t>
      </w:r>
    </w:p>
    <w:p>
      <w:pPr>
        <w:jc w:val="right"/>
        <w:rPr>
          <w:rFonts w:hint="eastAsia" w:ascii="宋体" w:hAnsi="宋体" w:eastAsia="宋体" w:cs="宋体"/>
          <w:sz w:val="28"/>
          <w:szCs w:val="28"/>
        </w:rPr>
      </w:pPr>
      <w:r>
        <w:rPr>
          <w:rFonts w:hint="eastAsia" w:ascii="宋体" w:hAnsi="宋体" w:eastAsia="宋体" w:cs="宋体"/>
          <w:sz w:val="28"/>
          <w:szCs w:val="28"/>
          <w:lang w:eastAsia="zh-CN"/>
        </w:rPr>
        <w:t>永州工贸学校</w:t>
      </w:r>
      <w:r>
        <w:rPr>
          <w:rFonts w:hint="eastAsia" w:ascii="宋体" w:hAnsi="宋体" w:eastAsia="宋体" w:cs="宋体"/>
          <w:sz w:val="28"/>
          <w:szCs w:val="28"/>
        </w:rPr>
        <w:t xml:space="preserve"> </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17</w:t>
      </w:r>
      <w:bookmarkStart w:id="0" w:name="_GoBack"/>
      <w:bookmarkEnd w:id="0"/>
      <w:r>
        <w:rPr>
          <w:rFonts w:hint="eastAsia" w:ascii="宋体" w:hAnsi="宋体" w:eastAsia="宋体" w:cs="宋体"/>
          <w:sz w:val="28"/>
          <w:szCs w:val="28"/>
        </w:rPr>
        <w:t>日</w:t>
      </w:r>
    </w:p>
    <w:p>
      <w:pPr>
        <w:jc w:val="righ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79BDD"/>
    <w:multiLevelType w:val="singleLevel"/>
    <w:tmpl w:val="C4C79BDD"/>
    <w:lvl w:ilvl="0" w:tentative="0">
      <w:start w:val="1"/>
      <w:numFmt w:val="decimal"/>
      <w:suff w:val="nothing"/>
      <w:lvlText w:val="%1、"/>
      <w:lvlJc w:val="left"/>
    </w:lvl>
  </w:abstractNum>
  <w:abstractNum w:abstractNumId="1">
    <w:nsid w:val="204C1407"/>
    <w:multiLevelType w:val="singleLevel"/>
    <w:tmpl w:val="204C1407"/>
    <w:lvl w:ilvl="0" w:tentative="0">
      <w:start w:val="1"/>
      <w:numFmt w:val="chineseCounting"/>
      <w:suff w:val="nothing"/>
      <w:lvlText w:val="（%1）"/>
      <w:lvlJc w:val="left"/>
      <w:rPr>
        <w:rFonts w:hint="eastAsia"/>
      </w:rPr>
    </w:lvl>
  </w:abstractNum>
  <w:abstractNum w:abstractNumId="2">
    <w:nsid w:val="4A846F6F"/>
    <w:multiLevelType w:val="singleLevel"/>
    <w:tmpl w:val="4A846F6F"/>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mNlODQwZDRjMzc4NmIzYzFmYjg5M2UxZTBiZjcifQ=="/>
  </w:docVars>
  <w:rsids>
    <w:rsidRoot w:val="424E6BB3"/>
    <w:rsid w:val="03EE202A"/>
    <w:rsid w:val="17A34808"/>
    <w:rsid w:val="424E6BB3"/>
    <w:rsid w:val="64803E3B"/>
    <w:rsid w:val="65437F90"/>
    <w:rsid w:val="698B26F0"/>
    <w:rsid w:val="6AA149FB"/>
    <w:rsid w:val="6B1D3735"/>
    <w:rsid w:val="77612923"/>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semiHidden/>
    <w:unhideWhenUsed/>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pacing w:before="0" w:after="120"/>
      <w:ind w:left="200" w:leftChars="200" w:right="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widowControl w:val="0"/>
      <w:spacing w:before="0" w:after="120"/>
      <w:ind w:left="200" w:leftChars="200" w:right="0"/>
      <w:jc w:val="both"/>
    </w:pPr>
    <w:rPr>
      <w:rFonts w:ascii="Calibri" w:hAnsi="Calibri" w:eastAsia="宋体" w:cs="Times New Roman"/>
      <w:kern w:val="2"/>
      <w:sz w:val="21"/>
      <w:szCs w:val="24"/>
      <w:lang w:val="en-US" w:eastAsia="zh-CN" w:bidi="ar-SA"/>
    </w:rPr>
  </w:style>
  <w:style w:type="paragraph" w:styleId="5">
    <w:name w:val="footnote text"/>
    <w:basedOn w:val="1"/>
    <w:qFormat/>
    <w:uiPriority w:val="0"/>
    <w:pPr>
      <w:snapToGrid w:val="0"/>
      <w:jc w:val="left"/>
    </w:pPr>
    <w:rPr>
      <w:rFonts w:ascii="Calibri" w:hAnsi="Calibri" w:eastAsia="宋体" w:cs="Times New Roman"/>
    </w:rPr>
  </w:style>
  <w:style w:type="character" w:customStyle="1" w:styleId="8">
    <w:name w:val="NormalCharacter"/>
    <w:link w:val="1"/>
    <w:qFormat/>
    <w:uiPriority w:val="0"/>
    <w:rPr>
      <w:rFonts w:ascii="Tahoma" w:hAnsi="Tahoma" w:eastAsia="微软雅黑" w:cstheme="minorBidi"/>
      <w:sz w:val="22"/>
      <w:szCs w:val="22"/>
      <w:lang w:val="en-US" w:eastAsia="zh-CN" w:bidi="ar-SA"/>
    </w:rPr>
  </w:style>
  <w:style w:type="paragraph" w:customStyle="1" w:styleId="9">
    <w:name w:val="Normal_1"/>
    <w:qFormat/>
    <w:uiPriority w:val="0"/>
    <w:rPr>
      <w:rFonts w:ascii="Times New Roman" w:hAnsi="Times New Roman" w:eastAsia="Times New Roman" w:cs="Times New Roman"/>
      <w:kern w:val="0"/>
      <w:sz w:val="24"/>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2372</Words>
  <Characters>2528</Characters>
  <Lines>0</Lines>
  <Paragraphs>0</Paragraphs>
  <TotalTime>4</TotalTime>
  <ScaleCrop>false</ScaleCrop>
  <LinksUpToDate>false</LinksUpToDate>
  <CharactersWithSpaces>2544</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2023-08-11T06:53:00Z</dcterms:created>
  <dc:creator>宁静致远</dc:creator>
  <cp:lastModifiedBy>Administrator</cp:lastModifiedBy>
  <dcterms:modified xsi:type="dcterms:W3CDTF">2025-05-17T08:34:00Z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4105D166DD9A4A4789A240707F80FD3E_11</vt:lpwstr>
  </property>
  <property fmtid="{D5CDD505-2E9C-101B-9397-08002B2CF9AE}" pid="4" name="KSOTemplateDocerSaveRecord">
    <vt:lpwstr>eyJoZGlkIjoiNjI4NTM1ZGUyYTQ2MTBjNjUzNjExY2M1OGRiMmIwMjgiLCJ1c2VySWQiOiIzNzE4NDYxODQifQ==</vt:lpwstr>
  </property>
</Properties>
</file>