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LwJlDWAAAACgEAAA8AAAAAAAAAAQAgAAAAIgAAAGRycy9kb3du&#10;cmV2LnhtbFBLAQIUABQAAAAIAIdO4kBDKpePOgIAAEwEAAAOAAAAAAAAAAEAIAAAACUBAABkcnMv&#10;ZTJvRG9jLnhtbFBLBQYAAAAABgAGAFkBAADRBQ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3"/>
        <w:jc w:val="center"/>
        <w:rPr>
          <w:sz w:val="56"/>
          <w:szCs w:val="56"/>
        </w:rPr>
      </w:pPr>
    </w:p>
    <w:p>
      <w:pPr>
        <w:pStyle w:val="13"/>
        <w:jc w:val="center"/>
        <w:rPr>
          <w:sz w:val="84"/>
          <w:szCs w:val="84"/>
        </w:rPr>
      </w:pPr>
    </w:p>
    <w:p>
      <w:pPr>
        <w:pStyle w:val="13"/>
        <w:jc w:val="center"/>
        <w:rPr>
          <w:sz w:val="84"/>
          <w:szCs w:val="84"/>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202</w:t>
      </w:r>
      <w:r>
        <w:rPr>
          <w:rFonts w:hint="eastAsia" w:ascii="方正小标宋_GBK" w:hAnsi="方正小标宋_GBK" w:eastAsia="方正小标宋_GBK" w:cs="方正小标宋_GBK"/>
          <w:sz w:val="72"/>
          <w:szCs w:val="72"/>
          <w:lang w:val="en-US" w:eastAsia="zh-CN"/>
        </w:rPr>
        <w:t>4</w:t>
      </w:r>
      <w:r>
        <w:rPr>
          <w:rFonts w:hint="eastAsia" w:ascii="方正小标宋_GBK" w:hAnsi="方正小标宋_GBK" w:eastAsia="方正小标宋_GBK" w:cs="方正小标宋_GBK"/>
          <w:sz w:val="72"/>
          <w:szCs w:val="72"/>
        </w:rPr>
        <w:t>年度</w:t>
      </w: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val="en-US" w:eastAsia="zh-CN"/>
        </w:rPr>
        <w:t>中共道县</w:t>
      </w:r>
      <w:r>
        <w:rPr>
          <w:rFonts w:hint="eastAsia" w:ascii="方正小标宋_GBK" w:hAnsi="方正小标宋_GBK" w:eastAsia="方正小标宋_GBK" w:cs="方正小标宋_GBK"/>
          <w:sz w:val="72"/>
          <w:szCs w:val="72"/>
        </w:rPr>
        <w:t>县委</w:t>
      </w:r>
      <w:r>
        <w:rPr>
          <w:rFonts w:hint="eastAsia" w:ascii="方正小标宋_GBK" w:hAnsi="方正小标宋_GBK" w:eastAsia="方正小标宋_GBK" w:cs="方正小标宋_GBK"/>
          <w:sz w:val="72"/>
          <w:szCs w:val="72"/>
          <w:lang w:val="en-US" w:eastAsia="zh-CN"/>
        </w:rPr>
        <w:t>改革发展与研究</w:t>
      </w:r>
      <w:r>
        <w:rPr>
          <w:rFonts w:hint="eastAsia" w:ascii="方正小标宋_GBK" w:hAnsi="方正小标宋_GBK" w:eastAsia="方正小标宋_GBK" w:cs="方正小标宋_GBK"/>
          <w:sz w:val="72"/>
          <w:szCs w:val="72"/>
        </w:rPr>
        <w:t>中心部门决算</w:t>
      </w:r>
    </w:p>
    <w:p>
      <w:pPr>
        <w:pStyle w:val="13"/>
        <w:jc w:val="center"/>
        <w:rPr>
          <w:rFonts w:hint="eastAsia" w:ascii="方正小标宋_GBK" w:hAnsi="方正小标宋_GBK" w:eastAsia="方正小标宋_GBK" w:cs="方正小标宋_GBK"/>
          <w:sz w:val="56"/>
          <w:szCs w:val="56"/>
        </w:rPr>
      </w:pPr>
    </w:p>
    <w:p>
      <w:pPr>
        <w:pStyle w:val="13"/>
        <w:jc w:val="center"/>
        <w:rPr>
          <w:sz w:val="56"/>
          <w:szCs w:val="56"/>
        </w:rPr>
      </w:pPr>
    </w:p>
    <w:p>
      <w:pPr>
        <w:pStyle w:val="13"/>
        <w:jc w:val="center"/>
        <w:rPr>
          <w:sz w:val="56"/>
          <w:szCs w:val="56"/>
        </w:rPr>
      </w:pPr>
    </w:p>
    <w:p>
      <w:pPr>
        <w:pStyle w:val="13"/>
        <w:jc w:val="center"/>
        <w:rPr>
          <w:sz w:val="56"/>
          <w:szCs w:val="56"/>
        </w:rPr>
      </w:pPr>
    </w:p>
    <w:p>
      <w:pPr>
        <w:pStyle w:val="13"/>
        <w:jc w:val="center"/>
        <w:rPr>
          <w:sz w:val="32"/>
          <w:szCs w:val="32"/>
        </w:rPr>
      </w:pPr>
    </w:p>
    <w:p>
      <w:pPr>
        <w:pStyle w:val="13"/>
        <w:jc w:val="center"/>
        <w:rPr>
          <w:sz w:val="32"/>
          <w:szCs w:val="32"/>
        </w:rPr>
      </w:pPr>
    </w:p>
    <w:p>
      <w:pPr>
        <w:pStyle w:val="13"/>
        <w:jc w:val="center"/>
        <w:rPr>
          <w:sz w:val="32"/>
          <w:szCs w:val="32"/>
        </w:rPr>
      </w:pPr>
    </w:p>
    <w:p>
      <w:pPr>
        <w:pStyle w:val="13"/>
        <w:spacing w:line="500" w:lineRule="exact"/>
        <w:jc w:val="both"/>
        <w:rPr>
          <w:b/>
          <w:sz w:val="36"/>
          <w:szCs w:val="28"/>
        </w:rPr>
      </w:pPr>
    </w:p>
    <w:p>
      <w:pPr>
        <w:pStyle w:val="13"/>
        <w:spacing w:line="500" w:lineRule="exact"/>
        <w:jc w:val="center"/>
        <w:rPr>
          <w:b/>
          <w:sz w:val="32"/>
          <w:szCs w:val="32"/>
        </w:rPr>
      </w:pPr>
      <w:r>
        <w:rPr>
          <w:rFonts w:hint="eastAsia"/>
          <w:b/>
          <w:sz w:val="32"/>
          <w:szCs w:val="32"/>
        </w:rPr>
        <w:t>目</w:t>
      </w:r>
      <w:r>
        <w:rPr>
          <w:rFonts w:hint="eastAsia"/>
          <w:b/>
          <w:sz w:val="32"/>
          <w:szCs w:val="32"/>
          <w:lang w:val="en-US" w:eastAsia="zh-CN"/>
        </w:rPr>
        <w:t xml:space="preserve">     </w:t>
      </w:r>
      <w:r>
        <w:rPr>
          <w:rFonts w:hint="eastAsia"/>
          <w:b/>
          <w:sz w:val="32"/>
          <w:szCs w:val="32"/>
        </w:rPr>
        <w:t>录</w:t>
      </w:r>
    </w:p>
    <w:p>
      <w:pPr>
        <w:pStyle w:val="13"/>
        <w:spacing w:line="5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第一部分</w:t>
      </w:r>
      <w:r>
        <w:rPr>
          <w:rFonts w:hint="eastAsia" w:ascii="黑体" w:hAnsi="黑体" w:eastAsia="黑体" w:cs="黑体"/>
          <w:b w:val="0"/>
          <w:bCs/>
          <w:sz w:val="32"/>
          <w:szCs w:val="32"/>
          <w:lang w:val="en-US" w:eastAsia="zh-CN"/>
        </w:rPr>
        <w:t xml:space="preserve"> </w:t>
      </w:r>
      <w:r>
        <w:rPr>
          <w:rFonts w:hint="eastAsia" w:hAnsi="黑体" w:cs="黑体"/>
          <w:b w:val="0"/>
          <w:bCs/>
          <w:sz w:val="32"/>
          <w:szCs w:val="32"/>
          <w:lang w:val="en-US" w:eastAsia="zh-CN"/>
        </w:rPr>
        <w:t>中共道县县委改革与发展研究中心</w:t>
      </w:r>
      <w:r>
        <w:rPr>
          <w:rFonts w:hint="eastAsia" w:ascii="黑体" w:hAnsi="黑体" w:eastAsia="黑体" w:cs="黑体"/>
          <w:b w:val="0"/>
          <w:bCs/>
          <w:sz w:val="32"/>
          <w:szCs w:val="32"/>
        </w:rPr>
        <w:t>概况</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一、部门职责</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二、机构设置</w:t>
      </w:r>
    </w:p>
    <w:p>
      <w:pPr>
        <w:pStyle w:val="13"/>
        <w:spacing w:line="5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第二部分</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部门决算表</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一、收入支出决算总表</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二、收入决算表</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三、支出决算表</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四、财政拨款收入支出决算总表</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五、一般公共预算财政拨款支出决算表</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六、一般公共预算财政拨款基本支出决算明细表</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七、政府性基金预算财政拨款收入支出决算表</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八、国有资本经营预算财政拨款支出决算表</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九、财政拨款“三公”经费支出决算表</w:t>
      </w:r>
    </w:p>
    <w:p>
      <w:pPr>
        <w:pStyle w:val="13"/>
        <w:spacing w:line="5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第三部分</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部门决算情况说明</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一、收入支出决算总体情况说明</w:t>
      </w:r>
    </w:p>
    <w:p>
      <w:pPr>
        <w:spacing w:line="500" w:lineRule="exact"/>
        <w:ind w:firstLine="800" w:firstLineChars="25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二、收入决算情况说明</w:t>
      </w:r>
    </w:p>
    <w:p>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三、支出决算情况说明</w:t>
      </w:r>
    </w:p>
    <w:p>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四、财政拨款收入支出决算总体情况说明</w:t>
      </w:r>
    </w:p>
    <w:p>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五、一般公共预算财政拨款支出决算情况说明</w:t>
      </w:r>
    </w:p>
    <w:p>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六、一般公共预算财政拨款基本支出决算情况说明</w:t>
      </w:r>
    </w:p>
    <w:p>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七、财政拨款三公经费支出决算情况说明</w:t>
      </w:r>
    </w:p>
    <w:p>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八、政府性基金预算收入支出决算情况</w:t>
      </w:r>
    </w:p>
    <w:p>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九、关于机关运行经费支出说明</w:t>
      </w:r>
    </w:p>
    <w:p>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十、一般性支出情况说明</w:t>
      </w:r>
    </w:p>
    <w:p>
      <w:pPr>
        <w:autoSpaceDE w:val="0"/>
        <w:autoSpaceDN w:val="0"/>
        <w:adjustRightInd w:val="0"/>
        <w:spacing w:line="500" w:lineRule="exact"/>
        <w:ind w:firstLine="800" w:firstLineChars="25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十一、关于政府采购支出说明</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十二、关于国有资产占用情况说明</w:t>
      </w:r>
    </w:p>
    <w:p>
      <w:pPr>
        <w:pStyle w:val="13"/>
        <w:spacing w:line="50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十三、关于</w:t>
      </w: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4</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绩效情况的说明</w:t>
      </w:r>
    </w:p>
    <w:p>
      <w:pPr>
        <w:pStyle w:val="13"/>
        <w:spacing w:line="5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第四部分</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名词解释</w:t>
      </w:r>
    </w:p>
    <w:p>
      <w:pPr>
        <w:pStyle w:val="13"/>
        <w:spacing w:line="500" w:lineRule="exact"/>
        <w:ind w:firstLine="640" w:firstLineChars="200"/>
        <w:rPr>
          <w:rFonts w:hint="eastAsia" w:ascii="黑体" w:hAnsi="黑体" w:eastAsia="黑体" w:cs="黑体"/>
          <w:b w:val="0"/>
          <w:bCs/>
          <w:sz w:val="32"/>
          <w:szCs w:val="32"/>
          <w:lang w:eastAsia="zh-CN"/>
        </w:rPr>
      </w:pPr>
      <w:r>
        <w:rPr>
          <w:rFonts w:hint="eastAsia" w:ascii="黑体" w:hAnsi="黑体" w:eastAsia="黑体" w:cs="黑体"/>
          <w:b w:val="0"/>
          <w:bCs/>
          <w:sz w:val="32"/>
          <w:szCs w:val="32"/>
        </w:rPr>
        <w:t>第</w:t>
      </w:r>
      <w:r>
        <w:rPr>
          <w:rFonts w:hint="eastAsia" w:hAnsi="黑体" w:cs="黑体"/>
          <w:b w:val="0"/>
          <w:bCs/>
          <w:sz w:val="32"/>
          <w:szCs w:val="32"/>
          <w:lang w:eastAsia="zh-CN"/>
        </w:rPr>
        <w:t>五</w:t>
      </w:r>
      <w:r>
        <w:rPr>
          <w:rFonts w:hint="eastAsia" w:ascii="黑体" w:hAnsi="黑体" w:eastAsia="黑体" w:cs="黑体"/>
          <w:b w:val="0"/>
          <w:bCs/>
          <w:sz w:val="32"/>
          <w:szCs w:val="32"/>
        </w:rPr>
        <w:t>部分</w:t>
      </w:r>
      <w:r>
        <w:rPr>
          <w:rFonts w:hint="eastAsia" w:ascii="黑体" w:hAnsi="黑体" w:eastAsia="黑体" w:cs="黑体"/>
          <w:b w:val="0"/>
          <w:bCs/>
          <w:sz w:val="32"/>
          <w:szCs w:val="32"/>
          <w:lang w:val="en-US" w:eastAsia="zh-CN"/>
        </w:rPr>
        <w:t xml:space="preserve"> </w:t>
      </w:r>
      <w:r>
        <w:rPr>
          <w:rFonts w:hint="eastAsia" w:hAnsi="黑体" w:cs="黑体"/>
          <w:b w:val="0"/>
          <w:bCs/>
          <w:sz w:val="32"/>
          <w:szCs w:val="32"/>
          <w:lang w:eastAsia="zh-CN"/>
        </w:rPr>
        <w:t>附件</w:t>
      </w:r>
    </w:p>
    <w:p>
      <w:pPr>
        <w:pStyle w:val="13"/>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8"/>
        <w:rPr>
          <w:rFonts w:hint="eastAsia" w:ascii="方正小标宋_GBK" w:hAnsi="方正小标宋_GBK" w:eastAsia="方正小标宋_GBK" w:cs="方正小标宋_GBK"/>
          <w:sz w:val="72"/>
          <w:szCs w:val="72"/>
        </w:rPr>
      </w:pPr>
    </w:p>
    <w:p>
      <w:pPr>
        <w:pStyle w:val="5"/>
        <w:rPr>
          <w:rFonts w:hint="eastAsia" w:ascii="方正小标宋_GBK" w:hAnsi="方正小标宋_GBK" w:eastAsia="方正小标宋_GBK" w:cs="方正小标宋_GBK"/>
          <w:sz w:val="72"/>
          <w:szCs w:val="72"/>
        </w:rPr>
      </w:pPr>
    </w:p>
    <w:p>
      <w:pPr>
        <w:rPr>
          <w:rFonts w:hint="eastAsia" w:ascii="方正小标宋_GBK" w:hAnsi="方正小标宋_GBK" w:eastAsia="方正小标宋_GBK" w:cs="方正小标宋_GBK"/>
          <w:sz w:val="72"/>
          <w:szCs w:val="72"/>
        </w:rPr>
      </w:pPr>
    </w:p>
    <w:p>
      <w:pPr>
        <w:pStyle w:val="8"/>
        <w:rPr>
          <w:rFonts w:hint="eastAsia" w:ascii="方正小标宋_GBK" w:hAnsi="方正小标宋_GBK" w:eastAsia="方正小标宋_GBK" w:cs="方正小标宋_GBK"/>
          <w:sz w:val="72"/>
          <w:szCs w:val="72"/>
        </w:rPr>
      </w:pPr>
    </w:p>
    <w:p>
      <w:pPr>
        <w:pStyle w:val="5"/>
        <w:rPr>
          <w:rFonts w:hint="eastAsia" w:ascii="方正小标宋_GBK" w:hAnsi="方正小标宋_GBK" w:eastAsia="方正小标宋_GBK" w:cs="方正小标宋_GBK"/>
          <w:sz w:val="72"/>
          <w:szCs w:val="72"/>
        </w:rPr>
      </w:pPr>
    </w:p>
    <w:p>
      <w:pPr>
        <w:rPr>
          <w:rFonts w:hint="eastAsia" w:ascii="方正小标宋_GBK" w:hAnsi="方正小标宋_GBK" w:eastAsia="方正小标宋_GBK" w:cs="方正小标宋_GBK"/>
          <w:sz w:val="72"/>
          <w:szCs w:val="72"/>
        </w:rPr>
      </w:pPr>
    </w:p>
    <w:p>
      <w:pPr>
        <w:pStyle w:val="8"/>
        <w:rPr>
          <w:rFonts w:hint="eastAsia"/>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val="en-US" w:eastAsia="zh-CN"/>
        </w:rPr>
        <w:t>中共道县县委改革与发展研究中心</w:t>
      </w:r>
      <w:r>
        <w:rPr>
          <w:rFonts w:hint="eastAsia" w:ascii="方正小标宋_GBK" w:hAnsi="方正小标宋_GBK" w:eastAsia="方正小标宋_GBK" w:cs="方正小标宋_GBK"/>
          <w:sz w:val="72"/>
          <w:szCs w:val="72"/>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pStyle w:val="8"/>
        <w:rPr>
          <w:sz w:val="72"/>
          <w:szCs w:val="72"/>
        </w:rPr>
      </w:pPr>
    </w:p>
    <w:p/>
    <w:p>
      <w:pPr>
        <w:jc w:val="center"/>
        <w:rPr>
          <w:sz w:val="72"/>
          <w:szCs w:val="72"/>
        </w:rPr>
      </w:pPr>
    </w:p>
    <w:p>
      <w:pPr>
        <w:pStyle w:val="14"/>
        <w:numPr>
          <w:ilvl w:val="0"/>
          <w:numId w:val="0"/>
        </w:numPr>
        <w:ind w:left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 xml:space="preserve">    一、</w:t>
      </w:r>
      <w:r>
        <w:rPr>
          <w:rFonts w:hint="eastAsia" w:ascii="黑体" w:hAnsi="黑体" w:eastAsia="黑体" w:cs="黑体"/>
          <w:b w:val="0"/>
          <w:bCs w:val="0"/>
          <w:sz w:val="32"/>
          <w:szCs w:val="32"/>
        </w:rPr>
        <w:t>部门职责</w:t>
      </w:r>
    </w:p>
    <w:p>
      <w:pPr>
        <w:ind w:firstLine="640" w:firstLineChars="200"/>
        <w:jc w:val="left"/>
        <w:rPr>
          <w:rFonts w:hint="default" w:ascii="Times New Roman" w:hAnsi="Times New Roman" w:eastAsia="仿宋_GB2312" w:cs="仿宋_GB2312"/>
          <w:sz w:val="32"/>
          <w:szCs w:val="32"/>
          <w:lang w:val="en-US"/>
        </w:rPr>
      </w:pPr>
      <w:r>
        <w:rPr>
          <w:rFonts w:hint="eastAsia" w:ascii="Times New Roman" w:hAnsi="Times New Roman" w:eastAsia="仿宋_GB2312" w:cs="仿宋_GB2312"/>
          <w:bCs/>
          <w:kern w:val="0"/>
          <w:sz w:val="32"/>
          <w:szCs w:val="32"/>
          <w:lang w:val="en-US" w:eastAsia="zh-CN"/>
        </w:rPr>
        <w:t>中共道县县委改革与发展研究中心主要职责是：</w:t>
      </w:r>
    </w:p>
    <w:p>
      <w:pPr>
        <w:keepNext w:val="0"/>
        <w:keepLines w:val="0"/>
        <w:pageBreakBefore w:val="0"/>
        <w:kinsoku/>
        <w:wordWrap/>
        <w:overflowPunct/>
        <w:topLinePunct w:val="0"/>
        <w:autoSpaceDE/>
        <w:autoSpaceDN/>
        <w:bidi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负责县委主要领导同志重要讲话、报告等文稿服务以及有关新闻稿的审定。</w:t>
      </w:r>
    </w:p>
    <w:p>
      <w:pPr>
        <w:keepNext w:val="0"/>
        <w:keepLines w:val="0"/>
        <w:pageBreakBefore w:val="0"/>
        <w:kinsoku/>
        <w:wordWrap/>
        <w:overflowPunct/>
        <w:topLinePunct w:val="0"/>
        <w:autoSpaceDE/>
        <w:autoSpaceDN/>
        <w:bidi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搜集整理县内外政治、经济、文化、社会、生态等方面的重要资料，为县委领导提供决策信息和依据。</w:t>
      </w:r>
    </w:p>
    <w:p>
      <w:pPr>
        <w:keepNext w:val="0"/>
        <w:keepLines w:val="0"/>
        <w:pageBreakBefore w:val="0"/>
        <w:kinsoku/>
        <w:wordWrap/>
        <w:overflowPunct/>
        <w:topLinePunct w:val="0"/>
        <w:autoSpaceDE/>
        <w:autoSpaceDN/>
        <w:bidi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受县委的委托，围绕事关全县全局性、综合性、战略性、长期性的问题开展政策跟踪研究和超前谋划，为县委决策提供符合实际的决策依据和参谋服务。</w:t>
      </w:r>
    </w:p>
    <w:p>
      <w:pPr>
        <w:keepNext w:val="0"/>
        <w:keepLines w:val="0"/>
        <w:pageBreakBefore w:val="0"/>
        <w:kinsoku/>
        <w:wordWrap/>
        <w:overflowPunct/>
        <w:topLinePunct w:val="0"/>
        <w:autoSpaceDE/>
        <w:autoSpaceDN/>
        <w:bidi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受县委的委托，起草县委全会工作报告、县委经济工作报告以及全局性、综合性的新闻发布、检查汇报、典型材料等材料；积极参与和配合有关部门起草、修订县委有关政策性文件、意见、制度。</w:t>
      </w:r>
    </w:p>
    <w:p>
      <w:pPr>
        <w:keepNext w:val="0"/>
        <w:keepLines w:val="0"/>
        <w:pageBreakBefore w:val="0"/>
        <w:kinsoku/>
        <w:wordWrap/>
        <w:overflowPunct/>
        <w:topLinePunct w:val="0"/>
        <w:autoSpaceDE/>
        <w:autoSpaceDN/>
        <w:bidi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受县委的委托，围绕县委总体工作部署、全县中心工作和县委领导交办的调研课题开展调查研究，提出预案和建议；针对贯彻落实党的路线、方针、政策情况开展专题调查研究，为县委科学决策提供参考。</w:t>
      </w:r>
    </w:p>
    <w:p>
      <w:pPr>
        <w:keepNext w:val="0"/>
        <w:keepLines w:val="0"/>
        <w:pageBreakBefore w:val="0"/>
        <w:kinsoku/>
        <w:wordWrap/>
        <w:overflowPunct/>
        <w:topLinePunct w:val="0"/>
        <w:autoSpaceDE/>
        <w:autoSpaceDN/>
        <w:bidi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编制与出版内部期刊，反映我县改革与发展问题的研究成果，报道全县改革与发展的先进做法，传递外地改革与发展的相关信息，指导全县改革与发展工作。</w:t>
      </w:r>
    </w:p>
    <w:p>
      <w:pPr>
        <w:ind w:firstLine="640" w:firstLineChars="200"/>
        <w:jc w:val="left"/>
        <w:rPr>
          <w:rFonts w:hint="eastAsia" w:ascii="Times New Roman" w:hAnsi="Times New Roman"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承办县委交办的其他事项。</w:t>
      </w:r>
    </w:p>
    <w:p>
      <w:pPr>
        <w:widowControl/>
        <w:spacing w:line="600" w:lineRule="exact"/>
        <w:ind w:firstLine="640" w:firstLineChars="200"/>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widowControl/>
        <w:spacing w:line="600" w:lineRule="exact"/>
        <w:ind w:firstLine="640" w:firstLineChars="200"/>
        <w:rPr>
          <w:rFonts w:hint="eastAsia" w:ascii="仿宋_GB2312" w:hAnsi="仿宋_GB2312" w:eastAsia="仿宋_GB2312" w:cs="仿宋_GB2312"/>
          <w:sz w:val="32"/>
          <w:szCs w:val="32"/>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中共道县县委改革与发展研究中心</w:t>
      </w:r>
      <w:r>
        <w:rPr>
          <w:rFonts w:hint="eastAsia" w:ascii="Times New Roman" w:hAnsi="Times New Roman" w:eastAsia="仿宋_GB2312" w:cs="仿宋_GB2312"/>
          <w:bCs/>
          <w:kern w:val="0"/>
          <w:sz w:val="32"/>
          <w:szCs w:val="32"/>
        </w:rPr>
        <w:t>内设机构包括：</w:t>
      </w:r>
      <w:r>
        <w:rPr>
          <w:rFonts w:hint="eastAsia" w:ascii="Times New Roman" w:hAnsi="Times New Roman" w:eastAsia="仿宋_GB2312" w:cs="仿宋_GB2312"/>
          <w:bCs/>
          <w:kern w:val="0"/>
          <w:sz w:val="32"/>
          <w:szCs w:val="32"/>
          <w:lang w:val="en-US" w:eastAsia="zh-CN"/>
        </w:rPr>
        <w:t>综合室、文稿室、</w:t>
      </w:r>
      <w:r>
        <w:rPr>
          <w:rFonts w:hint="eastAsia" w:ascii="仿宋_GB2312" w:hAnsi="仿宋_GB2312" w:eastAsia="仿宋_GB2312" w:cs="仿宋_GB2312"/>
          <w:sz w:val="32"/>
          <w:szCs w:val="32"/>
        </w:rPr>
        <w:t>改革发展研究室、信息服务室等4个内设机构。</w:t>
      </w:r>
    </w:p>
    <w:p>
      <w:pPr>
        <w:widowControl/>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中共道县县委改革与发展研究中心</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中共道县县委改革与发展研究中心</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pStyle w:val="13"/>
        <w:jc w:val="both"/>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1440" w:right="340" w:bottom="1440" w:left="340" w:header="851" w:footer="992" w:gutter="0"/>
          <w:cols w:space="0" w:num="1"/>
          <w:rtlGutter w:val="0"/>
          <w:docGrid w:type="lines" w:linePitch="312" w:charSpace="0"/>
        </w:sectPr>
      </w:pPr>
    </w:p>
    <w:tbl>
      <w:tblPr>
        <w:tblStyle w:val="9"/>
        <w:tblW w:w="15428" w:type="dxa"/>
        <w:tblInd w:w="0" w:type="dxa"/>
        <w:tblLayout w:type="fixed"/>
        <w:tblCellMar>
          <w:top w:w="0" w:type="dxa"/>
          <w:left w:w="0" w:type="dxa"/>
          <w:bottom w:w="0" w:type="dxa"/>
          <w:right w:w="0" w:type="dxa"/>
        </w:tblCellMar>
      </w:tblPr>
      <w:tblGrid>
        <w:gridCol w:w="274"/>
        <w:gridCol w:w="756"/>
        <w:gridCol w:w="3504"/>
        <w:gridCol w:w="900"/>
        <w:gridCol w:w="1548"/>
        <w:gridCol w:w="1608"/>
        <w:gridCol w:w="1464"/>
        <w:gridCol w:w="1260"/>
        <w:gridCol w:w="2184"/>
        <w:gridCol w:w="1930"/>
      </w:tblGrid>
      <w:tr>
        <w:tblPrEx>
          <w:tblLayout w:type="fixed"/>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04"/>
              <w:gridCol w:w="581"/>
              <w:gridCol w:w="1332"/>
              <w:gridCol w:w="4761"/>
              <w:gridCol w:w="1529"/>
              <w:gridCol w:w="531"/>
              <w:gridCol w:w="658"/>
              <w:gridCol w:w="18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4" w:hRule="atLeast"/>
              </w:trPr>
              <w:tc>
                <w:tcPr>
                  <w:tcW w:w="4204"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581"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332"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4761"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060"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460"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ind w:firstLine="6400" w:firstLineChars="2000"/>
                    <w:jc w:val="both"/>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4" w:hRule="atLeast"/>
              </w:trPr>
              <w:tc>
                <w:tcPr>
                  <w:tcW w:w="420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81"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3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761"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060"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6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4" w:hRule="atLeast"/>
              </w:trPr>
              <w:tc>
                <w:tcPr>
                  <w:tcW w:w="4204"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部门：县委改发中心</w:t>
                  </w:r>
                </w:p>
              </w:tc>
              <w:tc>
                <w:tcPr>
                  <w:tcW w:w="581"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3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761"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060"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6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611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479"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62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7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7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146.83</w:t>
                  </w:r>
                </w:p>
              </w:tc>
              <w:tc>
                <w:tcPr>
                  <w:tcW w:w="47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7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7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7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7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7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4.91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10</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5" w:line="225"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十、节能环保支出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40</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11</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6"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十一、城乡社区支出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41</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12</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7"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十二、农林水支出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42</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8"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十三、交通运输支出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43</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14</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9"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十四、资源勘探工业信息等支出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44</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15</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9"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十五、商业服务业等支出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45</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16</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9" w:line="225"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十六、金融支出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46</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17</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9" w:line="225"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十七、援助其他地区支出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47</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18</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9"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十八、 自然资源海洋气象等支出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48</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19</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9"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十九、住房保障支出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49</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6.76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9" w:line="223"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二十、粮油物资储备支出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50</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9" w:line="223"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二十一、国有资本经营预算支出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51</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22</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9" w:line="224"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二十二、灾害防治及应急管理支出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52</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23</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9" w:line="225"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二十三、其他支出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53</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24</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9" w:line="223"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二十四、债务还本支出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54</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25</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0" w:line="224"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二十五、债务付息支出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55</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26</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9"/>
                    <w:spacing w:before="22" w:line="224"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二十六、抗疫特别国债安排的支出</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56</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27</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146.83</w:t>
                  </w: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146.83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37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14" w:hRule="atLeast"/>
              </w:trPr>
              <w:tc>
                <w:tcPr>
                  <w:tcW w:w="4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4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1802" w:type="dxa"/>
                <w:trHeight w:val="448" w:hRule="atLeast"/>
              </w:trPr>
              <w:tc>
                <w:tcPr>
                  <w:tcW w:w="42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8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3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146.83</w:t>
                  </w:r>
                </w:p>
              </w:tc>
              <w:tc>
                <w:tcPr>
                  <w:tcW w:w="47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5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60</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val="0"/>
                      <w:bCs w:val="0"/>
                      <w:i w:val="0"/>
                      <w:color w:val="000000"/>
                      <w:sz w:val="22"/>
                      <w:szCs w:val="22"/>
                      <w:u w:val="none"/>
                      <w:lang w:val="en-US" w:eastAsia="zh-CN"/>
                    </w:rPr>
                  </w:pPr>
                  <w:r>
                    <w:rPr>
                      <w:rFonts w:hint="eastAsia" w:ascii="宋体" w:hAnsi="宋体" w:eastAsia="宋体" w:cs="宋体"/>
                      <w:b w:val="0"/>
                      <w:bCs w:val="0"/>
                      <w:i w:val="0"/>
                      <w:color w:val="000000"/>
                      <w:sz w:val="22"/>
                      <w:szCs w:val="22"/>
                      <w:u w:val="none"/>
                      <w:lang w:val="en-US" w:eastAsia="zh-CN"/>
                    </w:rPr>
                    <w:t>146.83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Layout w:type="fixed"/>
          <w:tblCellMar>
            <w:top w:w="0" w:type="dxa"/>
            <w:left w:w="0" w:type="dxa"/>
            <w:bottom w:w="0" w:type="dxa"/>
            <w:right w:w="0" w:type="dxa"/>
          </w:tblCellMar>
        </w:tblPrEx>
        <w:trPr>
          <w:trHeight w:val="285" w:hRule="atLeast"/>
        </w:trPr>
        <w:tc>
          <w:tcPr>
            <w:tcW w:w="27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75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350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9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4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0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6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6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8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3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Layout w:type="fixed"/>
          <w:tblCellMar>
            <w:top w:w="0" w:type="dxa"/>
            <w:left w:w="0" w:type="dxa"/>
            <w:bottom w:w="0" w:type="dxa"/>
            <w:right w:w="0" w:type="dxa"/>
          </w:tblCellMar>
        </w:tblPrEx>
        <w:trPr>
          <w:trHeight w:val="285" w:hRule="atLeast"/>
        </w:trPr>
        <w:tc>
          <w:tcPr>
            <w:tcW w:w="1030"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3504" w:type="dxa"/>
            <w:tcBorders>
              <w:top w:val="nil"/>
              <w:left w:val="nil"/>
              <w:bottom w:val="nil"/>
              <w:right w:val="nil"/>
            </w:tcBorders>
            <w:shd w:val="clear" w:color="000000" w:fill="FFFFFF"/>
            <w:noWrap/>
            <w:tcMar>
              <w:top w:w="15" w:type="dxa"/>
              <w:left w:w="15" w:type="dxa"/>
              <w:bottom w:w="0" w:type="dxa"/>
              <w:right w:w="15" w:type="dxa"/>
            </w:tcMar>
            <w:vAlign w:val="center"/>
          </w:tcPr>
          <w:p>
            <w:pPr>
              <w:jc w:val="left"/>
              <w:rPr>
                <w:rFonts w:ascii="宋体" w:hAnsi="宋体" w:eastAsia="宋体" w:cs="宋体"/>
                <w:sz w:val="24"/>
                <w:szCs w:val="24"/>
              </w:rPr>
            </w:pPr>
            <w:r>
              <w:rPr>
                <w:rFonts w:hint="eastAsia"/>
                <w:lang w:val="en-US" w:eastAsia="zh-CN"/>
              </w:rPr>
              <w:t>县委改发中心</w:t>
            </w:r>
            <w:r>
              <w:rPr>
                <w:rFonts w:hint="eastAsia"/>
              </w:rPr>
              <w:t>　</w:t>
            </w:r>
          </w:p>
        </w:tc>
        <w:tc>
          <w:tcPr>
            <w:tcW w:w="9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4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08"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46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6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8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3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Layout w:type="fixed"/>
          <w:tblCellMar>
            <w:top w:w="0" w:type="dxa"/>
            <w:left w:w="0" w:type="dxa"/>
            <w:bottom w:w="0" w:type="dxa"/>
            <w:right w:w="0" w:type="dxa"/>
          </w:tblCellMar>
        </w:tblPrEx>
        <w:trPr>
          <w:trHeight w:val="244" w:hRule="atLeast"/>
        </w:trPr>
        <w:tc>
          <w:tcPr>
            <w:tcW w:w="4534"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9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54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60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4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2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218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9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Layout w:type="fixed"/>
          <w:tblCellMar>
            <w:top w:w="0" w:type="dxa"/>
            <w:left w:w="0" w:type="dxa"/>
            <w:bottom w:w="0" w:type="dxa"/>
            <w:right w:w="0" w:type="dxa"/>
          </w:tblCellMar>
        </w:tblPrEx>
        <w:trPr>
          <w:trHeight w:val="450" w:hRule="atLeast"/>
        </w:trPr>
        <w:tc>
          <w:tcPr>
            <w:tcW w:w="103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350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9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4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0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6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18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93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Layout w:type="fixed"/>
          <w:tblCellMar>
            <w:top w:w="0" w:type="dxa"/>
            <w:left w:w="0" w:type="dxa"/>
            <w:bottom w:w="0" w:type="dxa"/>
            <w:right w:w="0" w:type="dxa"/>
          </w:tblCellMar>
        </w:tblPrEx>
        <w:trPr>
          <w:trHeight w:val="312" w:hRule="atLeast"/>
        </w:trPr>
        <w:tc>
          <w:tcPr>
            <w:tcW w:w="1030"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3504"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4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0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6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18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93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Layout w:type="fixed"/>
          <w:tblCellMar>
            <w:top w:w="0" w:type="dxa"/>
            <w:left w:w="0" w:type="dxa"/>
            <w:bottom w:w="0" w:type="dxa"/>
            <w:right w:w="0" w:type="dxa"/>
          </w:tblCellMar>
        </w:tblPrEx>
        <w:trPr>
          <w:trHeight w:val="297" w:hRule="atLeast"/>
        </w:trPr>
        <w:tc>
          <w:tcPr>
            <w:tcW w:w="453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9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5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46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2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21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1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Layout w:type="fixed"/>
          <w:tblCellMar>
            <w:top w:w="0" w:type="dxa"/>
            <w:left w:w="0" w:type="dxa"/>
            <w:bottom w:w="0" w:type="dxa"/>
            <w:right w:w="0" w:type="dxa"/>
          </w:tblCellMar>
        </w:tblPrEx>
        <w:trPr>
          <w:trHeight w:val="393" w:hRule="atLeast"/>
        </w:trPr>
        <w:tc>
          <w:tcPr>
            <w:tcW w:w="453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146.83</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146.83</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rPr>
              <w:t>　</w:t>
            </w:r>
            <w:r>
              <w:rPr>
                <w:rFonts w:hint="eastAsia"/>
                <w:lang w:val="en-US" w:eastAsia="zh-CN"/>
              </w:rPr>
              <w:t>201</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一般公共服务支出</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126.12</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126.12</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rPr>
              <w:t>　</w:t>
            </w:r>
            <w:r>
              <w:rPr>
                <w:rFonts w:hint="eastAsia"/>
                <w:lang w:val="en-US" w:eastAsia="zh-CN"/>
              </w:rPr>
              <w:t>20104</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发展与改革事务</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33.00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33.00</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2010499</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rPr>
            </w:pPr>
            <w:r>
              <w:rPr>
                <w:rFonts w:hint="eastAsia"/>
              </w:rPr>
              <w:t>其他发展与改革事务支出</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33.00</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33.00</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20131</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党委办公厅（室）及相关机构事务</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93.12</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93.12</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2013101</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rPr>
            </w:pPr>
            <w:r>
              <w:rPr>
                <w:rFonts w:hint="eastAsia"/>
              </w:rPr>
              <w:t>行政运行</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93.12</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93.12</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208</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jc w:val="center"/>
              <w:rPr>
                <w:rFonts w:hint="eastAsia"/>
              </w:rPr>
            </w:pPr>
            <w:r>
              <w:rPr>
                <w:rFonts w:hint="eastAsia"/>
              </w:rPr>
              <w:t>社会保障和就业支出</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9.04</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9.04</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20805</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jc w:val="center"/>
              <w:rPr>
                <w:rFonts w:hint="eastAsia"/>
              </w:rPr>
            </w:pPr>
            <w:r>
              <w:rPr>
                <w:rFonts w:hint="eastAsia"/>
              </w:rPr>
              <w:t>行政事业单位养老支出</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9.04</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9.04</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369"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2080505</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jc w:val="center"/>
              <w:rPr>
                <w:rFonts w:hint="eastAsia"/>
              </w:rPr>
            </w:pPr>
            <w:r>
              <w:rPr>
                <w:rFonts w:hint="eastAsia"/>
              </w:rPr>
              <w:t>机关事业单位基本养老保险缴费支出</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9.04</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9.04</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345"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210</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jc w:val="center"/>
              <w:rPr>
                <w:rFonts w:hint="eastAsia"/>
              </w:rPr>
            </w:pPr>
            <w:r>
              <w:rPr>
                <w:rFonts w:hint="eastAsia"/>
              </w:rPr>
              <w:t>卫生健康支出</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4.91</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4.91</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357"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21011</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jc w:val="center"/>
              <w:rPr>
                <w:rFonts w:hint="eastAsia"/>
              </w:rPr>
            </w:pPr>
            <w:r>
              <w:rPr>
                <w:rFonts w:hint="eastAsia"/>
              </w:rPr>
              <w:t>行政事业单位医疗</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4.91</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4.91</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357"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2101102</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jc w:val="center"/>
              <w:rPr>
                <w:rFonts w:hint="eastAsia"/>
              </w:rPr>
            </w:pPr>
            <w:r>
              <w:rPr>
                <w:rFonts w:hint="eastAsia"/>
                <w:lang w:val="en-US" w:eastAsia="zh-CN"/>
              </w:rPr>
              <w:t>事业</w:t>
            </w:r>
            <w:r>
              <w:rPr>
                <w:rFonts w:hint="eastAsia"/>
              </w:rPr>
              <w:t>单位医疗</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4.91</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4.91</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19"/>
              <w:spacing w:before="138" w:line="189" w:lineRule="auto"/>
              <w:ind w:left="197" w:left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221</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19"/>
              <w:spacing w:before="106" w:line="229" w:lineRule="auto"/>
              <w:ind w:left="28" w:leftChars="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住房保障支出</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6.76</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6.76</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19"/>
              <w:spacing w:before="139" w:line="190" w:lineRule="auto"/>
              <w:ind w:left="197" w:left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22102</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19"/>
              <w:spacing w:before="107" w:line="229" w:lineRule="auto"/>
              <w:ind w:left="23" w:leftChars="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行政事业单位住房公积金</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6.76</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6.76</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450" w:hRule="atLeast"/>
        </w:trPr>
        <w:tc>
          <w:tcPr>
            <w:tcW w:w="103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19"/>
              <w:spacing w:before="140" w:line="190" w:lineRule="auto"/>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2210201</w:t>
            </w:r>
          </w:p>
        </w:tc>
        <w:tc>
          <w:tcPr>
            <w:tcW w:w="3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19"/>
              <w:spacing w:before="109" w:line="229" w:lineRule="auto"/>
              <w:ind w:left="236" w:leftChars="0"/>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住房公积金</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6.76</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6.76</w:t>
            </w:r>
          </w:p>
        </w:tc>
        <w:tc>
          <w:tcPr>
            <w:tcW w:w="16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4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1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9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Layout w:type="fixed"/>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rPr>
          <w:rFonts w:ascii="Times New Roman" w:hAnsi="Times New Roman" w:eastAsia="方正小标宋_GBK" w:cs="Times New Roman"/>
          <w:color w:val="000000"/>
          <w:kern w:val="0"/>
          <w:sz w:val="36"/>
          <w:szCs w:val="36"/>
        </w:rPr>
      </w:pPr>
    </w:p>
    <w:tbl>
      <w:tblPr>
        <w:tblStyle w:val="9"/>
        <w:tblW w:w="15640" w:type="dxa"/>
        <w:tblInd w:w="93" w:type="dxa"/>
        <w:tblLayout w:type="fixed"/>
        <w:tblCellMar>
          <w:top w:w="0" w:type="dxa"/>
          <w:left w:w="108" w:type="dxa"/>
          <w:bottom w:w="0" w:type="dxa"/>
          <w:right w:w="108" w:type="dxa"/>
        </w:tblCellMar>
      </w:tblPr>
      <w:tblGrid>
        <w:gridCol w:w="1236"/>
        <w:gridCol w:w="263"/>
        <w:gridCol w:w="2096"/>
        <w:gridCol w:w="436"/>
        <w:gridCol w:w="1078"/>
        <w:gridCol w:w="109"/>
        <w:gridCol w:w="387"/>
        <w:gridCol w:w="933"/>
        <w:gridCol w:w="1536"/>
        <w:gridCol w:w="446"/>
        <w:gridCol w:w="632"/>
        <w:gridCol w:w="435"/>
        <w:gridCol w:w="59"/>
        <w:gridCol w:w="1514"/>
        <w:gridCol w:w="322"/>
        <w:gridCol w:w="1072"/>
        <w:gridCol w:w="668"/>
        <w:gridCol w:w="726"/>
        <w:gridCol w:w="1573"/>
        <w:gridCol w:w="119"/>
      </w:tblGrid>
      <w:tr>
        <w:tblPrEx>
          <w:tblLayout w:type="fixed"/>
          <w:tblCellMar>
            <w:top w:w="0" w:type="dxa"/>
            <w:left w:w="108" w:type="dxa"/>
            <w:bottom w:w="0" w:type="dxa"/>
            <w:right w:w="108" w:type="dxa"/>
          </w:tblCellMar>
        </w:tblPrEx>
        <w:trPr>
          <w:trHeight w:val="807" w:hRule="atLeast"/>
        </w:trPr>
        <w:tc>
          <w:tcPr>
            <w:tcW w:w="15640" w:type="dxa"/>
            <w:gridSpan w:val="2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Layout w:type="fixed"/>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719"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2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36"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4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8"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Layout w:type="fixed"/>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719"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县委改发中心</w:t>
            </w:r>
            <w:r>
              <w:rPr>
                <w:rFonts w:hint="eastAsia" w:ascii="宋体" w:hAnsi="宋体" w:eastAsia="宋体" w:cs="宋体"/>
                <w:kern w:val="0"/>
                <w:sz w:val="24"/>
                <w:szCs w:val="24"/>
              </w:rPr>
              <w:t>　</w:t>
            </w:r>
          </w:p>
        </w:tc>
        <w:tc>
          <w:tcPr>
            <w:tcW w:w="132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gridSpan w:val="4"/>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36"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4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8"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465" w:hRule="atLeast"/>
        </w:trPr>
        <w:tc>
          <w:tcPr>
            <w:tcW w:w="5218"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320"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53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572"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836"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740"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418"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Layout w:type="fixed"/>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3719" w:type="dxa"/>
            <w:gridSpan w:val="4"/>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32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72"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3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418"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312"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3719" w:type="dxa"/>
            <w:gridSpan w:val="4"/>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32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72"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3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418"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595" w:hRule="atLeast"/>
        </w:trPr>
        <w:tc>
          <w:tcPr>
            <w:tcW w:w="5218"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32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5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572" w:type="dxa"/>
            <w:gridSpan w:val="4"/>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836"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74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41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Layout w:type="fixed"/>
          <w:tblCellMar>
            <w:top w:w="0" w:type="dxa"/>
            <w:left w:w="108" w:type="dxa"/>
            <w:bottom w:w="0" w:type="dxa"/>
            <w:right w:w="108" w:type="dxa"/>
          </w:tblCellMar>
        </w:tblPrEx>
        <w:trPr>
          <w:trHeight w:val="379" w:hRule="atLeast"/>
        </w:trPr>
        <w:tc>
          <w:tcPr>
            <w:tcW w:w="5218"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2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rPr>
            </w:pPr>
            <w:r>
              <w:rPr>
                <w:rFonts w:hint="eastAsia" w:ascii="宋体" w:hAnsi="宋体" w:eastAsia="宋体" w:cs="宋体"/>
                <w:kern w:val="0"/>
                <w:sz w:val="24"/>
                <w:szCs w:val="24"/>
                <w:lang w:val="en-US" w:eastAsia="zh-CN"/>
              </w:rPr>
              <w:t>146.83</w:t>
            </w:r>
          </w:p>
        </w:tc>
        <w:tc>
          <w:tcPr>
            <w:tcW w:w="15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rPr>
            </w:pPr>
            <w:r>
              <w:rPr>
                <w:rFonts w:hint="eastAsia" w:ascii="宋体" w:hAnsi="宋体" w:eastAsia="宋体" w:cs="宋体"/>
                <w:kern w:val="0"/>
                <w:sz w:val="24"/>
                <w:szCs w:val="24"/>
                <w:lang w:val="en-US" w:eastAsia="zh-CN"/>
              </w:rPr>
              <w:t>113.83</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33</w:t>
            </w: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331"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r>
              <w:rPr>
                <w:rFonts w:hint="eastAsia"/>
              </w:rPr>
              <w:t>　</w:t>
            </w:r>
            <w:r>
              <w:rPr>
                <w:rFonts w:hint="eastAsia"/>
                <w:lang w:val="en-US" w:eastAsia="zh-CN"/>
              </w:rPr>
              <w:t>201</w:t>
            </w:r>
          </w:p>
        </w:tc>
        <w:tc>
          <w:tcPr>
            <w:tcW w:w="3719" w:type="dxa"/>
            <w:gridSpan w:val="4"/>
            <w:tcBorders>
              <w:top w:val="nil"/>
              <w:left w:val="nil"/>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r>
              <w:rPr>
                <w:rFonts w:hint="eastAsia"/>
                <w:lang w:val="en-US" w:eastAsia="zh-CN"/>
              </w:rPr>
              <w:t>一般公共服务支出</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sz w:val="24"/>
                <w:szCs w:val="24"/>
                <w:lang w:val="en-US" w:eastAsia="zh-CN"/>
              </w:rPr>
              <w:t>126.12</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kern w:val="0"/>
                <w:sz w:val="24"/>
                <w:szCs w:val="24"/>
                <w:lang w:val="en-US"/>
              </w:rPr>
            </w:pPr>
            <w:r>
              <w:rPr>
                <w:rFonts w:hint="eastAsia" w:ascii="宋体" w:hAnsi="宋体" w:eastAsia="宋体" w:cs="宋体"/>
                <w:sz w:val="24"/>
                <w:szCs w:val="24"/>
                <w:lang w:val="en-US" w:eastAsia="zh-CN"/>
              </w:rPr>
              <w:t>93.12</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33</w:t>
            </w: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90"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r>
              <w:rPr>
                <w:rFonts w:hint="eastAsia"/>
              </w:rPr>
              <w:t>　</w:t>
            </w:r>
            <w:r>
              <w:rPr>
                <w:rFonts w:hint="eastAsia"/>
                <w:lang w:val="en-US" w:eastAsia="zh-CN"/>
              </w:rPr>
              <w:t>20104</w:t>
            </w:r>
          </w:p>
        </w:tc>
        <w:tc>
          <w:tcPr>
            <w:tcW w:w="3719" w:type="dxa"/>
            <w:gridSpan w:val="4"/>
            <w:tcBorders>
              <w:top w:val="nil"/>
              <w:left w:val="nil"/>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r>
              <w:rPr>
                <w:rFonts w:hint="eastAsia"/>
                <w:lang w:val="en-US" w:eastAsia="zh-CN"/>
              </w:rPr>
              <w:t>发展与改革事务</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sz w:val="24"/>
                <w:szCs w:val="24"/>
                <w:lang w:val="en-US" w:eastAsia="zh-CN"/>
              </w:rPr>
              <w:t>33.00</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33.00</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384"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宋体" w:hAnsi="宋体" w:eastAsia="宋体" w:cs="宋体"/>
                <w:kern w:val="0"/>
                <w:sz w:val="24"/>
                <w:szCs w:val="24"/>
              </w:rPr>
            </w:pPr>
            <w:r>
              <w:rPr>
                <w:rFonts w:hint="eastAsia"/>
                <w:lang w:val="en-US" w:eastAsia="zh-CN"/>
              </w:rPr>
              <w:t>2010499</w:t>
            </w:r>
          </w:p>
        </w:tc>
        <w:tc>
          <w:tcPr>
            <w:tcW w:w="3719" w:type="dxa"/>
            <w:gridSpan w:val="4"/>
            <w:tcBorders>
              <w:top w:val="nil"/>
              <w:left w:val="nil"/>
              <w:bottom w:val="single" w:color="auto" w:sz="4" w:space="0"/>
              <w:right w:val="single" w:color="auto" w:sz="4" w:space="0"/>
            </w:tcBorders>
            <w:shd w:val="clear" w:color="000000" w:fill="FFFFFF"/>
            <w:noWrap/>
            <w:vAlign w:val="center"/>
          </w:tcPr>
          <w:p>
            <w:pPr>
              <w:jc w:val="center"/>
              <w:rPr>
                <w:rFonts w:hint="eastAsia" w:ascii="宋体" w:hAnsi="宋体" w:eastAsia="宋体" w:cs="宋体"/>
                <w:kern w:val="0"/>
                <w:sz w:val="24"/>
                <w:szCs w:val="24"/>
              </w:rPr>
            </w:pPr>
            <w:r>
              <w:rPr>
                <w:rFonts w:hint="eastAsia"/>
              </w:rPr>
              <w:t>其他发展与改革事务支出</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33.00</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33.00</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szCs w:val="24"/>
              </w:rPr>
            </w:pP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319"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宋体" w:hAnsi="宋体" w:eastAsia="宋体" w:cs="宋体"/>
                <w:kern w:val="0"/>
                <w:sz w:val="24"/>
                <w:szCs w:val="24"/>
              </w:rPr>
            </w:pPr>
            <w:r>
              <w:rPr>
                <w:rFonts w:hint="eastAsia"/>
                <w:lang w:val="en-US" w:eastAsia="zh-CN"/>
              </w:rPr>
              <w:t>20131</w:t>
            </w:r>
          </w:p>
        </w:tc>
        <w:tc>
          <w:tcPr>
            <w:tcW w:w="3719" w:type="dxa"/>
            <w:gridSpan w:val="4"/>
            <w:tcBorders>
              <w:top w:val="nil"/>
              <w:left w:val="nil"/>
              <w:bottom w:val="single" w:color="auto" w:sz="4" w:space="0"/>
              <w:right w:val="single" w:color="auto" w:sz="4" w:space="0"/>
            </w:tcBorders>
            <w:shd w:val="clear" w:color="000000" w:fill="FFFFFF"/>
            <w:noWrap/>
            <w:vAlign w:val="center"/>
          </w:tcPr>
          <w:p>
            <w:pPr>
              <w:jc w:val="center"/>
              <w:rPr>
                <w:rFonts w:hint="eastAsia" w:ascii="宋体" w:hAnsi="宋体" w:eastAsia="宋体" w:cs="宋体"/>
                <w:kern w:val="0"/>
                <w:sz w:val="24"/>
                <w:szCs w:val="24"/>
              </w:rPr>
            </w:pPr>
            <w:r>
              <w:rPr>
                <w:rFonts w:hint="eastAsia"/>
                <w:lang w:val="en-US" w:eastAsia="zh-CN"/>
              </w:rPr>
              <w:t>党委办公厅（室）及相关机构事务</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93.12</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93.12</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eastAsia="zh-CN"/>
              </w:rPr>
            </w:pP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367"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宋体" w:hAnsi="宋体" w:eastAsia="宋体" w:cs="宋体"/>
                <w:kern w:val="0"/>
                <w:sz w:val="24"/>
                <w:szCs w:val="24"/>
              </w:rPr>
            </w:pPr>
            <w:r>
              <w:rPr>
                <w:rFonts w:hint="eastAsia"/>
                <w:lang w:val="en-US" w:eastAsia="zh-CN"/>
              </w:rPr>
              <w:t>2013101</w:t>
            </w:r>
          </w:p>
        </w:tc>
        <w:tc>
          <w:tcPr>
            <w:tcW w:w="3719" w:type="dxa"/>
            <w:gridSpan w:val="4"/>
            <w:tcBorders>
              <w:top w:val="nil"/>
              <w:left w:val="nil"/>
              <w:bottom w:val="single" w:color="auto" w:sz="4" w:space="0"/>
              <w:right w:val="single" w:color="auto" w:sz="4" w:space="0"/>
            </w:tcBorders>
            <w:shd w:val="clear" w:color="000000" w:fill="FFFFFF"/>
            <w:noWrap/>
            <w:vAlign w:val="center"/>
          </w:tcPr>
          <w:p>
            <w:pPr>
              <w:jc w:val="center"/>
              <w:rPr>
                <w:rFonts w:hint="eastAsia" w:ascii="宋体" w:hAnsi="宋体" w:eastAsia="宋体" w:cs="宋体"/>
                <w:kern w:val="0"/>
                <w:sz w:val="24"/>
                <w:szCs w:val="24"/>
              </w:rPr>
            </w:pPr>
            <w:r>
              <w:rPr>
                <w:rFonts w:hint="eastAsia"/>
              </w:rPr>
              <w:t>行政运行</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93.12</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93.12</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szCs w:val="24"/>
              </w:rPr>
            </w:pP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35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宋体" w:hAnsi="宋体" w:eastAsia="宋体" w:cs="宋体"/>
                <w:kern w:val="0"/>
                <w:sz w:val="24"/>
                <w:szCs w:val="24"/>
              </w:rPr>
            </w:pPr>
            <w:r>
              <w:rPr>
                <w:rFonts w:hint="eastAsia"/>
                <w:lang w:val="en-US" w:eastAsia="zh-CN"/>
              </w:rPr>
              <w:t>208</w:t>
            </w:r>
          </w:p>
        </w:tc>
        <w:tc>
          <w:tcPr>
            <w:tcW w:w="3719" w:type="dxa"/>
            <w:gridSpan w:val="4"/>
            <w:tcBorders>
              <w:top w:val="nil"/>
              <w:left w:val="nil"/>
              <w:bottom w:val="single" w:color="auto" w:sz="4" w:space="0"/>
              <w:right w:val="single" w:color="auto" w:sz="4" w:space="0"/>
            </w:tcBorders>
            <w:shd w:val="clear" w:color="000000" w:fill="FFFFFF"/>
            <w:noWrap/>
            <w:vAlign w:val="top"/>
          </w:tcPr>
          <w:p>
            <w:pPr>
              <w:jc w:val="center"/>
              <w:rPr>
                <w:rFonts w:hint="eastAsia" w:ascii="宋体" w:hAnsi="宋体" w:eastAsia="宋体" w:cs="宋体"/>
                <w:kern w:val="0"/>
                <w:sz w:val="24"/>
                <w:szCs w:val="24"/>
              </w:rPr>
            </w:pPr>
            <w:r>
              <w:rPr>
                <w:rFonts w:hint="eastAsia"/>
              </w:rPr>
              <w:t>社会保障和就业支出</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9.04</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kern w:val="0"/>
                <w:sz w:val="24"/>
                <w:szCs w:val="24"/>
                <w:lang w:val="en-US" w:eastAsia="zh-CN"/>
              </w:rPr>
            </w:pPr>
            <w:r>
              <w:rPr>
                <w:rFonts w:hint="eastAsia" w:ascii="宋体" w:hAnsi="宋体" w:eastAsia="宋体" w:cs="宋体"/>
                <w:sz w:val="24"/>
                <w:szCs w:val="24"/>
                <w:lang w:val="en-US" w:eastAsia="zh-CN"/>
              </w:rPr>
              <w:t>9.04</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eastAsia="zh-CN"/>
              </w:rPr>
            </w:pP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343"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宋体" w:hAnsi="宋体" w:eastAsia="宋体" w:cs="宋体"/>
                <w:kern w:val="0"/>
                <w:sz w:val="24"/>
                <w:szCs w:val="24"/>
              </w:rPr>
            </w:pPr>
            <w:r>
              <w:rPr>
                <w:rFonts w:hint="eastAsia"/>
                <w:lang w:val="en-US" w:eastAsia="zh-CN"/>
              </w:rPr>
              <w:t>20805</w:t>
            </w:r>
          </w:p>
        </w:tc>
        <w:tc>
          <w:tcPr>
            <w:tcW w:w="3719" w:type="dxa"/>
            <w:gridSpan w:val="4"/>
            <w:tcBorders>
              <w:top w:val="nil"/>
              <w:left w:val="nil"/>
              <w:bottom w:val="single" w:color="auto" w:sz="4" w:space="0"/>
              <w:right w:val="single" w:color="auto" w:sz="4" w:space="0"/>
            </w:tcBorders>
            <w:shd w:val="clear" w:color="000000" w:fill="FFFFFF"/>
            <w:noWrap/>
            <w:vAlign w:val="top"/>
          </w:tcPr>
          <w:p>
            <w:pPr>
              <w:jc w:val="center"/>
              <w:rPr>
                <w:rFonts w:hint="eastAsia" w:ascii="宋体" w:hAnsi="宋体" w:eastAsia="宋体" w:cs="宋体"/>
                <w:kern w:val="0"/>
                <w:sz w:val="24"/>
                <w:szCs w:val="24"/>
              </w:rPr>
            </w:pPr>
            <w:r>
              <w:rPr>
                <w:rFonts w:hint="eastAsia"/>
              </w:rPr>
              <w:t>行政事业单位养老支出</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9.04</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9.04</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eastAsia="zh-CN"/>
              </w:rPr>
            </w:pP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20"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宋体" w:hAnsi="宋体" w:eastAsia="宋体" w:cs="宋体"/>
                <w:kern w:val="0"/>
                <w:sz w:val="24"/>
                <w:szCs w:val="24"/>
              </w:rPr>
            </w:pPr>
            <w:r>
              <w:rPr>
                <w:rFonts w:hint="eastAsia"/>
                <w:lang w:val="en-US" w:eastAsia="zh-CN"/>
              </w:rPr>
              <w:t>2080505</w:t>
            </w:r>
          </w:p>
        </w:tc>
        <w:tc>
          <w:tcPr>
            <w:tcW w:w="3719" w:type="dxa"/>
            <w:gridSpan w:val="4"/>
            <w:tcBorders>
              <w:top w:val="nil"/>
              <w:left w:val="nil"/>
              <w:bottom w:val="single" w:color="auto" w:sz="4" w:space="0"/>
              <w:right w:val="single" w:color="auto" w:sz="4" w:space="0"/>
            </w:tcBorders>
            <w:shd w:val="clear" w:color="000000" w:fill="FFFFFF"/>
            <w:noWrap/>
            <w:vAlign w:val="top"/>
          </w:tcPr>
          <w:p>
            <w:pPr>
              <w:jc w:val="center"/>
              <w:rPr>
                <w:rFonts w:hint="eastAsia" w:ascii="宋体" w:hAnsi="宋体" w:eastAsia="宋体" w:cs="宋体"/>
                <w:kern w:val="0"/>
                <w:sz w:val="24"/>
                <w:szCs w:val="24"/>
              </w:rPr>
            </w:pPr>
            <w:r>
              <w:rPr>
                <w:rFonts w:hint="eastAsia"/>
              </w:rPr>
              <w:t>机关事业单位基本养老保险缴费支出</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9.04</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9.04</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szCs w:val="24"/>
              </w:rPr>
            </w:pP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343"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宋体" w:hAnsi="宋体" w:eastAsia="宋体" w:cs="宋体"/>
                <w:kern w:val="0"/>
                <w:sz w:val="24"/>
                <w:szCs w:val="24"/>
              </w:rPr>
            </w:pPr>
            <w:r>
              <w:rPr>
                <w:rFonts w:hint="eastAsia"/>
                <w:lang w:val="en-US" w:eastAsia="zh-CN"/>
              </w:rPr>
              <w:t>210</w:t>
            </w:r>
          </w:p>
        </w:tc>
        <w:tc>
          <w:tcPr>
            <w:tcW w:w="3719" w:type="dxa"/>
            <w:gridSpan w:val="4"/>
            <w:tcBorders>
              <w:top w:val="nil"/>
              <w:left w:val="nil"/>
              <w:bottom w:val="single" w:color="auto" w:sz="4" w:space="0"/>
              <w:right w:val="single" w:color="auto" w:sz="4" w:space="0"/>
            </w:tcBorders>
            <w:shd w:val="clear" w:color="000000" w:fill="FFFFFF"/>
            <w:noWrap/>
            <w:vAlign w:val="top"/>
          </w:tcPr>
          <w:p>
            <w:pPr>
              <w:jc w:val="center"/>
              <w:rPr>
                <w:rFonts w:hint="eastAsia" w:ascii="宋体" w:hAnsi="宋体" w:eastAsia="宋体" w:cs="宋体"/>
                <w:kern w:val="0"/>
                <w:sz w:val="24"/>
                <w:szCs w:val="24"/>
              </w:rPr>
            </w:pPr>
            <w:r>
              <w:rPr>
                <w:rFonts w:hint="eastAsia"/>
              </w:rPr>
              <w:t>卫生健康支出</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4.91</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4.91</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szCs w:val="24"/>
              </w:rPr>
            </w:pP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379"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r>
              <w:rPr>
                <w:rFonts w:hint="eastAsia"/>
                <w:lang w:val="en-US" w:eastAsia="zh-CN"/>
              </w:rPr>
              <w:t>21011</w:t>
            </w:r>
          </w:p>
        </w:tc>
        <w:tc>
          <w:tcPr>
            <w:tcW w:w="3719" w:type="dxa"/>
            <w:gridSpan w:val="4"/>
            <w:tcBorders>
              <w:top w:val="nil"/>
              <w:left w:val="nil"/>
              <w:bottom w:val="single" w:color="auto" w:sz="4" w:space="0"/>
              <w:right w:val="single" w:color="auto" w:sz="4" w:space="0"/>
            </w:tcBorders>
            <w:shd w:val="clear" w:color="000000" w:fill="FFFFFF"/>
            <w:noWrap/>
            <w:vAlign w:val="top"/>
          </w:tcPr>
          <w:p>
            <w:pPr>
              <w:jc w:val="center"/>
              <w:rPr>
                <w:rFonts w:ascii="宋体" w:hAnsi="宋体" w:eastAsia="宋体" w:cs="宋体"/>
                <w:kern w:val="0"/>
                <w:sz w:val="24"/>
                <w:szCs w:val="24"/>
              </w:rPr>
            </w:pPr>
            <w:r>
              <w:rPr>
                <w:rFonts w:hint="eastAsia"/>
              </w:rPr>
              <w:t>行政事业单位医疗</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sz w:val="24"/>
                <w:szCs w:val="24"/>
                <w:lang w:val="en-US" w:eastAsia="zh-CN"/>
              </w:rPr>
              <w:t>4.91</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4.91</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331"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r>
              <w:rPr>
                <w:rFonts w:hint="eastAsia"/>
                <w:lang w:val="en-US" w:eastAsia="zh-CN"/>
              </w:rPr>
              <w:t>2101102</w:t>
            </w:r>
          </w:p>
        </w:tc>
        <w:tc>
          <w:tcPr>
            <w:tcW w:w="3719" w:type="dxa"/>
            <w:gridSpan w:val="4"/>
            <w:tcBorders>
              <w:top w:val="nil"/>
              <w:left w:val="nil"/>
              <w:bottom w:val="single" w:color="auto" w:sz="4" w:space="0"/>
              <w:right w:val="single" w:color="auto" w:sz="4" w:space="0"/>
            </w:tcBorders>
            <w:shd w:val="clear" w:color="000000" w:fill="FFFFFF"/>
            <w:noWrap/>
            <w:vAlign w:val="top"/>
          </w:tcPr>
          <w:p>
            <w:pPr>
              <w:jc w:val="center"/>
              <w:rPr>
                <w:rFonts w:ascii="宋体" w:hAnsi="宋体" w:eastAsia="宋体" w:cs="宋体"/>
                <w:kern w:val="0"/>
                <w:sz w:val="24"/>
                <w:szCs w:val="24"/>
              </w:rPr>
            </w:pPr>
            <w:r>
              <w:rPr>
                <w:rFonts w:hint="eastAsia"/>
                <w:lang w:val="en-US" w:eastAsia="zh-CN"/>
              </w:rPr>
              <w:t>事业</w:t>
            </w:r>
            <w:r>
              <w:rPr>
                <w:rFonts w:hint="eastAsia"/>
              </w:rPr>
              <w:t>单位医疗</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sz w:val="24"/>
                <w:szCs w:val="24"/>
                <w:lang w:val="en-US" w:eastAsia="zh-CN"/>
              </w:rPr>
              <w:t>4.91</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4.91</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391"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pStyle w:val="19"/>
              <w:spacing w:before="138" w:line="189" w:lineRule="auto"/>
              <w:ind w:left="197" w:leftChars="0"/>
              <w:jc w:val="left"/>
              <w:rPr>
                <w:rFonts w:ascii="宋体" w:hAnsi="宋体" w:eastAsia="宋体" w:cs="宋体"/>
                <w:kern w:val="0"/>
                <w:sz w:val="24"/>
                <w:szCs w:val="24"/>
              </w:rPr>
            </w:pPr>
            <w:r>
              <w:rPr>
                <w:rFonts w:hint="eastAsia" w:ascii="宋体" w:hAnsi="宋体" w:eastAsia="宋体" w:cs="宋体"/>
                <w:sz w:val="24"/>
                <w:szCs w:val="24"/>
                <w:lang w:val="en-US" w:eastAsia="zh-CN"/>
              </w:rPr>
              <w:t>221</w:t>
            </w:r>
          </w:p>
        </w:tc>
        <w:tc>
          <w:tcPr>
            <w:tcW w:w="3719" w:type="dxa"/>
            <w:gridSpan w:val="4"/>
            <w:tcBorders>
              <w:top w:val="nil"/>
              <w:left w:val="nil"/>
              <w:bottom w:val="single" w:color="auto" w:sz="4" w:space="0"/>
              <w:right w:val="single" w:color="auto" w:sz="4" w:space="0"/>
            </w:tcBorders>
            <w:shd w:val="clear" w:color="000000" w:fill="FFFFFF"/>
            <w:noWrap/>
            <w:vAlign w:val="top"/>
          </w:tcPr>
          <w:p>
            <w:pPr>
              <w:pStyle w:val="19"/>
              <w:spacing w:before="106" w:line="229" w:lineRule="auto"/>
              <w:ind w:left="28" w:leftChars="0"/>
              <w:rPr>
                <w:rFonts w:ascii="宋体" w:hAnsi="宋体" w:eastAsia="宋体" w:cs="宋体"/>
                <w:kern w:val="0"/>
                <w:sz w:val="24"/>
                <w:szCs w:val="24"/>
              </w:rPr>
            </w:pPr>
            <w:r>
              <w:rPr>
                <w:rFonts w:hint="eastAsia" w:ascii="宋体" w:hAnsi="宋体" w:eastAsia="宋体" w:cs="宋体"/>
                <w:sz w:val="24"/>
                <w:szCs w:val="24"/>
                <w:lang w:val="en-US" w:eastAsia="zh-CN"/>
              </w:rPr>
              <w:t>住房保障支出</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sz w:val="24"/>
                <w:szCs w:val="24"/>
                <w:lang w:val="en-US" w:eastAsia="zh-CN"/>
              </w:rPr>
              <w:t>6.76</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6.76</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391"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pStyle w:val="19"/>
              <w:spacing w:before="139" w:line="190" w:lineRule="auto"/>
              <w:ind w:left="197" w:lef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22102</w:t>
            </w:r>
          </w:p>
        </w:tc>
        <w:tc>
          <w:tcPr>
            <w:tcW w:w="3719" w:type="dxa"/>
            <w:gridSpan w:val="4"/>
            <w:tcBorders>
              <w:top w:val="nil"/>
              <w:left w:val="nil"/>
              <w:bottom w:val="single" w:color="auto" w:sz="4" w:space="0"/>
              <w:right w:val="single" w:color="auto" w:sz="4" w:space="0"/>
            </w:tcBorders>
            <w:shd w:val="clear" w:color="000000" w:fill="FFFFFF"/>
            <w:noWrap/>
            <w:vAlign w:val="top"/>
          </w:tcPr>
          <w:p>
            <w:pPr>
              <w:pStyle w:val="19"/>
              <w:spacing w:before="107" w:line="229" w:lineRule="auto"/>
              <w:ind w:left="23"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行政事业单位住房公积金</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6.76</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6.76</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391"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pStyle w:val="19"/>
              <w:spacing w:before="140" w:line="19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2210201</w:t>
            </w:r>
          </w:p>
        </w:tc>
        <w:tc>
          <w:tcPr>
            <w:tcW w:w="3719" w:type="dxa"/>
            <w:gridSpan w:val="4"/>
            <w:tcBorders>
              <w:top w:val="nil"/>
              <w:left w:val="nil"/>
              <w:bottom w:val="single" w:color="auto" w:sz="4" w:space="0"/>
              <w:right w:val="single" w:color="auto" w:sz="4" w:space="0"/>
            </w:tcBorders>
            <w:shd w:val="clear" w:color="000000" w:fill="FFFFFF"/>
            <w:noWrap/>
            <w:vAlign w:val="top"/>
          </w:tcPr>
          <w:p>
            <w:pPr>
              <w:pStyle w:val="19"/>
              <w:spacing w:before="109" w:line="229" w:lineRule="auto"/>
              <w:ind w:left="236"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住房公积金</w:t>
            </w:r>
          </w:p>
        </w:tc>
        <w:tc>
          <w:tcPr>
            <w:tcW w:w="1320" w:type="dxa"/>
            <w:gridSpan w:val="2"/>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6.76</w:t>
            </w:r>
          </w:p>
        </w:tc>
        <w:tc>
          <w:tcPr>
            <w:tcW w:w="1536"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6.76</w:t>
            </w:r>
          </w:p>
        </w:tc>
        <w:tc>
          <w:tcPr>
            <w:tcW w:w="1572" w:type="dxa"/>
            <w:gridSpan w:val="4"/>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p>
        </w:tc>
        <w:tc>
          <w:tcPr>
            <w:tcW w:w="1836"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74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418" w:type="dxa"/>
            <w:gridSpan w:val="3"/>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828" w:hRule="atLeast"/>
        </w:trPr>
        <w:tc>
          <w:tcPr>
            <w:tcW w:w="15640" w:type="dxa"/>
            <w:gridSpan w:val="2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r>
        <w:tblPrEx>
          <w:tblLayout w:type="fixed"/>
          <w:tblCellMar>
            <w:top w:w="0" w:type="dxa"/>
            <w:left w:w="108" w:type="dxa"/>
            <w:bottom w:w="0" w:type="dxa"/>
            <w:right w:w="108" w:type="dxa"/>
          </w:tblCellMar>
        </w:tblPrEx>
        <w:trPr>
          <w:gridAfter w:val="1"/>
          <w:wAfter w:w="119" w:type="dxa"/>
          <w:trHeight w:val="285" w:hRule="atLeast"/>
        </w:trPr>
        <w:tc>
          <w:tcPr>
            <w:tcW w:w="3595" w:type="dxa"/>
            <w:gridSpan w:val="3"/>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3"/>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4"/>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gridAfter w:val="1"/>
          <w:wAfter w:w="119" w:type="dxa"/>
          <w:trHeight w:val="360" w:hRule="atLeast"/>
        </w:trPr>
        <w:tc>
          <w:tcPr>
            <w:tcW w:w="15521" w:type="dxa"/>
            <w:gridSpan w:val="1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Layout w:type="fixed"/>
          <w:tblCellMar>
            <w:top w:w="0" w:type="dxa"/>
            <w:left w:w="108" w:type="dxa"/>
            <w:bottom w:w="0" w:type="dxa"/>
            <w:right w:w="108" w:type="dxa"/>
          </w:tblCellMar>
        </w:tblPrEx>
        <w:trPr>
          <w:gridAfter w:val="1"/>
          <w:wAfter w:w="119" w:type="dxa"/>
          <w:trHeight w:val="199" w:hRule="atLeast"/>
        </w:trPr>
        <w:tc>
          <w:tcPr>
            <w:tcW w:w="3595"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6"/>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Layout w:type="fixed"/>
          <w:tblCellMar>
            <w:top w:w="0" w:type="dxa"/>
            <w:left w:w="108" w:type="dxa"/>
            <w:bottom w:w="0" w:type="dxa"/>
            <w:right w:w="108" w:type="dxa"/>
          </w:tblCellMar>
        </w:tblPrEx>
        <w:trPr>
          <w:gridAfter w:val="1"/>
          <w:wAfter w:w="119" w:type="dxa"/>
          <w:trHeight w:val="300" w:hRule="atLeast"/>
        </w:trPr>
        <w:tc>
          <w:tcPr>
            <w:tcW w:w="3595" w:type="dxa"/>
            <w:gridSpan w:val="3"/>
            <w:tcBorders>
              <w:top w:val="nil"/>
              <w:left w:val="nil"/>
              <w:bottom w:val="nil"/>
              <w:right w:val="nil"/>
            </w:tcBorders>
            <w:shd w:val="clear" w:color="000000" w:fill="FFFFFF"/>
            <w:noWrap/>
            <w:vAlign w:val="center"/>
          </w:tcPr>
          <w:p>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县委改发中心</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6"/>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gridAfter w:val="1"/>
          <w:wAfter w:w="119" w:type="dxa"/>
          <w:trHeight w:val="402" w:hRule="atLeast"/>
        </w:trPr>
        <w:tc>
          <w:tcPr>
            <w:tcW w:w="510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14"/>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Layout w:type="fixed"/>
          <w:tblCellMar>
            <w:top w:w="0" w:type="dxa"/>
            <w:left w:w="108" w:type="dxa"/>
            <w:bottom w:w="0" w:type="dxa"/>
            <w:right w:w="108" w:type="dxa"/>
          </w:tblCellMar>
        </w:tblPrEx>
        <w:trPr>
          <w:gridAfter w:val="1"/>
          <w:wAfter w:w="119" w:type="dxa"/>
          <w:trHeight w:val="630"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5"/>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5"/>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146.83</w:t>
            </w:r>
            <w:r>
              <w:rPr>
                <w:rFonts w:hint="eastAsia" w:ascii="宋体" w:hAns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126.12</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126.12</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9.04</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9.04</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5"/>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4.91</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4.91</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5" w:line="225"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42</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6"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43</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7"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44</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8"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45</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9"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46</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9"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47</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9" w:line="225"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48</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9" w:line="225"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49</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18</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9"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十八、 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50</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19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9" w:line="224" w:lineRule="auto"/>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51</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6.76</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6.76</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9" w:line="223"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52</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9" w:line="223"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53</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9" w:line="224"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54</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9" w:line="225"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55</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9" w:line="223"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56</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0" w:line="224"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57</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szCs w:val="22"/>
                <w:lang w:val="en-US" w:eastAsia="zh-CN" w:bidi="ar-SA"/>
              </w:rPr>
            </w:pPr>
          </w:p>
        </w:tc>
        <w:tc>
          <w:tcPr>
            <w:tcW w:w="3411" w:type="dxa"/>
            <w:gridSpan w:val="5"/>
            <w:tcBorders>
              <w:top w:val="nil"/>
              <w:left w:val="nil"/>
              <w:bottom w:val="single" w:color="auto" w:sz="4" w:space="0"/>
              <w:right w:val="single" w:color="auto" w:sz="4" w:space="0"/>
            </w:tcBorders>
            <w:shd w:val="clear" w:color="auto" w:fill="auto"/>
            <w:noWrap/>
            <w:vAlign w:val="top"/>
          </w:tcPr>
          <w:p>
            <w:pPr>
              <w:pStyle w:val="19"/>
              <w:spacing w:before="22" w:line="224" w:lineRule="auto"/>
              <w:ind w:left="3" w:left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58</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szCs w:val="22"/>
                <w:lang w:val="en-US" w:eastAsia="zh-CN" w:bidi="ar-SA"/>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27</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146.83</w:t>
            </w:r>
          </w:p>
        </w:tc>
        <w:tc>
          <w:tcPr>
            <w:tcW w:w="3411" w:type="dxa"/>
            <w:gridSpan w:val="5"/>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kern w:val="0"/>
                <w:sz w:val="22"/>
                <w:szCs w:val="22"/>
                <w:lang w:val="en-US" w:eastAsia="zh-CN" w:bidi="ar-SA"/>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59</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146.83</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146.83</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60</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29</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61</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30</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62</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31</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3411" w:type="dxa"/>
            <w:gridSpan w:val="5"/>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63</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402" w:hRule="atLeast"/>
        </w:trPr>
        <w:tc>
          <w:tcPr>
            <w:tcW w:w="3595" w:type="dxa"/>
            <w:gridSpan w:val="3"/>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b/>
                <w:bCs/>
                <w:kern w:val="0"/>
                <w:sz w:val="22"/>
                <w:szCs w:val="22"/>
                <w:lang w:val="en-US" w:eastAsia="zh-CN" w:bidi="ar-SA"/>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32</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146.83</w:t>
            </w:r>
          </w:p>
        </w:tc>
        <w:tc>
          <w:tcPr>
            <w:tcW w:w="3411" w:type="dxa"/>
            <w:gridSpan w:val="5"/>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b/>
                <w:bCs/>
                <w:kern w:val="0"/>
                <w:sz w:val="22"/>
                <w:szCs w:val="22"/>
                <w:lang w:val="en-US" w:eastAsia="zh-CN" w:bidi="ar-SA"/>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lang w:val="en-US" w:eastAsia="zh-CN"/>
              </w:rPr>
              <w:t>64</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146.83</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146.83</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Layout w:type="fixed"/>
          <w:tblCellMar>
            <w:top w:w="0" w:type="dxa"/>
            <w:left w:w="108" w:type="dxa"/>
            <w:bottom w:w="0" w:type="dxa"/>
            <w:right w:w="108" w:type="dxa"/>
          </w:tblCellMar>
        </w:tblPrEx>
        <w:trPr>
          <w:gridAfter w:val="1"/>
          <w:wAfter w:w="119" w:type="dxa"/>
          <w:trHeight w:val="585" w:hRule="atLeast"/>
        </w:trPr>
        <w:tc>
          <w:tcPr>
            <w:tcW w:w="15521" w:type="dxa"/>
            <w:gridSpan w:val="1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3"/>
        <w:rPr>
          <w:rFonts w:ascii="Times New Roman" w:hAnsi="Times New Roman" w:eastAsia="方正小标宋_GBK" w:cs="Times New Roman"/>
          <w:kern w:val="0"/>
          <w:sz w:val="36"/>
          <w:szCs w:val="36"/>
        </w:rPr>
      </w:pPr>
    </w:p>
    <w:p>
      <w:pPr>
        <w:pStyle w:val="3"/>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县委改发中心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Ind w:w="0" w:type="dxa"/>
        <w:tblLayout w:type="fixed"/>
        <w:tblCellMar>
          <w:top w:w="0" w:type="dxa"/>
          <w:left w:w="108" w:type="dxa"/>
          <w:bottom w:w="0" w:type="dxa"/>
          <w:right w:w="108" w:type="dxa"/>
        </w:tblCellMar>
      </w:tblPr>
      <w:tblGrid>
        <w:gridCol w:w="1200"/>
        <w:gridCol w:w="3786"/>
        <w:gridCol w:w="2741"/>
        <w:gridCol w:w="3492"/>
        <w:gridCol w:w="3000"/>
      </w:tblGrid>
      <w:tr>
        <w:tblPrEx>
          <w:tblLayout w:type="fixed"/>
          <w:tblCellMar>
            <w:top w:w="0" w:type="dxa"/>
            <w:left w:w="108" w:type="dxa"/>
            <w:bottom w:w="0" w:type="dxa"/>
            <w:right w:w="108" w:type="dxa"/>
          </w:tblCellMar>
        </w:tblPrEx>
        <w:trPr>
          <w:trHeight w:val="405" w:hRule="atLeast"/>
          <w:jc w:val="center"/>
        </w:trPr>
        <w:tc>
          <w:tcPr>
            <w:tcW w:w="4986"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233"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Layout w:type="fixed"/>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78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74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Layout w:type="fixed"/>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786"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74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786"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74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306" w:hRule="atLeast"/>
          <w:jc w:val="center"/>
        </w:trPr>
        <w:tc>
          <w:tcPr>
            <w:tcW w:w="498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74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Layout w:type="fixed"/>
          <w:tblCellMar>
            <w:top w:w="0" w:type="dxa"/>
            <w:left w:w="108" w:type="dxa"/>
            <w:bottom w:w="0" w:type="dxa"/>
            <w:right w:w="108" w:type="dxa"/>
          </w:tblCellMar>
        </w:tblPrEx>
        <w:trPr>
          <w:trHeight w:val="366" w:hRule="atLeast"/>
          <w:jc w:val="center"/>
        </w:trPr>
        <w:tc>
          <w:tcPr>
            <w:tcW w:w="498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74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146.83</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113.83</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33</w:t>
            </w:r>
          </w:p>
        </w:tc>
      </w:tr>
      <w:tr>
        <w:tblPrEx>
          <w:tblLayout w:type="fixed"/>
          <w:tblCellMar>
            <w:top w:w="0" w:type="dxa"/>
            <w:left w:w="108" w:type="dxa"/>
            <w:bottom w:w="0" w:type="dxa"/>
            <w:right w:w="108" w:type="dxa"/>
          </w:tblCellMar>
        </w:tblPrEx>
        <w:trPr>
          <w:trHeight w:val="378"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rPr>
              <w:t>　</w:t>
            </w:r>
            <w:r>
              <w:rPr>
                <w:rFonts w:hint="eastAsia"/>
                <w:lang w:val="en-US" w:eastAsia="zh-CN"/>
              </w:rPr>
              <w:t>201</w:t>
            </w:r>
          </w:p>
        </w:tc>
        <w:tc>
          <w:tcPr>
            <w:tcW w:w="3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lang w:val="en-US" w:eastAsia="zh-CN"/>
              </w:rPr>
              <w:t>一般公共服务支出</w:t>
            </w:r>
          </w:p>
        </w:tc>
        <w:tc>
          <w:tcPr>
            <w:tcW w:w="274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126.12</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93.12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37.88</w:t>
            </w:r>
          </w:p>
        </w:tc>
      </w:tr>
      <w:tr>
        <w:tblPrEx>
          <w:tblLayout w:type="fixed"/>
          <w:tblCellMar>
            <w:top w:w="0" w:type="dxa"/>
            <w:left w:w="108" w:type="dxa"/>
            <w:bottom w:w="0" w:type="dxa"/>
            <w:right w:w="108" w:type="dxa"/>
          </w:tblCellMar>
        </w:tblPrEx>
        <w:trPr>
          <w:trHeight w:val="34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rPr>
              <w:t>　</w:t>
            </w:r>
            <w:r>
              <w:rPr>
                <w:rFonts w:hint="eastAsia"/>
                <w:lang w:val="en-US" w:eastAsia="zh-CN"/>
              </w:rPr>
              <w:t>20104</w:t>
            </w:r>
          </w:p>
        </w:tc>
        <w:tc>
          <w:tcPr>
            <w:tcW w:w="3786"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lang w:val="en-US" w:eastAsia="zh-CN"/>
              </w:rPr>
              <w:t>发展与改革事务</w:t>
            </w:r>
          </w:p>
        </w:tc>
        <w:tc>
          <w:tcPr>
            <w:tcW w:w="274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33.00</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33.00</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宋体" w:hAnsi="宋体" w:eastAsia="宋体" w:cs="宋体"/>
                <w:kern w:val="0"/>
                <w:sz w:val="24"/>
                <w:szCs w:val="24"/>
                <w:lang w:val="en-US" w:eastAsia="zh-CN" w:bidi="ar-SA"/>
              </w:rPr>
            </w:pPr>
          </w:p>
        </w:tc>
      </w:tr>
      <w:tr>
        <w:tblPrEx>
          <w:tblLayout w:type="fixed"/>
          <w:tblCellMar>
            <w:top w:w="0" w:type="dxa"/>
            <w:left w:w="108" w:type="dxa"/>
            <w:bottom w:w="0" w:type="dxa"/>
            <w:right w:w="108" w:type="dxa"/>
          </w:tblCellMar>
        </w:tblPrEx>
        <w:trPr>
          <w:trHeight w:val="33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lang w:val="en-US" w:eastAsia="zh-CN"/>
              </w:rPr>
              <w:t>2010499</w:t>
            </w:r>
          </w:p>
        </w:tc>
        <w:tc>
          <w:tcPr>
            <w:tcW w:w="3786"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rPr>
              <w:t>其他发展与改革事务支出</w:t>
            </w:r>
          </w:p>
        </w:tc>
        <w:tc>
          <w:tcPr>
            <w:tcW w:w="2741"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33.00</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33.00</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eastAsia="宋体" w:cs="宋体"/>
                <w:kern w:val="0"/>
                <w:sz w:val="24"/>
                <w:szCs w:val="24"/>
                <w:lang w:val="en-US" w:eastAsia="zh-CN" w:bidi="ar-SA"/>
              </w:rPr>
            </w:pPr>
          </w:p>
        </w:tc>
      </w:tr>
      <w:tr>
        <w:tblPrEx>
          <w:tblLayout w:type="fixed"/>
          <w:tblCellMar>
            <w:top w:w="0" w:type="dxa"/>
            <w:left w:w="108" w:type="dxa"/>
            <w:bottom w:w="0" w:type="dxa"/>
            <w:right w:w="108" w:type="dxa"/>
          </w:tblCellMar>
        </w:tblPrEx>
        <w:trPr>
          <w:trHeight w:val="366"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lang w:val="en-US" w:eastAsia="zh-CN"/>
              </w:rPr>
              <w:t>20131</w:t>
            </w:r>
          </w:p>
        </w:tc>
        <w:tc>
          <w:tcPr>
            <w:tcW w:w="3786"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lang w:val="en-US" w:eastAsia="zh-CN"/>
              </w:rPr>
              <w:t>党委办公厅（室）及相关机构事务</w:t>
            </w:r>
          </w:p>
        </w:tc>
        <w:tc>
          <w:tcPr>
            <w:tcW w:w="2741"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93.12</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93.12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37.88</w:t>
            </w:r>
          </w:p>
        </w:tc>
      </w:tr>
      <w:tr>
        <w:tblPrEx>
          <w:tblLayout w:type="fixed"/>
          <w:tblCellMar>
            <w:top w:w="0" w:type="dxa"/>
            <w:left w:w="108" w:type="dxa"/>
            <w:bottom w:w="0" w:type="dxa"/>
            <w:right w:w="108" w:type="dxa"/>
          </w:tblCellMar>
        </w:tblPrEx>
        <w:trPr>
          <w:trHeight w:val="36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lang w:val="en-US" w:eastAsia="zh-CN"/>
              </w:rPr>
              <w:t>2013101</w:t>
            </w:r>
          </w:p>
        </w:tc>
        <w:tc>
          <w:tcPr>
            <w:tcW w:w="3786"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rPr>
              <w:t>行政运行</w:t>
            </w:r>
          </w:p>
        </w:tc>
        <w:tc>
          <w:tcPr>
            <w:tcW w:w="2741"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93.12</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93.12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eastAsia="宋体" w:cs="宋体"/>
                <w:kern w:val="0"/>
                <w:sz w:val="24"/>
                <w:szCs w:val="24"/>
                <w:lang w:val="en-US" w:eastAsia="zh-CN" w:bidi="ar-SA"/>
              </w:rPr>
            </w:pPr>
          </w:p>
        </w:tc>
      </w:tr>
      <w:tr>
        <w:tblPrEx>
          <w:tblLayout w:type="fixed"/>
          <w:tblCellMar>
            <w:top w:w="0" w:type="dxa"/>
            <w:left w:w="108" w:type="dxa"/>
            <w:bottom w:w="0" w:type="dxa"/>
            <w:right w:w="108" w:type="dxa"/>
          </w:tblCellMar>
        </w:tblPrEx>
        <w:trPr>
          <w:trHeight w:val="318"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lang w:val="en-US" w:eastAsia="zh-CN"/>
              </w:rPr>
              <w:t>208</w:t>
            </w:r>
          </w:p>
        </w:tc>
        <w:tc>
          <w:tcPr>
            <w:tcW w:w="3786" w:type="dxa"/>
            <w:tcBorders>
              <w:top w:val="nil"/>
              <w:left w:val="nil"/>
              <w:bottom w:val="single" w:color="auto" w:sz="4" w:space="0"/>
              <w:right w:val="single" w:color="auto" w:sz="4" w:space="0"/>
            </w:tcBorders>
            <w:shd w:val="clear" w:color="auto" w:fill="auto"/>
            <w:vAlign w:val="top"/>
          </w:tcPr>
          <w:p>
            <w:pPr>
              <w:jc w:val="center"/>
              <w:rPr>
                <w:rFonts w:hint="eastAsia" w:ascii="宋体" w:hAnsi="宋体" w:eastAsia="宋体" w:cs="宋体"/>
                <w:kern w:val="0"/>
                <w:sz w:val="24"/>
                <w:szCs w:val="24"/>
                <w:lang w:val="en-US" w:eastAsia="zh-CN" w:bidi="ar-SA"/>
              </w:rPr>
            </w:pPr>
            <w:r>
              <w:rPr>
                <w:rFonts w:hint="eastAsia"/>
              </w:rPr>
              <w:t>社会保障和就业支出</w:t>
            </w:r>
          </w:p>
        </w:tc>
        <w:tc>
          <w:tcPr>
            <w:tcW w:w="2741"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9.04</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9.04</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15</w:t>
            </w:r>
          </w:p>
        </w:tc>
      </w:tr>
      <w:tr>
        <w:tblPrEx>
          <w:tblLayout w:type="fixed"/>
          <w:tblCellMar>
            <w:top w:w="0" w:type="dxa"/>
            <w:left w:w="108" w:type="dxa"/>
            <w:bottom w:w="0" w:type="dxa"/>
            <w:right w:w="108" w:type="dxa"/>
          </w:tblCellMar>
        </w:tblPrEx>
        <w:trPr>
          <w:trHeight w:val="366"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lang w:val="en-US" w:eastAsia="zh-CN"/>
              </w:rPr>
              <w:t>20805</w:t>
            </w:r>
          </w:p>
        </w:tc>
        <w:tc>
          <w:tcPr>
            <w:tcW w:w="3786" w:type="dxa"/>
            <w:tcBorders>
              <w:top w:val="nil"/>
              <w:left w:val="nil"/>
              <w:bottom w:val="single" w:color="auto" w:sz="4" w:space="0"/>
              <w:right w:val="single" w:color="auto" w:sz="4" w:space="0"/>
            </w:tcBorders>
            <w:shd w:val="clear" w:color="auto" w:fill="auto"/>
            <w:vAlign w:val="top"/>
          </w:tcPr>
          <w:p>
            <w:pPr>
              <w:jc w:val="center"/>
              <w:rPr>
                <w:rFonts w:hint="eastAsia" w:ascii="宋体" w:hAnsi="宋体" w:eastAsia="宋体" w:cs="宋体"/>
                <w:kern w:val="0"/>
                <w:sz w:val="24"/>
                <w:szCs w:val="24"/>
                <w:lang w:val="en-US" w:eastAsia="zh-CN" w:bidi="ar-SA"/>
              </w:rPr>
            </w:pPr>
            <w:r>
              <w:rPr>
                <w:rFonts w:hint="eastAsia"/>
              </w:rPr>
              <w:t>行政事业单位养老支出</w:t>
            </w:r>
          </w:p>
        </w:tc>
        <w:tc>
          <w:tcPr>
            <w:tcW w:w="2741"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9.04</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9.04</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22.88</w:t>
            </w:r>
          </w:p>
        </w:tc>
      </w:tr>
      <w:tr>
        <w:tblPrEx>
          <w:tblLayout w:type="fixed"/>
          <w:tblCellMar>
            <w:top w:w="0" w:type="dxa"/>
            <w:left w:w="108" w:type="dxa"/>
            <w:bottom w:w="0" w:type="dxa"/>
            <w:right w:w="108" w:type="dxa"/>
          </w:tblCellMar>
        </w:tblPrEx>
        <w:trPr>
          <w:trHeight w:val="354"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lang w:val="en-US" w:eastAsia="zh-CN"/>
              </w:rPr>
              <w:t>2080505</w:t>
            </w:r>
          </w:p>
        </w:tc>
        <w:tc>
          <w:tcPr>
            <w:tcW w:w="3786" w:type="dxa"/>
            <w:tcBorders>
              <w:top w:val="nil"/>
              <w:left w:val="nil"/>
              <w:bottom w:val="single" w:color="auto" w:sz="4" w:space="0"/>
              <w:right w:val="single" w:color="auto" w:sz="4" w:space="0"/>
            </w:tcBorders>
            <w:shd w:val="clear" w:color="auto" w:fill="auto"/>
            <w:vAlign w:val="top"/>
          </w:tcPr>
          <w:p>
            <w:pPr>
              <w:jc w:val="center"/>
              <w:rPr>
                <w:rFonts w:hint="eastAsia" w:ascii="宋体" w:hAnsi="宋体" w:eastAsia="宋体" w:cs="宋体"/>
                <w:kern w:val="0"/>
                <w:sz w:val="24"/>
                <w:szCs w:val="24"/>
                <w:lang w:val="en-US" w:eastAsia="zh-CN" w:bidi="ar-SA"/>
              </w:rPr>
            </w:pPr>
            <w:r>
              <w:rPr>
                <w:rFonts w:hint="eastAsia"/>
              </w:rPr>
              <w:t>机关事业单位基本养老保险缴费支出</w:t>
            </w:r>
          </w:p>
        </w:tc>
        <w:tc>
          <w:tcPr>
            <w:tcW w:w="2741"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9.04</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9.04</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eastAsia="宋体" w:cs="宋体"/>
                <w:kern w:val="0"/>
                <w:sz w:val="24"/>
                <w:szCs w:val="24"/>
                <w:lang w:val="en-US" w:eastAsia="zh-CN" w:bidi="ar-SA"/>
              </w:rPr>
            </w:pPr>
          </w:p>
        </w:tc>
      </w:tr>
      <w:tr>
        <w:tblPrEx>
          <w:tblLayout w:type="fixed"/>
          <w:tblCellMar>
            <w:top w:w="0" w:type="dxa"/>
            <w:left w:w="108" w:type="dxa"/>
            <w:bottom w:w="0" w:type="dxa"/>
            <w:right w:w="108" w:type="dxa"/>
          </w:tblCellMar>
        </w:tblPrEx>
        <w:trPr>
          <w:trHeight w:val="354"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lang w:val="en-US" w:eastAsia="zh-CN"/>
              </w:rPr>
              <w:t>210</w:t>
            </w:r>
          </w:p>
        </w:tc>
        <w:tc>
          <w:tcPr>
            <w:tcW w:w="3786" w:type="dxa"/>
            <w:tcBorders>
              <w:top w:val="nil"/>
              <w:left w:val="nil"/>
              <w:bottom w:val="single" w:color="auto" w:sz="4" w:space="0"/>
              <w:right w:val="single" w:color="auto" w:sz="4" w:space="0"/>
            </w:tcBorders>
            <w:shd w:val="clear" w:color="auto" w:fill="auto"/>
            <w:vAlign w:val="top"/>
          </w:tcPr>
          <w:p>
            <w:pPr>
              <w:jc w:val="center"/>
              <w:rPr>
                <w:rFonts w:hint="eastAsia" w:ascii="宋体" w:hAnsi="宋体" w:eastAsia="宋体" w:cs="宋体"/>
                <w:kern w:val="0"/>
                <w:sz w:val="24"/>
                <w:szCs w:val="24"/>
                <w:lang w:val="en-US" w:eastAsia="zh-CN" w:bidi="ar-SA"/>
              </w:rPr>
            </w:pPr>
            <w:r>
              <w:rPr>
                <w:rFonts w:hint="eastAsia"/>
              </w:rPr>
              <w:t>卫生健康支出</w:t>
            </w:r>
          </w:p>
        </w:tc>
        <w:tc>
          <w:tcPr>
            <w:tcW w:w="2741"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4.91</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4.91</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eastAsia="宋体" w:cs="宋体"/>
                <w:kern w:val="0"/>
                <w:sz w:val="24"/>
                <w:szCs w:val="24"/>
                <w:lang w:val="en-US" w:eastAsia="zh-CN" w:bidi="ar-SA"/>
              </w:rPr>
            </w:pPr>
          </w:p>
        </w:tc>
      </w:tr>
      <w:tr>
        <w:tblPrEx>
          <w:tblLayout w:type="fixed"/>
          <w:tblCellMar>
            <w:top w:w="0" w:type="dxa"/>
            <w:left w:w="108" w:type="dxa"/>
            <w:bottom w:w="0" w:type="dxa"/>
            <w:right w:w="108" w:type="dxa"/>
          </w:tblCellMar>
        </w:tblPrEx>
        <w:trPr>
          <w:trHeight w:val="33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lang w:val="en-US" w:eastAsia="zh-CN"/>
              </w:rPr>
              <w:t>21011</w:t>
            </w:r>
          </w:p>
        </w:tc>
        <w:tc>
          <w:tcPr>
            <w:tcW w:w="3786"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宋体"/>
                <w:kern w:val="0"/>
                <w:sz w:val="24"/>
                <w:szCs w:val="24"/>
                <w:lang w:val="en-US" w:eastAsia="zh-CN" w:bidi="ar-SA"/>
              </w:rPr>
            </w:pPr>
            <w:r>
              <w:rPr>
                <w:rFonts w:hint="eastAsia"/>
              </w:rPr>
              <w:t>行政事业单位医疗</w:t>
            </w:r>
          </w:p>
        </w:tc>
        <w:tc>
          <w:tcPr>
            <w:tcW w:w="274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4.91</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4.91</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宋体" w:hAnsi="宋体" w:eastAsia="宋体" w:cs="宋体"/>
                <w:kern w:val="0"/>
                <w:sz w:val="24"/>
                <w:szCs w:val="24"/>
                <w:lang w:val="en-US" w:eastAsia="zh-CN" w:bidi="ar-SA"/>
              </w:rPr>
            </w:pPr>
          </w:p>
        </w:tc>
      </w:tr>
      <w:tr>
        <w:tblPrEx>
          <w:tblLayout w:type="fixed"/>
          <w:tblCellMar>
            <w:top w:w="0" w:type="dxa"/>
            <w:left w:w="108" w:type="dxa"/>
            <w:bottom w:w="0" w:type="dxa"/>
            <w:right w:w="108" w:type="dxa"/>
          </w:tblCellMar>
        </w:tblPrEx>
        <w:trPr>
          <w:trHeight w:val="306"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lang w:val="en-US" w:eastAsia="zh-CN"/>
              </w:rPr>
              <w:t>2101102</w:t>
            </w:r>
          </w:p>
        </w:tc>
        <w:tc>
          <w:tcPr>
            <w:tcW w:w="3786" w:type="dxa"/>
            <w:tcBorders>
              <w:top w:val="nil"/>
              <w:left w:val="nil"/>
              <w:bottom w:val="single" w:color="auto" w:sz="4" w:space="0"/>
              <w:right w:val="single" w:color="auto" w:sz="4" w:space="0"/>
            </w:tcBorders>
            <w:shd w:val="clear" w:color="auto" w:fill="auto"/>
            <w:vAlign w:val="top"/>
          </w:tcPr>
          <w:p>
            <w:pPr>
              <w:jc w:val="center"/>
              <w:rPr>
                <w:rFonts w:ascii="宋体" w:hAnsi="宋体" w:eastAsia="宋体" w:cs="宋体"/>
                <w:kern w:val="0"/>
                <w:sz w:val="24"/>
                <w:szCs w:val="24"/>
                <w:lang w:val="en-US" w:eastAsia="zh-CN" w:bidi="ar-SA"/>
              </w:rPr>
            </w:pPr>
            <w:r>
              <w:rPr>
                <w:rFonts w:hint="eastAsia"/>
                <w:lang w:val="en-US" w:eastAsia="zh-CN"/>
              </w:rPr>
              <w:t>事业</w:t>
            </w:r>
            <w:r>
              <w:rPr>
                <w:rFonts w:hint="eastAsia"/>
              </w:rPr>
              <w:t>单位医疗</w:t>
            </w:r>
          </w:p>
        </w:tc>
        <w:tc>
          <w:tcPr>
            <w:tcW w:w="274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4.91</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4.91</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宋体" w:hAnsi="宋体" w:eastAsia="宋体" w:cs="宋体"/>
                <w:kern w:val="0"/>
                <w:sz w:val="24"/>
                <w:szCs w:val="24"/>
                <w:lang w:val="en-US" w:eastAsia="zh-CN" w:bidi="ar-SA"/>
              </w:rPr>
            </w:pPr>
          </w:p>
        </w:tc>
      </w:tr>
      <w:tr>
        <w:tblPrEx>
          <w:tblLayout w:type="fixed"/>
          <w:tblCellMar>
            <w:top w:w="0" w:type="dxa"/>
            <w:left w:w="108" w:type="dxa"/>
            <w:bottom w:w="0" w:type="dxa"/>
            <w:right w:w="108" w:type="dxa"/>
          </w:tblCellMar>
        </w:tblPrEx>
        <w:trPr>
          <w:trHeight w:val="354"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pStyle w:val="19"/>
              <w:spacing w:before="138" w:line="189" w:lineRule="auto"/>
              <w:ind w:left="197" w:leftChars="0"/>
              <w:jc w:val="left"/>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221</w:t>
            </w:r>
          </w:p>
        </w:tc>
        <w:tc>
          <w:tcPr>
            <w:tcW w:w="3786" w:type="dxa"/>
            <w:tcBorders>
              <w:top w:val="nil"/>
              <w:left w:val="nil"/>
              <w:bottom w:val="single" w:color="auto" w:sz="4" w:space="0"/>
              <w:right w:val="single" w:color="auto" w:sz="4" w:space="0"/>
            </w:tcBorders>
            <w:shd w:val="clear" w:color="auto" w:fill="auto"/>
            <w:vAlign w:val="top"/>
          </w:tcPr>
          <w:p>
            <w:pPr>
              <w:pStyle w:val="19"/>
              <w:spacing w:before="106" w:line="229" w:lineRule="auto"/>
              <w:ind w:left="28" w:leftChars="0" w:firstLine="960" w:firstLineChars="400"/>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住房保障支出</w:t>
            </w:r>
          </w:p>
        </w:tc>
        <w:tc>
          <w:tcPr>
            <w:tcW w:w="274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6.76</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6.76</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宋体" w:hAnsi="宋体" w:eastAsia="宋体" w:cs="宋体"/>
                <w:kern w:val="0"/>
                <w:sz w:val="24"/>
                <w:szCs w:val="24"/>
                <w:lang w:val="en-US" w:eastAsia="zh-CN" w:bidi="ar-SA"/>
              </w:rPr>
            </w:pPr>
          </w:p>
        </w:tc>
      </w:tr>
      <w:tr>
        <w:tblPrEx>
          <w:tblLayout w:type="fixed"/>
          <w:tblCellMar>
            <w:top w:w="0" w:type="dxa"/>
            <w:left w:w="108" w:type="dxa"/>
            <w:bottom w:w="0" w:type="dxa"/>
            <w:right w:w="108" w:type="dxa"/>
          </w:tblCellMar>
        </w:tblPrEx>
        <w:trPr>
          <w:trHeight w:val="417"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top"/>
          </w:tcPr>
          <w:p>
            <w:pPr>
              <w:pStyle w:val="19"/>
              <w:spacing w:before="139" w:line="190" w:lineRule="auto"/>
              <w:ind w:left="197" w:leftChars="0"/>
              <w:jc w:val="left"/>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22102</w:t>
            </w:r>
          </w:p>
        </w:tc>
        <w:tc>
          <w:tcPr>
            <w:tcW w:w="3786" w:type="dxa"/>
            <w:tcBorders>
              <w:top w:val="nil"/>
              <w:left w:val="nil"/>
              <w:bottom w:val="single" w:color="auto" w:sz="8" w:space="0"/>
              <w:right w:val="single" w:color="auto" w:sz="4" w:space="0"/>
            </w:tcBorders>
            <w:shd w:val="clear" w:color="auto" w:fill="auto"/>
            <w:vAlign w:val="top"/>
          </w:tcPr>
          <w:p>
            <w:pPr>
              <w:pStyle w:val="19"/>
              <w:spacing w:before="107" w:line="229" w:lineRule="auto"/>
              <w:ind w:left="23" w:leftChars="0" w:firstLine="480" w:firstLineChars="200"/>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行政事业单位住房公积金</w:t>
            </w:r>
          </w:p>
        </w:tc>
        <w:tc>
          <w:tcPr>
            <w:tcW w:w="2741" w:type="dxa"/>
            <w:tcBorders>
              <w:top w:val="nil"/>
              <w:left w:val="nil"/>
              <w:bottom w:val="single" w:color="auto" w:sz="8"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6.76</w:t>
            </w:r>
          </w:p>
        </w:tc>
        <w:tc>
          <w:tcPr>
            <w:tcW w:w="3492" w:type="dxa"/>
            <w:tcBorders>
              <w:top w:val="nil"/>
              <w:left w:val="nil"/>
              <w:bottom w:val="single" w:color="auto" w:sz="8" w:space="0"/>
              <w:right w:val="single" w:color="auto" w:sz="4" w:space="0"/>
            </w:tcBorders>
            <w:shd w:val="clear" w:color="auto" w:fill="auto"/>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6.76</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eastAsia="宋体" w:cs="宋体"/>
                <w:kern w:val="0"/>
                <w:sz w:val="24"/>
                <w:szCs w:val="24"/>
                <w:lang w:val="en-US" w:eastAsia="zh-CN" w:bidi="ar-SA"/>
              </w:rPr>
            </w:pPr>
          </w:p>
        </w:tc>
      </w:tr>
      <w:tr>
        <w:tblPrEx>
          <w:tblLayout w:type="fixed"/>
          <w:tblCellMar>
            <w:top w:w="0" w:type="dxa"/>
            <w:left w:w="108" w:type="dxa"/>
            <w:bottom w:w="0" w:type="dxa"/>
            <w:right w:w="108" w:type="dxa"/>
          </w:tblCellMar>
        </w:tblPrEx>
        <w:trPr>
          <w:trHeight w:val="404"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top"/>
          </w:tcPr>
          <w:p>
            <w:pPr>
              <w:pStyle w:val="19"/>
              <w:spacing w:before="140" w:line="19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2210201</w:t>
            </w:r>
          </w:p>
        </w:tc>
        <w:tc>
          <w:tcPr>
            <w:tcW w:w="3786" w:type="dxa"/>
            <w:tcBorders>
              <w:top w:val="nil"/>
              <w:left w:val="nil"/>
              <w:bottom w:val="single" w:color="auto" w:sz="8" w:space="0"/>
              <w:right w:val="single" w:color="auto" w:sz="4" w:space="0"/>
            </w:tcBorders>
            <w:shd w:val="clear" w:color="auto" w:fill="auto"/>
            <w:vAlign w:val="top"/>
          </w:tcPr>
          <w:p>
            <w:pPr>
              <w:pStyle w:val="19"/>
              <w:spacing w:before="109" w:line="229" w:lineRule="auto"/>
              <w:ind w:left="236" w:leftChars="0"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住房公积金</w:t>
            </w:r>
          </w:p>
        </w:tc>
        <w:tc>
          <w:tcPr>
            <w:tcW w:w="2741" w:type="dxa"/>
            <w:tcBorders>
              <w:top w:val="nil"/>
              <w:left w:val="nil"/>
              <w:bottom w:val="single" w:color="auto" w:sz="8" w:space="0"/>
              <w:right w:val="single" w:color="auto" w:sz="4" w:space="0"/>
            </w:tcBorders>
            <w:shd w:val="clear" w:color="auto" w:fill="auto"/>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6.76</w:t>
            </w:r>
          </w:p>
        </w:tc>
        <w:tc>
          <w:tcPr>
            <w:tcW w:w="3492" w:type="dxa"/>
            <w:tcBorders>
              <w:top w:val="nil"/>
              <w:left w:val="nil"/>
              <w:bottom w:val="single" w:color="auto" w:sz="8" w:space="0"/>
              <w:right w:val="single" w:color="auto" w:sz="4" w:space="0"/>
            </w:tcBorders>
            <w:shd w:val="clear" w:color="auto" w:fill="auto"/>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6.76</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eastAsia="宋体" w:cs="宋体"/>
                <w:kern w:val="0"/>
                <w:sz w:val="24"/>
                <w:szCs w:val="24"/>
                <w:lang w:val="en-US" w:eastAsia="zh-CN" w:bidi="ar-SA"/>
              </w:rPr>
            </w:pPr>
          </w:p>
        </w:tc>
      </w:tr>
      <w:tr>
        <w:tblPrEx>
          <w:tblLayout w:type="fixed"/>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15614" w:type="dxa"/>
        <w:tblInd w:w="0" w:type="dxa"/>
        <w:tblLayout w:type="fixed"/>
        <w:tblCellMar>
          <w:top w:w="0" w:type="dxa"/>
          <w:left w:w="108" w:type="dxa"/>
          <w:bottom w:w="0" w:type="dxa"/>
          <w:right w:w="108" w:type="dxa"/>
        </w:tblCellMar>
      </w:tblPr>
      <w:tblGrid>
        <w:gridCol w:w="997"/>
        <w:gridCol w:w="240"/>
        <w:gridCol w:w="94"/>
        <w:gridCol w:w="1299"/>
        <w:gridCol w:w="1829"/>
        <w:gridCol w:w="286"/>
        <w:gridCol w:w="669"/>
        <w:gridCol w:w="1215"/>
        <w:gridCol w:w="308"/>
        <w:gridCol w:w="1993"/>
        <w:gridCol w:w="112"/>
        <w:gridCol w:w="709"/>
        <w:gridCol w:w="1236"/>
        <w:gridCol w:w="161"/>
        <w:gridCol w:w="2106"/>
        <w:gridCol w:w="1714"/>
        <w:gridCol w:w="392"/>
        <w:gridCol w:w="254"/>
      </w:tblGrid>
      <w:tr>
        <w:tblPrEx>
          <w:tblLayout w:type="fixed"/>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县委改发中心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Layout w:type="fixed"/>
          <w:tblCellMar>
            <w:top w:w="0" w:type="dxa"/>
            <w:left w:w="108" w:type="dxa"/>
            <w:bottom w:w="0" w:type="dxa"/>
            <w:right w:w="108" w:type="dxa"/>
          </w:tblCellMar>
        </w:tblPrEx>
        <w:trPr>
          <w:trHeight w:val="113" w:hRule="atLeast"/>
        </w:trPr>
        <w:tc>
          <w:tcPr>
            <w:tcW w:w="133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12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5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1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01"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21"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3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981"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lang w:val="en-US" w:eastAsia="zh-CN"/>
              </w:rPr>
              <w:t>95.83</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18</w:t>
            </w: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32.74</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ind w:firstLine="210" w:firstLineChars="100"/>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w:t>
            </w: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ind w:firstLine="210" w:firstLineChars="100"/>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w:t>
            </w: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18.64</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23.74</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9.04</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4.91</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2</w:t>
            </w: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6.76</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2</w:t>
            </w: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3</w:t>
            </w: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2</w:t>
            </w: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331"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12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0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82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23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9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445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9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95.83</w:t>
            </w:r>
          </w:p>
        </w:tc>
        <w:tc>
          <w:tcPr>
            <w:tcW w:w="9554"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64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rPr>
              <w:t>　</w:t>
            </w:r>
            <w:r>
              <w:rPr>
                <w:rFonts w:hint="eastAsia" w:ascii="宋体" w:hAnsi="宋体" w:eastAsia="宋体" w:cs="宋体"/>
                <w:color w:val="000000"/>
                <w:kern w:val="0"/>
                <w:szCs w:val="18"/>
                <w:lang w:val="en-US" w:eastAsia="zh-CN"/>
              </w:rPr>
              <w:t>18</w:t>
            </w:r>
          </w:p>
        </w:tc>
      </w:tr>
      <w:tr>
        <w:tblPrEx>
          <w:tblLayout w:type="fixed"/>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345" w:hRule="atLeast"/>
        </w:trPr>
        <w:tc>
          <w:tcPr>
            <w:tcW w:w="997"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93"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5"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9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5"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690" w:hRule="atLeast"/>
        </w:trPr>
        <w:tc>
          <w:tcPr>
            <w:tcW w:w="997"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93" w:type="dxa"/>
            <w:gridSpan w:val="2"/>
            <w:tcBorders>
              <w:top w:val="nil"/>
              <w:left w:val="nil"/>
              <w:bottom w:val="nil"/>
              <w:right w:val="nil"/>
            </w:tcBorders>
            <w:shd w:val="clear" w:color="auto" w:fill="FFFFFF"/>
            <w:vAlign w:val="center"/>
          </w:tcPr>
          <w:p>
            <w:pPr>
              <w:jc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县委改发中心</w:t>
            </w:r>
          </w:p>
        </w:tc>
        <w:tc>
          <w:tcPr>
            <w:tcW w:w="2115"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9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5"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06"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459" w:hRule="atLeast"/>
        </w:trPr>
        <w:tc>
          <w:tcPr>
            <w:tcW w:w="26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6"/>
                <w:lang w:val="en-US" w:eastAsia="zh-CN" w:bidi="ar"/>
              </w:rPr>
              <w:t xml:space="preserve">   </w:t>
            </w:r>
            <w:r>
              <w:rPr>
                <w:rStyle w:val="17"/>
                <w:lang w:val="en-US" w:eastAsia="zh-CN" w:bidi="ar"/>
              </w:rPr>
              <w:t>目</w:t>
            </w:r>
          </w:p>
        </w:tc>
        <w:tc>
          <w:tcPr>
            <w:tcW w:w="21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609" w:hRule="atLeast"/>
        </w:trPr>
        <w:tc>
          <w:tcPr>
            <w:tcW w:w="123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39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0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409" w:hRule="atLeast"/>
        </w:trPr>
        <w:tc>
          <w:tcPr>
            <w:tcW w:w="123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3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26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26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无</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无</w:t>
            </w: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县委改发中心</w:t>
            </w: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8"/>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无</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无</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jc w:val="right"/>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县委改发中</w:t>
            </w:r>
          </w:p>
        </w:tc>
        <w:tc>
          <w:tcPr>
            <w:tcW w:w="1261" w:type="dxa"/>
            <w:tcBorders>
              <w:top w:val="nil"/>
              <w:left w:val="nil"/>
              <w:bottom w:val="nil"/>
              <w:right w:val="nil"/>
            </w:tcBorders>
            <w:shd w:val="clear" w:color="auto" w:fill="FFFFFF"/>
            <w:vAlign w:val="center"/>
          </w:tcPr>
          <w:p>
            <w:pPr>
              <w:jc w:val="left"/>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心</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3"/>
        <w:rPr>
          <w:sz w:val="72"/>
          <w:szCs w:val="72"/>
        </w:rPr>
      </w:pPr>
    </w:p>
    <w:p>
      <w:pPr>
        <w:pStyle w:val="13"/>
        <w:rPr>
          <w:sz w:val="72"/>
          <w:szCs w:val="72"/>
        </w:rPr>
      </w:pPr>
    </w:p>
    <w:p>
      <w:pPr>
        <w:pStyle w:val="13"/>
        <w:rPr>
          <w:sz w:val="72"/>
          <w:szCs w:val="72"/>
        </w:rPr>
      </w:pPr>
    </w:p>
    <w:p>
      <w:pPr>
        <w:pStyle w:val="13"/>
        <w:rPr>
          <w:sz w:val="72"/>
          <w:szCs w:val="72"/>
        </w:rPr>
      </w:pPr>
    </w:p>
    <w:p>
      <w:pPr>
        <w:pStyle w:val="13"/>
        <w:jc w:val="center"/>
        <w:rPr>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4</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2024年度收入总计146.83万元。与上年相比，增加18.44万元，增长14.36%，主要是因为本年度人员增加、基本工资、绩效工资、奖金和社会保险收入增加。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2024年度支出总计146.83万元。与上年相比，增加18.44万元，增长14.36%，主要是因为本年度人员增加、基本工资、绩效工资、奖金和社会保险支出增加。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2024年度收入合计146.83万元，其中：财政拨款收入146.83万元，占100%；上级补助收入0万元，占0%；事业收入0万元，占0%；经营收入0万元，占0%；附属单位上缴收入0万元，占0%；其他收入0万元，占0%。</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2024年度支出合计146.83万元，其中：基本支出113.83万元，占77.53%；项目支出33万元，占22.47%；上缴上级支出0万元，占0%；经营支出0万元，占0%；对附属单位补助支出0万元，占0%。</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w:t>
      </w:r>
      <w:r>
        <w:rPr>
          <w:rFonts w:hint="eastAsia" w:ascii="Times New Roman" w:hAnsi="Times New Roman" w:eastAsia="仿宋_GB2312" w:cs="仿宋_GB2312"/>
          <w:bCs/>
          <w:color w:val="auto"/>
          <w:kern w:val="0"/>
          <w:sz w:val="32"/>
          <w:szCs w:val="32"/>
          <w:lang w:val="en-US" w:eastAsia="zh-CN" w:bidi="ar-SA"/>
        </w:rPr>
        <w:t>收入总计146.83万元。与上年相比，财政拨款收入增加18.44万元，增长14.36%，主要是因为本年度人员增加、基本工资、绩效工资、奖金和社会保险收入增加。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w:t>
      </w:r>
      <w:r>
        <w:rPr>
          <w:rFonts w:hint="eastAsia" w:ascii="Times New Roman" w:hAnsi="Times New Roman" w:eastAsia="仿宋_GB2312"/>
          <w:sz w:val="32"/>
          <w:szCs w:val="32"/>
          <w:lang w:val="en-US" w:eastAsia="zh-CN"/>
        </w:rPr>
        <w:t>支出</w:t>
      </w:r>
      <w:r>
        <w:rPr>
          <w:rFonts w:hint="eastAsia" w:ascii="Times New Roman" w:hAnsi="Times New Roman" w:eastAsia="仿宋_GB2312" w:cs="仿宋_GB2312"/>
          <w:bCs/>
          <w:color w:val="auto"/>
          <w:kern w:val="0"/>
          <w:sz w:val="32"/>
          <w:szCs w:val="32"/>
          <w:lang w:val="en-US" w:eastAsia="zh-CN" w:bidi="ar-SA"/>
        </w:rPr>
        <w:t>总计146.83万元。与上年相比，财政拨款支出增加18.44万元，增长14.36%，主要是因为本年度人员增加、基本工资、绩效工资、奖金和社会保险支出增加。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w:t>
      </w:r>
      <w:r>
        <w:rPr>
          <w:rFonts w:hint="eastAsia" w:ascii="Times New Roman" w:hAnsi="Times New Roman" w:eastAsia="仿宋_GB2312"/>
          <w:sz w:val="32"/>
          <w:szCs w:val="32"/>
          <w:lang w:val="en-US" w:eastAsia="zh-CN"/>
        </w:rPr>
        <w:t>支出总计146.83万元。与上年相比，财政拨款支出增加18.44万元，增长14.36%，主要是因为本年度人员增加、基本工资、绩效工资、奖金和社会保险支出增加。</w:t>
      </w:r>
    </w:p>
    <w:p>
      <w:pPr>
        <w:pStyle w:val="13"/>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w:t>
      </w:r>
      <w:bookmarkStart w:id="3" w:name="_GoBack"/>
      <w:bookmarkEnd w:id="3"/>
      <w:r>
        <w:rPr>
          <w:rFonts w:hint="eastAsia" w:ascii="楷体" w:hAnsi="楷体" w:eastAsia="楷体" w:cs="楷体"/>
          <w:b w:val="0"/>
          <w:bCs/>
          <w:sz w:val="32"/>
          <w:szCs w:val="32"/>
          <w:lang w:val="en-US" w:eastAsia="zh-CN"/>
        </w:rPr>
        <w:t>支</w:t>
      </w:r>
      <w:r>
        <w:rPr>
          <w:rFonts w:hint="eastAsia" w:ascii="楷体" w:hAnsi="楷体" w:eastAsia="楷体" w:cs="楷体"/>
          <w:b w:val="0"/>
          <w:bCs/>
          <w:sz w:val="32"/>
          <w:szCs w:val="32"/>
        </w:rPr>
        <w:t>出决算结构情况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146.83</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126.12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85.9</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社会保障和就业</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9.04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6.16</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；卫生健康（类）支出4.91万元，占3.34%；住房保障支出（类）6.76万元，占比4.6%</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146.83</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146.83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1、一般公共服务（类）</w:t>
      </w:r>
      <w:r>
        <w:rPr>
          <w:rFonts w:hint="eastAsia" w:ascii="Times New Roman" w:hAnsi="Times New Roman" w:eastAsia="仿宋_GB2312"/>
          <w:sz w:val="32"/>
          <w:szCs w:val="32"/>
          <w:lang w:val="en-US" w:eastAsia="zh-CN"/>
        </w:rPr>
        <w:t>发展与改革事务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其他发展与改革事务</w:t>
      </w:r>
      <w:r>
        <w:rPr>
          <w:rFonts w:hint="eastAsia" w:ascii="Times New Roman" w:hAnsi="Times New Roman" w:eastAsia="仿宋_GB2312"/>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2、一般公共服务（类）</w:t>
      </w:r>
      <w:r>
        <w:rPr>
          <w:rFonts w:hint="eastAsia" w:ascii="Times New Roman" w:hAnsi="Times New Roman" w:eastAsia="仿宋_GB2312"/>
          <w:sz w:val="32"/>
          <w:szCs w:val="32"/>
          <w:lang w:val="en-US" w:eastAsia="zh-CN"/>
        </w:rPr>
        <w:t>党委办公厅（室）及相关机构事务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行政运行</w:t>
      </w:r>
      <w:r>
        <w:rPr>
          <w:rFonts w:hint="eastAsia" w:ascii="Times New Roman" w:hAnsi="Times New Roman" w:eastAsia="仿宋_GB2312"/>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93.12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93.12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机关事业单位基本养老保险缴费支出</w:t>
      </w:r>
      <w:r>
        <w:rPr>
          <w:rFonts w:hint="eastAsia" w:ascii="Times New Roman" w:hAnsi="Times New Roman" w:eastAsia="仿宋_GB2312"/>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9.04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9.04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事业单位医疗</w:t>
      </w:r>
      <w:r>
        <w:rPr>
          <w:rFonts w:hint="eastAsia" w:ascii="Times New Roman" w:hAnsi="Times New Roman" w:eastAsia="仿宋_GB2312"/>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4.91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4.91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5、住房保障支出（类）行政事业单位住房公积金（款）住房公积金（项）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年初预算为6.76万元，支出决算为6.76万元，完成年初预算的100%。</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113.83</w:t>
      </w:r>
      <w:r>
        <w:rPr>
          <w:rFonts w:hint="eastAsia" w:ascii="Times New Roman" w:hAnsi="Times New Roman" w:eastAsia="仿宋_GB2312"/>
          <w:sz w:val="32"/>
          <w:szCs w:val="32"/>
        </w:rPr>
        <w:t>万元，其中：</w:t>
      </w: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95.83</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84.19</w:t>
      </w:r>
      <w:r>
        <w:rPr>
          <w:rFonts w:hint="eastAsia" w:ascii="Times New Roman" w:hAnsi="Times New Roman" w:eastAsia="仿宋_GB2312"/>
          <w:sz w:val="32"/>
          <w:szCs w:val="32"/>
        </w:rPr>
        <w:t>%,主要包括基本工资、津贴补贴、奖金、</w:t>
      </w:r>
      <w:r>
        <w:rPr>
          <w:rFonts w:hint="eastAsia" w:ascii="Times New Roman" w:hAnsi="Times New Roman" w:eastAsia="仿宋_GB2312"/>
          <w:sz w:val="32"/>
          <w:szCs w:val="32"/>
          <w:lang w:val="en-US" w:eastAsia="zh-CN"/>
        </w:rPr>
        <w:t>绩效工资、机关事业单位基本养老缴费和职工基本医疗缴费；</w:t>
      </w: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15.81</w:t>
      </w:r>
      <w:r>
        <w:rPr>
          <w:rFonts w:hint="eastAsia" w:ascii="Times New Roman" w:hAnsi="Times New Roman" w:eastAsia="仿宋_GB2312"/>
          <w:sz w:val="32"/>
          <w:szCs w:val="32"/>
        </w:rPr>
        <w:t>%，主要包括办公费、印刷费、</w:t>
      </w:r>
      <w:r>
        <w:rPr>
          <w:rFonts w:hint="eastAsia" w:ascii="Times New Roman" w:hAnsi="Times New Roman" w:eastAsia="仿宋_GB2312"/>
          <w:sz w:val="32"/>
          <w:szCs w:val="32"/>
          <w:lang w:val="en-US" w:eastAsia="zh-CN"/>
        </w:rPr>
        <w:t>差旅费、公务接待费、工会经费、福利费、其他交通费以及其他商品和服务支出</w:t>
      </w:r>
      <w:r>
        <w:rPr>
          <w:rFonts w:hint="eastAsia" w:ascii="Times New Roman" w:hAnsi="Times New Roman" w:eastAsia="仿宋_GB2312"/>
          <w:sz w:val="32"/>
          <w:szCs w:val="32"/>
        </w:rPr>
        <w:t>。</w:t>
      </w:r>
    </w:p>
    <w:p>
      <w:pPr>
        <w:pStyle w:val="13"/>
        <w:keepNext w:val="0"/>
        <w:keepLines w:val="0"/>
        <w:pageBreakBefore w:val="0"/>
        <w:widowControl w:val="0"/>
        <w:numPr>
          <w:ilvl w:val="0"/>
          <w:numId w:val="1"/>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0.5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原因是根据政策要求实行零业务接待餐费</w:t>
      </w:r>
      <w:r>
        <w:rPr>
          <w:rFonts w:hint="eastAsia" w:ascii="Times New Roman" w:hAnsi="Times New Roman" w:eastAsia="仿宋_GB2312"/>
          <w:sz w:val="32"/>
          <w:szCs w:val="32"/>
        </w:rPr>
        <w:t>。其中：</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与本年预算数和上年决算数相同。</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原因是根据政策要求实行零业务接待餐费。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与本年预算数和上年决算数相同</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与本年预算数和上年决算数相同。</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主要是</w:t>
      </w:r>
      <w:r>
        <w:rPr>
          <w:rFonts w:hint="eastAsia" w:ascii="Times New Roman" w:hAnsi="Times New Roman" w:eastAsia="仿宋_GB2312"/>
          <w:sz w:val="32"/>
          <w:szCs w:val="32"/>
          <w:lang w:val="en-US" w:eastAsia="zh-CN"/>
        </w:rPr>
        <w:t>开展公务及客商来往</w:t>
      </w:r>
      <w:r>
        <w:rPr>
          <w:rFonts w:hint="eastAsia" w:ascii="Times New Roman" w:hAnsi="Times New Roman" w:eastAsia="仿宋_GB2312"/>
          <w:sz w:val="32"/>
          <w:szCs w:val="32"/>
        </w:rPr>
        <w:t>发生的接待支出。</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万元，截止202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3"/>
        <w:keepNext w:val="0"/>
        <w:keepLines w:val="0"/>
        <w:pageBreakBefore w:val="0"/>
        <w:widowControl w:val="0"/>
        <w:kinsoku/>
        <w:wordWrap/>
        <w:overflowPunct/>
        <w:topLinePunct w:val="0"/>
        <w:bidi w:val="0"/>
        <w:snapToGrid/>
        <w:spacing w:line="600" w:lineRule="exact"/>
        <w:textAlignment w:val="auto"/>
        <w:rPr>
          <w:rFonts w:hint="default" w:ascii="楷体" w:hAnsi="楷体" w:eastAsia="仿宋_GB2312" w:cs="楷体"/>
          <w:b/>
          <w:bCs/>
          <w:i/>
          <w:color w:val="auto"/>
          <w:kern w:val="0"/>
          <w:sz w:val="32"/>
          <w:szCs w:val="32"/>
          <w:lang w:val="en-US" w:eastAsia="zh-CN" w:bidi="ar-SA"/>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未发生</w:t>
      </w:r>
      <w:r>
        <w:rPr>
          <w:rFonts w:hint="eastAsia" w:ascii="Times New Roman" w:hAnsi="Times New Roman" w:eastAsia="仿宋_GB2312"/>
          <w:sz w:val="32"/>
          <w:szCs w:val="32"/>
        </w:rPr>
        <w:t>政府性基金预算财政拨款</w:t>
      </w:r>
      <w:r>
        <w:rPr>
          <w:rFonts w:hint="eastAsia" w:ascii="Times New Roman" w:hAnsi="Times New Roman" w:eastAsia="仿宋_GB2312"/>
          <w:sz w:val="32"/>
          <w:szCs w:val="32"/>
          <w:lang w:val="en-US" w:eastAsia="zh-CN"/>
        </w:rPr>
        <w:t>收支。</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rPr>
        <w:t>万元，比年初预算数</w:t>
      </w:r>
      <w:r>
        <w:rPr>
          <w:rFonts w:hint="eastAsia" w:ascii="Times New Roman" w:hAnsi="Times New Roman" w:eastAsia="仿宋_GB2312"/>
          <w:sz w:val="32"/>
          <w:szCs w:val="32"/>
          <w:lang w:val="en-US" w:eastAsia="zh-CN"/>
        </w:rPr>
        <w:t>相同，比</w:t>
      </w:r>
      <w:r>
        <w:rPr>
          <w:rFonts w:hint="eastAsia" w:ascii="Times New Roman" w:hAnsi="Times New Roman" w:eastAsia="仿宋_GB2312"/>
          <w:sz w:val="32"/>
          <w:szCs w:val="32"/>
        </w:rPr>
        <w:t>上年决算数</w:t>
      </w:r>
      <w:r>
        <w:rPr>
          <w:rFonts w:hint="eastAsia" w:ascii="Times New Roman" w:hAnsi="Times New Roman" w:eastAsia="仿宋_GB2312"/>
          <w:sz w:val="32"/>
          <w:szCs w:val="32"/>
          <w:lang w:val="en-US" w:eastAsia="zh-CN"/>
        </w:rPr>
        <w:t>相比持平</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未</w:t>
      </w:r>
      <w:r>
        <w:rPr>
          <w:rFonts w:hint="eastAsia" w:ascii="Times New Roman" w:hAnsi="Times New Roman" w:eastAsia="仿宋_GB2312"/>
          <w:sz w:val="32"/>
          <w:szCs w:val="32"/>
        </w:rPr>
        <w:t>举办节庆、晚会、论坛、赛事活动</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道县县委改革与发展研究中心</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4</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本单位</w:t>
      </w:r>
      <w:r>
        <w:rPr>
          <w:rFonts w:hint="eastAsia" w:ascii="Times New Roman" w:hAnsi="Times New Roman" w:eastAsia="仿宋_GB2312"/>
          <w:sz w:val="32"/>
          <w:szCs w:val="32"/>
          <w:lang w:eastAsia="zh-CN"/>
        </w:rPr>
        <w:t>绩效管理工作开展情况、</w:t>
      </w:r>
      <w:r>
        <w:rPr>
          <w:rFonts w:hint="eastAsia" w:ascii="Times New Roman" w:hAnsi="Times New Roman" w:eastAsia="仿宋_GB2312"/>
          <w:sz w:val="32"/>
          <w:szCs w:val="32"/>
        </w:rPr>
        <w:t>部门整体支出绩效情况</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绩效目标和绩效评价报告见附件。</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p>
    <w:p>
      <w:pPr>
        <w:pStyle w:val="13"/>
        <w:jc w:val="both"/>
        <w:rPr>
          <w:sz w:val="72"/>
          <w:szCs w:val="72"/>
        </w:rPr>
      </w:pPr>
    </w:p>
    <w:p>
      <w:pPr>
        <w:pStyle w:val="13"/>
        <w:jc w:val="center"/>
        <w:rPr>
          <w:sz w:val="72"/>
          <w:szCs w:val="72"/>
        </w:rPr>
      </w:pPr>
    </w:p>
    <w:p>
      <w:pPr>
        <w:pStyle w:val="13"/>
        <w:jc w:val="center"/>
        <w:rPr>
          <w:sz w:val="72"/>
          <w:szCs w:val="72"/>
        </w:rPr>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right="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lang w:eastAsia="zh-CN"/>
        </w:rPr>
        <w:t>一</w:t>
      </w:r>
      <w:r>
        <w:rPr>
          <w:rFonts w:hint="eastAsia" w:ascii="仿宋_GB2312" w:hAnsi="仿宋_GB2312" w:eastAsia="仿宋_GB2312" w:cs="仿宋_GB2312"/>
          <w:color w:val="000000"/>
          <w:kern w:val="0"/>
          <w:sz w:val="32"/>
          <w:szCs w:val="32"/>
        </w:rPr>
        <w:t xml:space="preserve">、基本支出：是指为保障单位机构正常运转、完成日常工作任务而发生的各项支出，包括用于基本工资、津贴补贴等人员经费以及办公费、印刷费、水电费、办公设备购置等日常公用经费。 </w:t>
      </w: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left="0" w:right="0" w:firstLine="643"/>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lang w:eastAsia="zh-CN"/>
        </w:rPr>
        <w:t>二</w:t>
      </w:r>
      <w:r>
        <w:rPr>
          <w:rFonts w:hint="eastAsia" w:ascii="仿宋_GB2312" w:hAnsi="仿宋_GB2312" w:eastAsia="仿宋_GB2312" w:cs="仿宋_GB2312"/>
          <w:color w:val="000000"/>
          <w:kern w:val="0"/>
          <w:sz w:val="32"/>
          <w:szCs w:val="32"/>
        </w:rPr>
        <w:t xml:space="preserve">、项目支出：是指单位为完成特定行政工作任务或事业发展目标而发生的支出。 </w:t>
      </w:r>
    </w:p>
    <w:p>
      <w:pPr>
        <w:keepNext w:val="0"/>
        <w:keepLines w:val="0"/>
        <w:pageBreakBefore w:val="0"/>
        <w:widowControl/>
        <w:suppressLineNumbers w:val="0"/>
        <w:kinsoku/>
        <w:wordWrap/>
        <w:overflowPunct/>
        <w:topLinePunct w:val="0"/>
        <w:autoSpaceDE/>
        <w:autoSpaceDN/>
        <w:bidi w:val="0"/>
        <w:adjustRightInd/>
        <w:snapToGrid/>
        <w:spacing w:before="0" w:beforeAutospacing="0" w:after="2" w:afterAutospacing="0" w:line="600" w:lineRule="exact"/>
        <w:ind w:left="0" w:right="0" w:firstLine="643"/>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lang w:eastAsia="zh-CN"/>
        </w:rPr>
        <w:t>三</w:t>
      </w:r>
      <w:r>
        <w:rPr>
          <w:rFonts w:hint="eastAsia" w:ascii="仿宋_GB2312" w:hAnsi="仿宋_GB2312" w:eastAsia="仿宋_GB2312" w:cs="仿宋_GB2312"/>
          <w:color w:val="000000"/>
          <w:kern w:val="0"/>
          <w:sz w:val="32"/>
          <w:szCs w:val="32"/>
        </w:rPr>
        <w:t xml:space="preserve">、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w:t>
      </w:r>
    </w:p>
    <w:p>
      <w:pPr>
        <w:pStyle w:val="21"/>
        <w:keepNext w:val="0"/>
        <w:keepLines w:val="0"/>
        <w:pageBreakBefore w:val="0"/>
        <w:kinsoku/>
        <w:wordWrap/>
        <w:overflowPunct/>
        <w:topLinePunct w:val="0"/>
        <w:autoSpaceDE/>
        <w:autoSpaceDN/>
        <w:bidi w:val="0"/>
        <w:adjustRightInd/>
        <w:snapToGrid/>
        <w:spacing w:line="600" w:lineRule="exact"/>
        <w:ind w:firstLine="640" w:firstLineChars="200"/>
        <w:textAlignment w:val="auto"/>
        <w:rPr>
          <w:sz w:val="72"/>
          <w:szCs w:val="72"/>
        </w:rPr>
      </w:pPr>
      <w:r>
        <w:rPr>
          <w:rFonts w:hint="eastAsia" w:ascii="仿宋_GB2312" w:hAnsi="仿宋_GB2312" w:eastAsia="仿宋_GB2312" w:cs="仿宋_GB2312"/>
          <w:color w:val="000000"/>
          <w:kern w:val="0"/>
          <w:sz w:val="32"/>
          <w:szCs w:val="32"/>
          <w:lang w:eastAsia="zh-CN"/>
        </w:rPr>
        <w:t>四</w:t>
      </w:r>
      <w:r>
        <w:rPr>
          <w:rFonts w:hint="eastAsia" w:ascii="仿宋_GB2312" w:hAnsi="仿宋_GB2312" w:eastAsia="仿宋_GB2312" w:cs="仿宋_GB2312"/>
          <w:color w:val="000000"/>
          <w:kern w:val="0"/>
          <w:sz w:val="32"/>
          <w:szCs w:val="32"/>
        </w:rPr>
        <w:t>、“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42C336"/>
    <w:multiLevelType w:val="singleLevel"/>
    <w:tmpl w:val="8942C336"/>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iNjliMWY2MDE5M2I1ZDcxNDQ5N2FlNTE4MjczNjI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62B87"/>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FD42EF"/>
    <w:rsid w:val="031A67DB"/>
    <w:rsid w:val="05AA02EA"/>
    <w:rsid w:val="05D9472B"/>
    <w:rsid w:val="06367206"/>
    <w:rsid w:val="06DF0467"/>
    <w:rsid w:val="06ED4932"/>
    <w:rsid w:val="072F4F4B"/>
    <w:rsid w:val="093854FA"/>
    <w:rsid w:val="096F2483"/>
    <w:rsid w:val="09A32B2B"/>
    <w:rsid w:val="0A5B1BB3"/>
    <w:rsid w:val="0ADD6A6C"/>
    <w:rsid w:val="0AF85654"/>
    <w:rsid w:val="0B36136C"/>
    <w:rsid w:val="0D6F74F8"/>
    <w:rsid w:val="10342D4C"/>
    <w:rsid w:val="10802373"/>
    <w:rsid w:val="110E3E23"/>
    <w:rsid w:val="116C28F7"/>
    <w:rsid w:val="12865C3B"/>
    <w:rsid w:val="128D0D77"/>
    <w:rsid w:val="140C2170"/>
    <w:rsid w:val="146A2236"/>
    <w:rsid w:val="1768590F"/>
    <w:rsid w:val="18EE0096"/>
    <w:rsid w:val="19722A75"/>
    <w:rsid w:val="1A5D3725"/>
    <w:rsid w:val="1AD27C6F"/>
    <w:rsid w:val="1B8B6070"/>
    <w:rsid w:val="1CC61A56"/>
    <w:rsid w:val="1CFD4D4B"/>
    <w:rsid w:val="1D757F7C"/>
    <w:rsid w:val="1D97DEFF"/>
    <w:rsid w:val="1DFF72E5"/>
    <w:rsid w:val="1E2F53D8"/>
    <w:rsid w:val="1E875215"/>
    <w:rsid w:val="1EFC6F07"/>
    <w:rsid w:val="20CC33B3"/>
    <w:rsid w:val="23160915"/>
    <w:rsid w:val="23580F2E"/>
    <w:rsid w:val="236E0751"/>
    <w:rsid w:val="23827D58"/>
    <w:rsid w:val="23A93537"/>
    <w:rsid w:val="24B108F5"/>
    <w:rsid w:val="26C042C9"/>
    <w:rsid w:val="28096C9A"/>
    <w:rsid w:val="29CC61D1"/>
    <w:rsid w:val="2A64640A"/>
    <w:rsid w:val="2B485D2C"/>
    <w:rsid w:val="2C723972"/>
    <w:rsid w:val="2CC47F7D"/>
    <w:rsid w:val="2D1A19C7"/>
    <w:rsid w:val="2DD438A6"/>
    <w:rsid w:val="2DE26367"/>
    <w:rsid w:val="2EB84F76"/>
    <w:rsid w:val="2F7C41F6"/>
    <w:rsid w:val="2FAD2601"/>
    <w:rsid w:val="2FDF85B8"/>
    <w:rsid w:val="2FFFEE04"/>
    <w:rsid w:val="30110DE2"/>
    <w:rsid w:val="302C1778"/>
    <w:rsid w:val="30980EF2"/>
    <w:rsid w:val="315A0567"/>
    <w:rsid w:val="3227669B"/>
    <w:rsid w:val="322A5812"/>
    <w:rsid w:val="33BE302F"/>
    <w:rsid w:val="34692F9B"/>
    <w:rsid w:val="34DF85B0"/>
    <w:rsid w:val="37421881"/>
    <w:rsid w:val="37C64260"/>
    <w:rsid w:val="38C2711D"/>
    <w:rsid w:val="38F117B0"/>
    <w:rsid w:val="3A2338CC"/>
    <w:rsid w:val="3AC058DE"/>
    <w:rsid w:val="3B5223C5"/>
    <w:rsid w:val="3B8F36BC"/>
    <w:rsid w:val="3C7A386B"/>
    <w:rsid w:val="3CD76F0F"/>
    <w:rsid w:val="3D7824A0"/>
    <w:rsid w:val="3E1C6CFA"/>
    <w:rsid w:val="3F283A52"/>
    <w:rsid w:val="3F967E42"/>
    <w:rsid w:val="4004626D"/>
    <w:rsid w:val="41233DA8"/>
    <w:rsid w:val="4185518C"/>
    <w:rsid w:val="42334BE8"/>
    <w:rsid w:val="423F358D"/>
    <w:rsid w:val="442E1B0B"/>
    <w:rsid w:val="44472BCC"/>
    <w:rsid w:val="44C85ABB"/>
    <w:rsid w:val="453D0187"/>
    <w:rsid w:val="454F1D39"/>
    <w:rsid w:val="45CF5C61"/>
    <w:rsid w:val="468772B0"/>
    <w:rsid w:val="46A460B4"/>
    <w:rsid w:val="46BA115B"/>
    <w:rsid w:val="47170634"/>
    <w:rsid w:val="4755115C"/>
    <w:rsid w:val="476B6BD2"/>
    <w:rsid w:val="47841A42"/>
    <w:rsid w:val="491FF225"/>
    <w:rsid w:val="493C25D4"/>
    <w:rsid w:val="4AF53390"/>
    <w:rsid w:val="4BBD5522"/>
    <w:rsid w:val="4E50267E"/>
    <w:rsid w:val="4E9B1B4B"/>
    <w:rsid w:val="4ED41501"/>
    <w:rsid w:val="4F817A94"/>
    <w:rsid w:val="4FFD214C"/>
    <w:rsid w:val="50FB0FC7"/>
    <w:rsid w:val="512A365A"/>
    <w:rsid w:val="541C24D7"/>
    <w:rsid w:val="54A242DD"/>
    <w:rsid w:val="54D774B1"/>
    <w:rsid w:val="550A5C7C"/>
    <w:rsid w:val="555B1901"/>
    <w:rsid w:val="55D02A22"/>
    <w:rsid w:val="5777D4F5"/>
    <w:rsid w:val="58496ABB"/>
    <w:rsid w:val="59765691"/>
    <w:rsid w:val="59DD8326"/>
    <w:rsid w:val="5A570B12"/>
    <w:rsid w:val="5BA04C44"/>
    <w:rsid w:val="5D6F2B20"/>
    <w:rsid w:val="5DC32E6C"/>
    <w:rsid w:val="5DC83E55"/>
    <w:rsid w:val="5DEF592A"/>
    <w:rsid w:val="5E40270F"/>
    <w:rsid w:val="5E9F11E3"/>
    <w:rsid w:val="5EA17973"/>
    <w:rsid w:val="5EA70098"/>
    <w:rsid w:val="5FC6BB1E"/>
    <w:rsid w:val="5FF720F1"/>
    <w:rsid w:val="60C57857"/>
    <w:rsid w:val="61C80A51"/>
    <w:rsid w:val="61F565E3"/>
    <w:rsid w:val="630E6937"/>
    <w:rsid w:val="64FB6C5C"/>
    <w:rsid w:val="65D8147F"/>
    <w:rsid w:val="660109D5"/>
    <w:rsid w:val="6635067F"/>
    <w:rsid w:val="671316C1"/>
    <w:rsid w:val="673D5A3D"/>
    <w:rsid w:val="679338AF"/>
    <w:rsid w:val="67FF5C0B"/>
    <w:rsid w:val="693F7859"/>
    <w:rsid w:val="6B117EEA"/>
    <w:rsid w:val="6C0703C8"/>
    <w:rsid w:val="6C691082"/>
    <w:rsid w:val="6C823EF2"/>
    <w:rsid w:val="6D0050C8"/>
    <w:rsid w:val="6EB56801"/>
    <w:rsid w:val="6EBC193D"/>
    <w:rsid w:val="6EF8049C"/>
    <w:rsid w:val="6EFC0924"/>
    <w:rsid w:val="6F8C57B4"/>
    <w:rsid w:val="6FB74722"/>
    <w:rsid w:val="6FD66A2F"/>
    <w:rsid w:val="6FEA4487"/>
    <w:rsid w:val="6FEF8B7E"/>
    <w:rsid w:val="705F07D2"/>
    <w:rsid w:val="71A6591B"/>
    <w:rsid w:val="72275320"/>
    <w:rsid w:val="723F4D5F"/>
    <w:rsid w:val="72BD7A32"/>
    <w:rsid w:val="72CA214F"/>
    <w:rsid w:val="72D03C09"/>
    <w:rsid w:val="737D59BA"/>
    <w:rsid w:val="74620891"/>
    <w:rsid w:val="760F2C9B"/>
    <w:rsid w:val="7610256F"/>
    <w:rsid w:val="77C37683"/>
    <w:rsid w:val="78014865"/>
    <w:rsid w:val="783E1615"/>
    <w:rsid w:val="78FB5758"/>
    <w:rsid w:val="793B7903"/>
    <w:rsid w:val="79FF515B"/>
    <w:rsid w:val="7A004403"/>
    <w:rsid w:val="7A637111"/>
    <w:rsid w:val="7A825BE1"/>
    <w:rsid w:val="7BC97448"/>
    <w:rsid w:val="7BD55DED"/>
    <w:rsid w:val="7C127041"/>
    <w:rsid w:val="7C26489A"/>
    <w:rsid w:val="7D2F280A"/>
    <w:rsid w:val="7D40373A"/>
    <w:rsid w:val="7E53749D"/>
    <w:rsid w:val="7E8F2BCB"/>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pPr>
      <w:widowControl/>
      <w:spacing w:before="100" w:beforeAutospacing="1" w:after="100" w:afterAutospacing="1"/>
      <w:jc w:val="left"/>
    </w:pPr>
    <w:rPr>
      <w:rFonts w:ascii="宋体" w:hAnsi="宋体" w:cs="宋体"/>
      <w:kern w:val="0"/>
      <w:sz w:val="24"/>
    </w:rPr>
  </w:style>
  <w:style w:type="paragraph" w:styleId="3">
    <w:name w:val="Balloon Text"/>
    <w:basedOn w:val="1"/>
    <w:link w:val="15"/>
    <w:semiHidden/>
    <w:unhideWhenUsed/>
    <w:qFormat/>
    <w:uiPriority w:val="99"/>
    <w:rPr>
      <w:sz w:val="18"/>
      <w:szCs w:val="18"/>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5"/>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3"/>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Table Text"/>
    <w:basedOn w:val="1"/>
    <w:semiHidden/>
    <w:qFormat/>
    <w:uiPriority w:val="0"/>
    <w:rPr>
      <w:rFonts w:ascii="宋体" w:hAnsi="宋体" w:eastAsia="宋体" w:cs="宋体"/>
      <w:sz w:val="19"/>
      <w:szCs w:val="19"/>
      <w:lang w:val="en-US" w:eastAsia="en-US" w:bidi="ar-SA"/>
    </w:rPr>
  </w:style>
  <w:style w:type="table" w:customStyle="1" w:styleId="20">
    <w:name w:val="Table Normal"/>
    <w:semiHidden/>
    <w:unhideWhenUsed/>
    <w:qFormat/>
    <w:uiPriority w:val="0"/>
    <w:tblPr>
      <w:tblLayout w:type="fixed"/>
      <w:tblCellMar>
        <w:top w:w="0" w:type="dxa"/>
        <w:left w:w="0" w:type="dxa"/>
        <w:bottom w:w="0" w:type="dxa"/>
        <w:right w:w="0" w:type="dxa"/>
      </w:tblCellMar>
    </w:tblPr>
  </w:style>
  <w:style w:type="paragraph" w:customStyle="1" w:styleId="21">
    <w:name w:val="样式 文字 + 首行缩进:  2 字符3"/>
    <w:basedOn w:val="1"/>
    <w:qFormat/>
    <w:uiPriority w:val="99"/>
    <w:pPr>
      <w:spacing w:line="360" w:lineRule="auto"/>
      <w:jc w:val="left"/>
    </w:pPr>
    <w:rPr>
      <w:sz w:val="28"/>
      <w:szCs w:val="28"/>
    </w:rPr>
  </w:style>
  <w:style w:type="character" w:customStyle="1" w:styleId="22">
    <w:name w:val="16"/>
    <w:qFormat/>
    <w:uiPriority w:val="0"/>
    <w:rPr>
      <w:rFonts w:ascii="Times New Roman" w:hAnsi="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2760</Words>
  <Characters>3319</Characters>
  <Lines>63</Lines>
  <Paragraphs>18</Paragraphs>
  <TotalTime>2</TotalTime>
  <ScaleCrop>false</ScaleCrop>
  <LinksUpToDate>false</LinksUpToDate>
  <CharactersWithSpaces>3810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Administrator</cp:lastModifiedBy>
  <cp:lastPrinted>2024-08-08T10:20:00Z</cp:lastPrinted>
  <dcterms:modified xsi:type="dcterms:W3CDTF">2025-12-09T09:31:17Z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y fmtid="{D5CDD505-2E9C-101B-9397-08002B2CF9AE}" pid="3" name="ICV">
    <vt:lpwstr>282473FFD8024C3A85AFF18D9661DEFC_12</vt:lpwstr>
  </property>
  <property fmtid="{D5CDD505-2E9C-101B-9397-08002B2CF9AE}" pid="4" name="KSOTemplateDocerSaveRecord">
    <vt:lpwstr>eyJoZGlkIjoiNjM2YjM5MDQ0NjU2NTdlZDE3NDkyZDExNWM1M2M3NjUifQ==</vt:lpwstr>
  </property>
</Properties>
</file>