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道县机关事务服务中心</w:t>
      </w:r>
      <w:r>
        <w:rPr>
          <w:rFonts w:hint="eastAsia" w:ascii="方正小标宋_GBK" w:hAnsi="方正小标宋_GBK" w:eastAsia="方正小标宋_GBK" w:cs="方正小标宋_GBK"/>
          <w:sz w:val="84"/>
          <w:szCs w:val="84"/>
        </w:rPr>
        <w:t>部门（单位）部门决算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spacing w:line="540" w:lineRule="exact"/>
        <w:jc w:val="both"/>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道县机关事务服务中心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rPr>
          <w:rFonts w:hint="eastAsia" w:ascii="方正小标宋_GBK" w:hAnsi="方正小标宋_GBK" w:eastAsia="方正小标宋_GBK" w:cs="方正小标宋_GBK"/>
          <w:sz w:val="72"/>
          <w:szCs w:val="72"/>
        </w:rPr>
      </w:pPr>
    </w:p>
    <w:p>
      <w:pPr>
        <w:pStyle w:val="4"/>
        <w:rPr>
          <w:rFonts w:hint="eastAsia"/>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道县机关事务服务中心部门（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pStyle w:val="4"/>
        <w:rPr>
          <w:rFonts w:hint="eastAsia"/>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both"/>
        <w:rPr>
          <w:sz w:val="72"/>
          <w:szCs w:val="72"/>
        </w:rPr>
      </w:pPr>
    </w:p>
    <w:p>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负责机关大院供水、供电及维修；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负责机关大院环境、卫生、美化、绿化及地面硬化；</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负责机关大院房产管理与分配、兴建及修缮；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负责书记办公楼、限制办公楼、领导办公室的后勤服务于管理；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负责县委、人大、政府、政协大院的安全保卫；</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负责县委、政府会议室（包括常委会议室、政府会议室、政府礼堂、县长楼会议室和政府常务会议室）的管理与服务；</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负责机关院内车辆的安全管理工作，组织开展车辆安全竞赛；</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负责机关食堂和全县公共机构节能的管理；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rPr>
        <w:t>承办县委、县政府的其他事项。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hint="eastAsia"/>
        </w:rPr>
      </w:pPr>
      <w:r>
        <w:rPr>
          <w:rFonts w:hint="eastAsia" w:ascii="仿宋_GB2312" w:hAnsi="仿宋_GB2312" w:eastAsia="仿宋_GB2312" w:cs="仿宋_GB2312"/>
          <w:sz w:val="32"/>
          <w:szCs w:val="32"/>
          <w:lang w:val="en-US" w:eastAsia="zh-CN"/>
        </w:rPr>
        <w:t>道县机关事务服务中心为行政类事业单位，</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本级及公车服务平台组成。</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numPr>
          <w:ilvl w:val="0"/>
          <w:numId w:val="0"/>
        </w:numPr>
        <w:ind w:left="15" w:leftChars="7"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道县机关事务服务中心</w:t>
      </w:r>
      <w:r>
        <w:rPr>
          <w:rFonts w:hint="eastAsia" w:ascii="仿宋_GB2312" w:hAnsi="仿宋_GB2312" w:eastAsia="仿宋_GB2312" w:cs="仿宋_GB2312"/>
          <w:color w:val="000000"/>
          <w:sz w:val="32"/>
          <w:szCs w:val="32"/>
        </w:rPr>
        <w:t>年初人员为</w:t>
      </w: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auto"/>
          <w:sz w:val="32"/>
          <w:szCs w:val="32"/>
        </w:rPr>
        <w:t>，年末人员为</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00"/>
          <w:sz w:val="32"/>
          <w:szCs w:val="32"/>
        </w:rPr>
        <w:t>主要原因为</w:t>
      </w:r>
      <w:r>
        <w:rPr>
          <w:rFonts w:hint="eastAsia" w:ascii="仿宋_GB2312" w:hAnsi="仿宋" w:eastAsia="仿宋_GB2312" w:cs="仿宋_GB2312"/>
          <w:sz w:val="32"/>
          <w:szCs w:val="32"/>
          <w:highlight w:val="none"/>
          <w:lang w:eastAsia="zh-CN" w:bidi="ar"/>
        </w:rPr>
        <w:t>本年度有</w:t>
      </w:r>
      <w:r>
        <w:rPr>
          <w:rFonts w:hint="eastAsia" w:ascii="仿宋_GB2312" w:hAnsi="仿宋" w:eastAsia="仿宋_GB2312" w:cs="仿宋_GB2312"/>
          <w:sz w:val="32"/>
          <w:szCs w:val="32"/>
          <w:highlight w:val="none"/>
          <w:lang w:val="en-US" w:eastAsia="zh-CN" w:bidi="ar"/>
        </w:rPr>
        <w:t>25名</w:t>
      </w:r>
      <w:r>
        <w:rPr>
          <w:rFonts w:hint="eastAsia" w:ascii="仿宋_GB2312" w:hAnsi="仿宋" w:eastAsia="仿宋_GB2312" w:cs="仿宋_GB2312"/>
          <w:sz w:val="32"/>
          <w:szCs w:val="32"/>
          <w:highlight w:val="none"/>
          <w:lang w:eastAsia="zh-CN" w:bidi="ar"/>
        </w:rPr>
        <w:t>事业编制人员调入到机关事务中心</w:t>
      </w:r>
      <w:r>
        <w:rPr>
          <w:rFonts w:hint="eastAsia" w:ascii="仿宋_GB2312" w:eastAsia="仿宋_GB2312" w:cs="仿宋_GB2312"/>
          <w:sz w:val="32"/>
          <w:szCs w:val="32"/>
          <w:highlight w:val="none"/>
          <w:lang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pStyle w:val="16"/>
        <w:jc w:val="both"/>
        <w:rPr>
          <w:rFonts w:hint="eastAsia" w:ascii="方正小标宋_GBK" w:hAnsi="方正小标宋_GBK" w:eastAsia="方正小标宋_GBK" w:cs="方正小标宋_GBK"/>
          <w:sz w:val="84"/>
          <w:szCs w:val="84"/>
        </w:rPr>
      </w:pPr>
    </w:p>
    <w:p>
      <w:pPr>
        <w:pStyle w:val="16"/>
        <w:jc w:val="both"/>
        <w:rPr>
          <w:rFonts w:hint="eastAsia" w:ascii="方正小标宋_GBK" w:hAnsi="方正小标宋_GBK" w:eastAsia="方正小标宋_GBK" w:cs="方正小标宋_GBK"/>
          <w:sz w:val="84"/>
          <w:szCs w:val="84"/>
        </w:rPr>
      </w:pPr>
    </w:p>
    <w:p>
      <w:pPr>
        <w:pStyle w:val="16"/>
        <w:jc w:val="both"/>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90"/>
        <w:gridCol w:w="695"/>
        <w:gridCol w:w="2564"/>
        <w:gridCol w:w="1554"/>
        <w:gridCol w:w="1596"/>
        <w:gridCol w:w="1336"/>
        <w:gridCol w:w="1677"/>
        <w:gridCol w:w="1355"/>
        <w:gridCol w:w="1802"/>
        <w:gridCol w:w="2559"/>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0"/>
              <w:gridCol w:w="731"/>
              <w:gridCol w:w="1929"/>
              <w:gridCol w:w="4180"/>
              <w:gridCol w:w="818"/>
              <w:gridCol w:w="1715"/>
              <w:gridCol w:w="430"/>
              <w:gridCol w:w="2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52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73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2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1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505"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52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3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8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5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部门：道县机关事务服务中心</w:t>
                  </w:r>
                </w:p>
              </w:tc>
              <w:tc>
                <w:tcPr>
                  <w:tcW w:w="73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8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61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4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62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1679.50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732.67</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2403.17</w:t>
                  </w: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75" w:type="dxa"/>
                <w:trHeight w:val="62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5" w:type="dxa"/>
                <w:trHeight w:val="62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75" w:type="dxa"/>
                <w:trHeight w:val="448" w:hRule="atLeast"/>
              </w:trPr>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2403.17</w:t>
                  </w:r>
                </w:p>
              </w:tc>
              <w:tc>
                <w:tcPr>
                  <w:tcW w:w="41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62</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注：1.本表反映部门本年度的总收支和年末结转结余情况。</w:t>
                  </w:r>
                  <w:r>
                    <w:rPr>
                      <w:rFonts w:hint="eastAsia"/>
                      <w:lang w:val="en-US" w:eastAsia="zh-CN"/>
                    </w:rPr>
                    <w:br w:type="textWrapping"/>
                  </w:r>
                  <w:r>
                    <w:rPr>
                      <w:rFonts w:hint="eastAsia"/>
                      <w:lang w:val="en-US" w:eastAsia="zh-CN"/>
                    </w:rPr>
                    <w:br w:type="textWrapping"/>
                  </w:r>
                  <w:r>
                    <w:rPr>
                      <w:rFonts w:hint="eastAsia"/>
                      <w:lang w:val="en-US" w:eastAsia="zh-CN"/>
                    </w:rPr>
                    <w:t xml:space="preserve">    2.本套报表金额单位转换时可能存在尾数误差。</w:t>
                  </w:r>
                </w:p>
                <w:p>
                  <w:pPr>
                    <w:pStyle w:val="4"/>
                    <w:rPr>
                      <w:rFonts w:hint="eastAsia"/>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道县机关事务服务中心</w:t>
            </w:r>
            <w:r>
              <w:rPr>
                <w:rFonts w:hint="eastAsia"/>
              </w:rPr>
              <w:t>　</w:t>
            </w:r>
          </w:p>
        </w:tc>
        <w:tc>
          <w:tcPr>
            <w:tcW w:w="15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4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6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5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5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2403.17</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2403.17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2010303</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机关服务</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438.00</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438.00</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2010305</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专项业务及机关事务管理</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325.45</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325.45</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317.09</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317.09</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586.25</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586.25</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12.71</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12.71</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sz w:val="24"/>
                <w:szCs w:val="24"/>
                <w:lang w:val="en-US"/>
              </w:rPr>
            </w:pPr>
            <w:r>
              <w:rPr>
                <w:rFonts w:hint="eastAsia" w:ascii="宋体" w:hAnsi="宋体" w:eastAsia="宋体" w:cs="宋体"/>
                <w:i w:val="0"/>
                <w:iCs w:val="0"/>
                <w:color w:val="000000"/>
                <w:kern w:val="0"/>
                <w:sz w:val="22"/>
                <w:szCs w:val="22"/>
                <w:u w:val="none"/>
                <w:lang w:val="en-US" w:eastAsia="zh-CN" w:bidi="ar"/>
              </w:rPr>
              <w:t>723.67</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i w:val="0"/>
                <w:iCs w:val="0"/>
                <w:color w:val="000000"/>
                <w:kern w:val="0"/>
                <w:sz w:val="22"/>
                <w:szCs w:val="22"/>
                <w:u w:val="none"/>
                <w:lang w:val="en-US" w:eastAsia="zh-CN" w:bidi="ar"/>
              </w:rPr>
              <w:t>723.67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2"/>
        <w:tblW w:w="15640" w:type="dxa"/>
        <w:tblInd w:w="93" w:type="dxa"/>
        <w:tblLayout w:type="fixed"/>
        <w:tblCellMar>
          <w:top w:w="0" w:type="dxa"/>
          <w:left w:w="108" w:type="dxa"/>
          <w:bottom w:w="0" w:type="dxa"/>
          <w:right w:w="108" w:type="dxa"/>
        </w:tblCellMar>
      </w:tblPr>
      <w:tblGrid>
        <w:gridCol w:w="958"/>
        <w:gridCol w:w="450"/>
        <w:gridCol w:w="2345"/>
        <w:gridCol w:w="1800"/>
        <w:gridCol w:w="1773"/>
        <w:gridCol w:w="2127"/>
        <w:gridCol w:w="2046"/>
        <w:gridCol w:w="1595"/>
        <w:gridCol w:w="2546"/>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9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958"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795" w:type="dxa"/>
            <w:gridSpan w:val="2"/>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道县机关事务服务中心</w:t>
            </w: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75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7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1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5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4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7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77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7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2403.17</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350.80</w:t>
            </w:r>
            <w:r>
              <w:rPr>
                <w:rFonts w:hint="eastAsia" w:ascii="宋体" w:hAnsi="宋体" w:eastAsia="宋体" w:cs="宋体"/>
                <w:kern w:val="0"/>
                <w:sz w:val="24"/>
                <w:szCs w:val="24"/>
              </w:rPr>
              <w:t>　</w:t>
            </w:r>
          </w:p>
        </w:tc>
        <w:tc>
          <w:tcPr>
            <w:tcW w:w="2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2052.37</w:t>
            </w:r>
            <w:r>
              <w:rPr>
                <w:rFonts w:hint="eastAsia" w:ascii="宋体" w:hAnsi="宋体" w:eastAsia="宋体" w:cs="宋体"/>
                <w:kern w:val="0"/>
                <w:sz w:val="24"/>
                <w:szCs w:val="24"/>
              </w:rPr>
              <w:t>　</w:t>
            </w: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2010303</w:t>
            </w:r>
          </w:p>
        </w:tc>
        <w:tc>
          <w:tcPr>
            <w:tcW w:w="23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机关服务</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438.00</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21.00</w:t>
            </w:r>
            <w:r>
              <w:rPr>
                <w:rFonts w:hint="eastAsia" w:ascii="宋体" w:hAnsi="宋体" w:eastAsia="宋体" w:cs="宋体"/>
                <w:kern w:val="0"/>
                <w:sz w:val="24"/>
                <w:szCs w:val="24"/>
              </w:rPr>
              <w:t>　</w:t>
            </w:r>
          </w:p>
        </w:tc>
        <w:tc>
          <w:tcPr>
            <w:tcW w:w="2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417.00</w:t>
            </w: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2010305</w:t>
            </w:r>
          </w:p>
        </w:tc>
        <w:tc>
          <w:tcPr>
            <w:tcW w:w="23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专项业务及机关事务管理</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325.45</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325.45</w:t>
            </w: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23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317.09</w:t>
            </w:r>
          </w:p>
        </w:tc>
        <w:tc>
          <w:tcPr>
            <w:tcW w:w="17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317.09</w:t>
            </w:r>
            <w:r>
              <w:rPr>
                <w:rFonts w:hint="eastAsia" w:ascii="宋体" w:hAnsi="宋体" w:eastAsia="宋体" w:cs="宋体"/>
                <w:kern w:val="0"/>
                <w:sz w:val="24"/>
                <w:szCs w:val="24"/>
              </w:rPr>
              <w:t>　</w:t>
            </w:r>
          </w:p>
        </w:tc>
        <w:tc>
          <w:tcPr>
            <w:tcW w:w="21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3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586.25</w:t>
            </w:r>
          </w:p>
        </w:tc>
        <w:tc>
          <w:tcPr>
            <w:tcW w:w="1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586.25</w:t>
            </w:r>
            <w:r>
              <w:rPr>
                <w:rFonts w:hint="eastAsia" w:ascii="宋体" w:hAnsi="宋体" w:eastAsia="宋体" w:cs="宋体"/>
                <w:kern w:val="0"/>
                <w:sz w:val="24"/>
                <w:szCs w:val="24"/>
              </w:rPr>
              <w:t>　</w:t>
            </w: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3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12.71</w:t>
            </w:r>
          </w:p>
        </w:tc>
        <w:tc>
          <w:tcPr>
            <w:tcW w:w="1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12.71</w:t>
            </w:r>
          </w:p>
        </w:tc>
        <w:tc>
          <w:tcPr>
            <w:tcW w:w="2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3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723.67</w:t>
            </w:r>
          </w:p>
        </w:tc>
        <w:tc>
          <w:tcPr>
            <w:tcW w:w="17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723.67</w:t>
            </w:r>
            <w:r>
              <w:rPr>
                <w:rFonts w:hint="eastAsia" w:ascii="宋体" w:hAnsi="宋体" w:eastAsia="宋体" w:cs="宋体"/>
                <w:kern w:val="0"/>
                <w:sz w:val="24"/>
                <w:szCs w:val="24"/>
              </w:rPr>
              <w:t>　</w:t>
            </w:r>
          </w:p>
        </w:tc>
        <w:tc>
          <w:tcPr>
            <w:tcW w:w="20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595"/>
        <w:gridCol w:w="690"/>
        <w:gridCol w:w="1255"/>
        <w:gridCol w:w="65"/>
        <w:gridCol w:w="3384"/>
        <w:gridCol w:w="163"/>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9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2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1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道县机关事务服务中心</w:t>
            </w:r>
          </w:p>
        </w:tc>
        <w:tc>
          <w:tcPr>
            <w:tcW w:w="6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1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81"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9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1679.50</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1666.79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1666.79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726.67</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12.71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xml:space="preserve">     12.71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723.67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723.67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4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2403.17</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2403.17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1679.50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723.67</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9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9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2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2403.17</w:t>
            </w:r>
            <w:r>
              <w:rPr>
                <w:rFonts w:hint="eastAsia" w:ascii="宋体" w:hAnsi="宋体" w:eastAsia="宋体" w:cs="宋体"/>
                <w:kern w:val="0"/>
                <w:sz w:val="22"/>
              </w:rPr>
              <w:t>　</w:t>
            </w:r>
          </w:p>
        </w:tc>
        <w:tc>
          <w:tcPr>
            <w:tcW w:w="344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9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2403.17</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1679.50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723.67</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pStyle w:val="4"/>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4"/>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0920" w:hanging="10920" w:hangingChars="52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道县机关事务服务中心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1679.50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b/>
                <w:bCs/>
                <w:i w:val="0"/>
                <w:iCs w:val="0"/>
                <w:color w:val="000000"/>
                <w:kern w:val="0"/>
                <w:sz w:val="22"/>
                <w:szCs w:val="22"/>
                <w:u w:val="none"/>
                <w:lang w:val="en-US" w:eastAsia="zh-CN" w:bidi="ar"/>
              </w:rPr>
              <w:t>350.80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1328.70</w:t>
            </w:r>
            <w:r>
              <w:rPr>
                <w:rFonts w:ascii="Times New Roman" w:hAnsi="Times New Roman" w:eastAsia="仿宋_GB2312" w:cs="Times New Roman"/>
                <w:b/>
                <w:bCs/>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438.00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21.00</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417.00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专项业务及机关事务管理</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325.45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325.45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317.09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317.09</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586.25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586.25</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12.71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12.71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fixed"/>
        <w:tblCellMar>
          <w:top w:w="0" w:type="dxa"/>
          <w:left w:w="108" w:type="dxa"/>
          <w:bottom w:w="0" w:type="dxa"/>
          <w:right w:w="108" w:type="dxa"/>
        </w:tblCellMar>
      </w:tblPr>
      <w:tblGrid>
        <w:gridCol w:w="819"/>
        <w:gridCol w:w="184"/>
        <w:gridCol w:w="240"/>
        <w:gridCol w:w="2112"/>
        <w:gridCol w:w="396"/>
        <w:gridCol w:w="1013"/>
        <w:gridCol w:w="309"/>
        <w:gridCol w:w="1091"/>
        <w:gridCol w:w="719"/>
        <w:gridCol w:w="1613"/>
        <w:gridCol w:w="506"/>
        <w:gridCol w:w="1512"/>
        <w:gridCol w:w="607"/>
        <w:gridCol w:w="334"/>
        <w:gridCol w:w="1785"/>
        <w:gridCol w:w="1106"/>
        <w:gridCol w:w="1014"/>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道县机关事务服务中心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19"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3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0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8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317.09</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20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21.00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103.73</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20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65.27</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20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48.70</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201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7.84</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40.37</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12.49</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2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14.62</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1.00</w:t>
            </w: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24.07</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12.71</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2.00</w:t>
            </w: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3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20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3.00</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04" w:hRule="exact"/>
        </w:trPr>
        <w:tc>
          <w:tcPr>
            <w:tcW w:w="375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329.80</w:t>
            </w:r>
          </w:p>
        </w:tc>
        <w:tc>
          <w:tcPr>
            <w:tcW w:w="927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21.00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3355"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部门：道县机关事务服务中心</w:t>
            </w:r>
            <w:r>
              <w:rPr>
                <w:rFonts w:ascii="Times New Roman" w:hAnsi="Times New Roman" w:eastAsia="仿宋_GB2312" w:cs="Times New Roman"/>
                <w:color w:val="000000"/>
                <w:kern w:val="0"/>
                <w:szCs w:val="21"/>
              </w:rPr>
              <w:t xml:space="preserve"> </w:t>
            </w:r>
          </w:p>
        </w:tc>
        <w:tc>
          <w:tcPr>
            <w:tcW w:w="140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14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2120899</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723.67</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723.67</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723.67</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部门：道县机关事务服务中心</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部门：道县机关事务服务中心</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2403.17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609.63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增加了政府性基金开支及公务用车运行维护等费用。</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2403.17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2403.17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2403.17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350.80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2052.37</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2403.17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609.63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增加了政府性基金支出及公务用车运行维护等费用。</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1679.50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69.89</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147.94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9.67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减少了政府性基金投入，增加一般公共预算投入主要为公务用车运行维护等费用。</w:t>
      </w:r>
    </w:p>
    <w:p>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2024年度财政拨款支出1679.50万元，</w:t>
      </w:r>
      <w:bookmarkStart w:id="3" w:name="START_PAY_AMT_1"/>
      <w:bookmarkEnd w:id="3"/>
      <w:bookmarkStart w:id="4"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主要用于以下方面：一般公共服务支出（类）1666.79元，占比99.24%；社会保障和就业支出（类）12.71万元，占比0.76%</w:t>
      </w:r>
      <w:bookmarkEnd w:id="4"/>
      <w:r>
        <w:rPr>
          <w:rFonts w:hint="eastAsia" w:ascii="Times New Roman" w:hAnsi="Times New Roman" w:eastAsia="仿宋_GB2312" w:cs="黑体"/>
          <w:color w:val="000000"/>
          <w:kern w:val="0"/>
          <w:sz w:val="32"/>
          <w:szCs w:val="32"/>
          <w:lang w:val="en-US" w:eastAsia="zh-CN" w:bidi="ar-SA"/>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2024年度财政拨款支出1679.50万元，年初预算</w:t>
      </w:r>
      <w:r>
        <w:rPr>
          <w:rFonts w:hint="eastAsia" w:ascii="Times New Roman" w:hAnsi="Times New Roman" w:eastAsia="仿宋_GB2312" w:cs="黑体"/>
          <w:color w:val="auto"/>
          <w:kern w:val="0"/>
          <w:sz w:val="32"/>
          <w:szCs w:val="32"/>
          <w:lang w:val="en-US" w:eastAsia="zh-CN" w:bidi="ar-SA"/>
        </w:rPr>
        <w:t>数为1559.01万元，支出决算数为1679.50万元，完成年初预算的107.73.%</w:t>
      </w:r>
      <w:r>
        <w:rPr>
          <w:rFonts w:hint="eastAsia" w:ascii="Times New Roman" w:hAnsi="Times New Roman" w:eastAsia="仿宋_GB2312" w:cs="黑体"/>
          <w:color w:val="000000"/>
          <w:kern w:val="0"/>
          <w:sz w:val="32"/>
          <w:szCs w:val="32"/>
          <w:lang w:val="en-US" w:eastAsia="zh-CN" w:bidi="ar-SA"/>
        </w:rPr>
        <w:t xml:space="preserve">，其中：      </w:t>
      </w:r>
    </w:p>
    <w:p>
      <w:pPr>
        <w:pStyle w:val="16"/>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lang w:val="en-US" w:eastAsia="zh-CN"/>
        </w:rPr>
        <w:t>1、社会保障和就业支出（类）抚恤（款）死亡抚恤（项）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年初预算为0万元，支出决算为12.71万元，完成年初预算的0万元,无法计算完成比率，决算数大于预算数主要原因是：死亡抚恤金未单列年初预算。</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2、一般公共服务支出（类）政府办公厅（室）及相关机构事务（款）机关服务（项）。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年初预算为1390.66万元，支出决算为438.00万元，完成年初预算的438.00万元，</w:t>
      </w:r>
      <w:r>
        <w:rPr>
          <w:rFonts w:hint="eastAsia" w:ascii="Times New Roman" w:hAnsi="Times New Roman" w:eastAsia="仿宋_GB2312" w:cs="黑体"/>
          <w:color w:val="000000"/>
          <w:kern w:val="0"/>
          <w:sz w:val="32"/>
          <w:szCs w:val="32"/>
          <w:lang w:val="en-US" w:eastAsia="zh-CN" w:bidi="ar-SA"/>
        </w:rPr>
        <w:t>完成年初预算的31.5%，</w:t>
      </w:r>
      <w:r>
        <w:rPr>
          <w:rFonts w:hint="eastAsia" w:ascii="Times New Roman" w:hAnsi="Times New Roman" w:eastAsia="仿宋_GB2312" w:cs="黑体"/>
          <w:color w:val="auto"/>
          <w:kern w:val="0"/>
          <w:sz w:val="32"/>
          <w:szCs w:val="32"/>
          <w:lang w:val="en-US" w:eastAsia="zh-CN" w:bidi="ar-SA"/>
        </w:rPr>
        <w:t>决算数小于预算数</w:t>
      </w:r>
      <w:r>
        <w:rPr>
          <w:rFonts w:hint="eastAsia" w:ascii="Times New Roman" w:hAnsi="Times New Roman" w:eastAsia="仿宋_GB2312" w:cs="黑体"/>
          <w:color w:val="000000"/>
          <w:kern w:val="0"/>
          <w:sz w:val="32"/>
          <w:szCs w:val="32"/>
          <w:lang w:val="en-US" w:eastAsia="zh-CN" w:bidi="ar-SA"/>
        </w:rPr>
        <w:t>的主要原因是：此项支出中存在年初时列入财政大预算及实际指标下达时拆分了预算项目，故导致机关服务项决算数小于预算数。</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3、一般公共服务支出（类）政府办公厅（室）及相关机构事务（款）专项业务及机关事务管理（项）。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年初预算为0万元，</w:t>
      </w:r>
      <w:r>
        <w:rPr>
          <w:rFonts w:hint="eastAsia" w:ascii="Times New Roman" w:hAnsi="Times New Roman" w:eastAsia="仿宋_GB2312" w:cs="黑体"/>
          <w:color w:val="000000"/>
          <w:kern w:val="0"/>
          <w:sz w:val="32"/>
          <w:szCs w:val="32"/>
          <w:lang w:val="en-US" w:eastAsia="zh-CN" w:bidi="ar-SA"/>
        </w:rPr>
        <w:t>支出决算为325.45万元，完成年初预算的0万元，无法计算完成比率，决算数大于预算数的主要原因是：此项支出在年初是列入财政大预算，故本单位年初未列入预算。</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4、一般公共服务支出（类）党委办公厅（室）及相关机构事务（款）事业运行（项）。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年初预算为0万元，支</w:t>
      </w:r>
      <w:r>
        <w:rPr>
          <w:rFonts w:hint="eastAsia" w:ascii="Times New Roman" w:hAnsi="Times New Roman" w:eastAsia="仿宋_GB2312" w:cs="黑体"/>
          <w:color w:val="000000"/>
          <w:kern w:val="0"/>
          <w:sz w:val="32"/>
          <w:szCs w:val="32"/>
          <w:lang w:val="en-US" w:eastAsia="zh-CN" w:bidi="ar-SA"/>
        </w:rPr>
        <w:t>出决算为317.09万元，完成年初预算的0万元</w:t>
      </w:r>
      <w:bookmarkStart w:id="20" w:name="_GoBack"/>
      <w:bookmarkEnd w:id="20"/>
      <w:r>
        <w:rPr>
          <w:rFonts w:hint="eastAsia" w:ascii="Times New Roman" w:hAnsi="Times New Roman" w:eastAsia="仿宋_GB2312" w:cs="黑体"/>
          <w:color w:val="000000"/>
          <w:kern w:val="0"/>
          <w:sz w:val="32"/>
          <w:szCs w:val="32"/>
          <w:lang w:val="en-US" w:eastAsia="zh-CN" w:bidi="ar-SA"/>
        </w:rPr>
        <w:t>,无法计算完成比率，决算数大于预算数的主要原因是：此项支出在年初是列入财政大预算，故本单位年初未列入预算。</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5、一般公共服务支出（类）政府办公厅（室）及相关机构事务（款）其他政府办公厅（室）及相关机构事务支出（项）。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年初预算为0万元</w:t>
      </w:r>
      <w:r>
        <w:rPr>
          <w:rFonts w:hint="eastAsia" w:ascii="Times New Roman" w:hAnsi="Times New Roman" w:eastAsia="仿宋_GB2312" w:cs="黑体"/>
          <w:color w:val="000000"/>
          <w:kern w:val="0"/>
          <w:sz w:val="32"/>
          <w:szCs w:val="32"/>
          <w:lang w:val="en-US" w:eastAsia="zh-CN" w:bidi="ar-SA"/>
        </w:rPr>
        <w:t>，支出决算为586.25万元，完成年初预算0万元，无法计算完成比率，决算数大于预算数的主要原因是：此项支出在年初是列入财政大预算，故本单位年初未列入预算。</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350.80</w:t>
      </w:r>
      <w:r>
        <w:rPr>
          <w:rFonts w:hint="eastAsia" w:ascii="Times New Roman" w:hAnsi="Times New Roman" w:eastAsia="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329.80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94.01</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绩效、养老、医保、职业年金。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5.99</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水费、公务接待费、劳务费、福利费、工会经费、其他商品服务支出费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511.00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510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99.8</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万元，全年共接待来访</w:t>
      </w:r>
      <w:r>
        <w:rPr>
          <w:rFonts w:hint="eastAsia" w:ascii="Times New Roman" w:hAnsi="Times New Roman" w:eastAsia="仿宋_GB2312"/>
          <w:color w:val="auto"/>
          <w:sz w:val="32"/>
          <w:szCs w:val="32"/>
          <w:lang w:val="en-US" w:eastAsia="zh-CN"/>
        </w:rPr>
        <w:t>16批次</w:t>
      </w:r>
      <w:r>
        <w:rPr>
          <w:rFonts w:hint="eastAsia" w:ascii="Times New Roman" w:hAnsi="Times New Roman" w:eastAsia="仿宋_GB2312"/>
          <w:color w:val="auto"/>
          <w:sz w:val="32"/>
          <w:szCs w:val="32"/>
          <w:lang w:eastAsia="zh-CN"/>
        </w:rPr>
        <w:t>，公务接待来宾</w:t>
      </w:r>
      <w:r>
        <w:rPr>
          <w:rFonts w:hint="eastAsia" w:ascii="Times New Roman" w:hAnsi="Times New Roman" w:eastAsia="仿宋_GB2312"/>
          <w:color w:val="auto"/>
          <w:sz w:val="32"/>
          <w:szCs w:val="32"/>
          <w:lang w:val="en-US" w:eastAsia="zh-CN"/>
        </w:rPr>
        <w:t>50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主要是</w:t>
      </w:r>
      <w:bookmarkStart w:id="5" w:name="THERR_GWJDF_AMT_ZYYY"/>
      <w:r>
        <w:rPr>
          <w:rFonts w:hint="eastAsia" w:ascii="Times New Roman" w:hAnsi="Times New Roman" w:eastAsia="仿宋_GB2312"/>
          <w:color w:val="auto"/>
          <w:sz w:val="32"/>
          <w:szCs w:val="32"/>
          <w:lang w:eastAsia="zh-CN"/>
        </w:rPr>
        <w:t>单位业务需要发生的接待支出</w:t>
      </w:r>
      <w:bookmarkEnd w:id="5"/>
      <w:bookmarkStart w:id="6" w:name="END_THERR_GWJDF_AMT"/>
      <w:bookmarkEnd w:id="6"/>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510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机关事务服务中心</w:t>
      </w:r>
      <w:r>
        <w:rPr>
          <w:rFonts w:hint="eastAsia" w:ascii="Times New Roman" w:hAnsi="Times New Roman" w:eastAsia="仿宋_GB2312"/>
          <w:sz w:val="32"/>
          <w:szCs w:val="32"/>
        </w:rPr>
        <w:t>更新公务用</w:t>
      </w:r>
      <w:r>
        <w:rPr>
          <w:rFonts w:hint="eastAsia" w:ascii="Times New Roman" w:hAnsi="Times New Roman" w:eastAsia="仿宋_GB2312"/>
          <w:sz w:val="32"/>
          <w:szCs w:val="32"/>
          <w:lang w:eastAsia="zh-CN"/>
        </w:rPr>
        <w:t>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510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全县公务用车运行维护的必要</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color w:val="auto"/>
          <w:sz w:val="32"/>
          <w:szCs w:val="32"/>
          <w:highlight w:val="none"/>
          <w:lang w:val="en-US" w:eastAsia="zh-CN"/>
        </w:rPr>
        <w:t>78</w:t>
      </w:r>
      <w:r>
        <w:rPr>
          <w:rFonts w:hint="eastAsia" w:ascii="Times New Roman" w:hAnsi="Times New Roman" w:eastAsia="仿宋_GB2312"/>
          <w:color w:val="auto"/>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bidi w:val="0"/>
        <w:snapToGrid/>
        <w:spacing w:line="600" w:lineRule="exact"/>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723.67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723.67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723.67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
          <w:sz w:val="32"/>
          <w:szCs w:val="32"/>
          <w:highlight w:val="yellow"/>
          <w:lang w:eastAsia="zh-CN"/>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城乡社区支出（类）城乡社区规划与管理（款）城乡社区规划与管理（项）</w:t>
      </w:r>
      <w:r>
        <w:rPr>
          <w:rFonts w:hint="eastAsia" w:ascii="仿宋" w:hAnsi="仿宋" w:eastAsia="仿宋" w:cs="仿宋"/>
          <w:color w:val="000000"/>
          <w:sz w:val="32"/>
          <w:szCs w:val="32"/>
          <w:shd w:val="clear" w:color="auto" w:fill="FFFFFF"/>
          <w:lang w:eastAsia="zh-CN"/>
        </w:rPr>
        <w:t>。</w:t>
      </w:r>
    </w:p>
    <w:p>
      <w:pPr>
        <w:snapToGrid w:val="0"/>
        <w:spacing w:line="520" w:lineRule="exact"/>
        <w:ind w:firstLine="640" w:firstLineChars="200"/>
        <w:rPr>
          <w:rFonts w:hint="default" w:ascii="Times New Roman" w:hAnsi="Times New Roman" w:eastAsia="仿宋_GB2312"/>
          <w:color w:val="0000FF"/>
          <w:sz w:val="32"/>
          <w:szCs w:val="32"/>
          <w:highlight w:val="none"/>
          <w:lang w:val="en-US"/>
        </w:rPr>
      </w:pPr>
      <w:r>
        <w:rPr>
          <w:rFonts w:hint="eastAsia" w:ascii="Times New Roman" w:hAnsi="Times New Roman" w:eastAsia="仿宋_GB2312"/>
          <w:sz w:val="32"/>
          <w:szCs w:val="32"/>
          <w:highlight w:val="none"/>
        </w:rPr>
        <w:t>年初预算</w:t>
      </w:r>
      <w:r>
        <w:rPr>
          <w:rFonts w:hint="eastAsia"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lang w:val="en-US" w:eastAsia="zh-CN"/>
        </w:rPr>
        <w:t>675.10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723.67</w:t>
      </w:r>
      <w:r>
        <w:rPr>
          <w:rFonts w:hint="eastAsia" w:ascii="Times New Roman" w:hAnsi="Times New Roman" w:eastAsia="仿宋_GB2312"/>
          <w:color w:val="auto"/>
          <w:sz w:val="32"/>
          <w:szCs w:val="32"/>
          <w:highlight w:val="none"/>
        </w:rPr>
        <w:t>万元，完成年初预算的</w:t>
      </w:r>
      <w:r>
        <w:rPr>
          <w:rFonts w:hint="eastAsia" w:ascii="Times New Roman" w:hAnsi="Times New Roman" w:eastAsia="仿宋_GB2312"/>
          <w:color w:val="auto"/>
          <w:sz w:val="32"/>
          <w:szCs w:val="32"/>
          <w:highlight w:val="none"/>
          <w:lang w:val="en-US" w:eastAsia="zh-CN"/>
        </w:rPr>
        <w:t>107.19</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color w:val="auto"/>
          <w:sz w:val="32"/>
          <w:szCs w:val="32"/>
          <w:lang w:val="en-US" w:eastAsia="zh-CN"/>
        </w:rPr>
        <w:t>主要为</w:t>
      </w:r>
      <w:r>
        <w:rPr>
          <w:rFonts w:hint="eastAsia" w:ascii="仿宋_GB2312" w:hAnsi="仿宋" w:eastAsia="仿宋_GB2312" w:cs="仿宋_GB2312"/>
          <w:color w:val="auto"/>
          <w:sz w:val="32"/>
          <w:szCs w:val="32"/>
          <w:highlight w:val="none"/>
          <w:lang w:eastAsia="zh-CN" w:bidi="ar"/>
        </w:rPr>
        <w:t>纪委食堂扩建，巡视巡查办公设备，县委大院内部</w:t>
      </w:r>
      <w:r>
        <w:rPr>
          <w:rFonts w:hint="eastAsia" w:ascii="仿宋_GB2312" w:hAnsi="仿宋" w:eastAsia="仿宋_GB2312" w:cs="仿宋_GB2312"/>
          <w:sz w:val="32"/>
          <w:szCs w:val="32"/>
          <w:highlight w:val="none"/>
          <w:lang w:eastAsia="zh-CN" w:bidi="ar"/>
        </w:rPr>
        <w:t>维修维护等项目支出</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highlight w:val="none"/>
          <w:lang w:val="en-US" w:eastAsia="zh-CN"/>
        </w:rPr>
        <w:t>21</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保持一致。</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w:t>
      </w:r>
      <w:r>
        <w:rPr>
          <w:rFonts w:hint="eastAsia" w:ascii="仿宋" w:hAnsi="仿宋" w:eastAsia="仿宋" w:cs="仿宋"/>
        </w:rPr>
        <w:t>开支培训费</w:t>
      </w:r>
      <w:bookmarkStart w:id="7" w:name="TRAIN_FUNDS_AMT"/>
      <w:r>
        <w:rPr>
          <w:rFonts w:hint="eastAsia" w:ascii="仿宋" w:hAnsi="仿宋" w:eastAsia="仿宋" w:cs="仿宋"/>
          <w:color w:val="000000"/>
          <w:shd w:val="clear" w:color="auto" w:fill="FFFFFF"/>
        </w:rPr>
        <w:t>0</w:t>
      </w:r>
      <w:bookmarkEnd w:id="7"/>
      <w:r>
        <w:rPr>
          <w:rFonts w:hint="eastAsia" w:ascii="仿宋" w:hAnsi="仿宋" w:eastAsia="仿宋" w:cs="仿宋"/>
        </w:rPr>
        <w:t>万元</w:t>
      </w:r>
      <w:bookmarkStart w:id="8" w:name="DIS_MARK_TRAIN_FUNDS_AMT"/>
      <w:bookmarkEnd w:id="8"/>
      <w:bookmarkStart w:id="9" w:name="END_TRAIN_FUNDS_AMT"/>
      <w:bookmarkEnd w:id="9"/>
      <w:bookmarkStart w:id="10" w:name="TRAIN_FUNDS_PXNR"/>
      <w:bookmarkEnd w:id="10"/>
      <w:bookmarkStart w:id="11" w:name="START_TRAIN_FUNDS_AMT"/>
      <w:bookmarkEnd w:id="11"/>
      <w:r>
        <w:rPr>
          <w:rFonts w:hint="eastAsia" w:ascii="仿宋" w:hAnsi="仿宋" w:eastAsia="仿宋" w:cs="仿宋"/>
        </w:rPr>
        <w:t>；</w:t>
      </w:r>
      <w:bookmarkStart w:id="12" w:name="YES_NO"/>
      <w:bookmarkEnd w:id="12"/>
      <w:bookmarkStart w:id="13" w:name="END_YES"/>
      <w:bookmarkEnd w:id="13"/>
      <w:bookmarkStart w:id="14" w:name="START_NO"/>
      <w:bookmarkEnd w:id="14"/>
      <w:bookmarkStart w:id="15" w:name="START_YES"/>
      <w:bookmarkEnd w:id="15"/>
      <w:bookmarkStart w:id="16" w:name="DIS_MARK_YES"/>
      <w:bookmarkEnd w:id="16"/>
      <w:bookmarkStart w:id="17" w:name="DIS_MARK_NO"/>
      <w:r>
        <w:rPr>
          <w:rFonts w:hint="eastAsia" w:ascii="仿宋" w:hAnsi="仿宋" w:eastAsia="仿宋" w:cs="仿宋_GB2312"/>
          <w:color w:val="000000"/>
          <w:shd w:val="clear" w:color="auto" w:fill="FFFFFF"/>
        </w:rPr>
        <w:t>未举办节庆、晚会、论坛、赛事活动</w:t>
      </w:r>
      <w:r>
        <w:rPr>
          <w:rFonts w:hint="eastAsia" w:ascii="仿宋" w:hAnsi="仿宋" w:eastAsia="仿宋" w:cs="仿宋"/>
        </w:rPr>
        <w:t>。</w:t>
      </w:r>
      <w:bookmarkEnd w:id="17"/>
      <w:bookmarkStart w:id="18" w:name="END_NO"/>
      <w:bookmarkEnd w:id="18"/>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十二、关于国有资产占用情况说明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78</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78</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本单位严格按照我县财政局绩效股要求，针对项目资金填写了申报表、跟踪表以及年终绩效报告。针对部门整体支出绩效情况分为项目绩效目标完成情况与其他项目绩效目标完成情况。</w:t>
      </w:r>
    </w:p>
    <w:p>
      <w:pPr>
        <w:pStyle w:val="16"/>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left="0" w:leftChars="0"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仿宋" w:hAnsi="仿宋" w:eastAsia="仿宋" w:cs="仿宋"/>
          <w:b w:val="0"/>
          <w:bCs w:val="0"/>
          <w:sz w:val="32"/>
          <w:szCs w:val="32"/>
          <w:lang w:val="en-US" w:eastAsia="zh-CN"/>
        </w:rPr>
        <w:t>我单位资金使用主要分为七大项目：公务用车运行维护、县委大院电费、物业管理费、安保应急分队费、机关修缮、小食堂开支、白蚁防治绿化费等，目前项目实际完成任务量均已达到绩效目标申报的任务量。</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6"/>
        <w:ind w:firstLine="640" w:firstLineChars="200"/>
        <w:jc w:val="both"/>
        <w:rPr>
          <w:rFonts w:hint="default"/>
          <w:sz w:val="72"/>
          <w:szCs w:val="72"/>
          <w:lang w:val="en-US"/>
        </w:rPr>
      </w:pPr>
      <w:r>
        <w:rPr>
          <w:rFonts w:hint="eastAsia" w:ascii="仿宋" w:hAnsi="仿宋" w:eastAsia="仿宋" w:cs="仿宋"/>
          <w:b w:val="0"/>
          <w:bCs w:val="0"/>
          <w:sz w:val="32"/>
          <w:szCs w:val="32"/>
          <w:lang w:val="en-US" w:eastAsia="zh-CN"/>
        </w:rPr>
        <w:t>2024年执行及绩效管理期间，我单位认真执行县政府安排的财政资金的使用及监管，没有擅自改变机关事务服务中心资金管理办法和年度计划；没有违反规定改变机关事务服务中心金使用范围和投向；没有违反衔接资金分配、拨付和项目立项、审批的程序；没有截留、挤占、挪用、贪污和骗取乡村振兴资金的现象。但也存在一些不足之处：1、2024年度由于财政资金困难，资金拨付较慢；2、公车使用分配还有进一步完善的空间，需求量大的时期会出现公车供应较慢的现象。</w:t>
      </w: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仿宋_GB2312" w:hAnsi="仿宋_GB2312" w:eastAsia="仿宋_GB2312" w:cs="仿宋_GB2312"/>
          <w:color w:val="000000"/>
          <w:sz w:val="32"/>
          <w:szCs w:val="32"/>
          <w:shd w:val="clear" w:color="auto" w:fill="FFFFFF"/>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cs="黑体" w:asciiTheme="minorEastAsia" w:hAnsiTheme="minorEastAsia"/>
          <w:color w:val="000000"/>
          <w:kern w:val="0"/>
          <w:sz w:val="32"/>
          <w:szCs w:val="32"/>
        </w:rPr>
        <w:t>二、</w:t>
      </w:r>
      <w:r>
        <w:rPr>
          <w:rFonts w:hint="eastAsia" w:ascii="仿宋_GB2312" w:hAnsi="仿宋_GB2312" w:eastAsia="仿宋_GB2312" w:cs="仿宋_GB2312"/>
          <w:color w:val="000000"/>
          <w:sz w:val="32"/>
          <w:szCs w:val="32"/>
          <w:shd w:val="clear" w:color="auto" w:fill="FFFFFF"/>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rPr>
          <w:sz w:val="72"/>
          <w:szCs w:val="72"/>
        </w:rPr>
      </w:pPr>
      <w:r>
        <w:rPr>
          <w:sz w:val="72"/>
          <w:szCs w:val="72"/>
        </w:rPr>
        <w:br w:type="page"/>
      </w: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jc w:val="center"/>
        <w:rPr>
          <w:rFonts w:hint="eastAsia"/>
          <w:lang w:val="en-US" w:eastAsia="zh-CN"/>
        </w:rPr>
      </w:pPr>
      <w:r>
        <w:rPr>
          <w:rFonts w:hint="eastAsia" w:ascii="宋体" w:hAnsi="宋体" w:eastAsia="宋体" w:cs="宋体"/>
          <w:b/>
          <w:bCs/>
          <w:sz w:val="44"/>
          <w:szCs w:val="44"/>
          <w:lang w:val="en-US" w:eastAsia="zh-CN"/>
        </w:rPr>
        <w:t>2024年道县机关事务服务中心</w:t>
      </w:r>
      <w:r>
        <w:rPr>
          <w:rFonts w:hint="eastAsia" w:ascii="宋体" w:hAnsi="宋体" w:eastAsia="宋体" w:cs="宋体"/>
          <w:b/>
          <w:bCs/>
          <w:sz w:val="44"/>
          <w:szCs w:val="44"/>
        </w:rPr>
        <w:t>绩效自评报告</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sz w:val="36"/>
          <w:szCs w:val="36"/>
        </w:rPr>
      </w:pPr>
      <w:bookmarkStart w:id="19" w:name="YS060101"/>
      <w:r>
        <w:rPr>
          <w:rFonts w:hint="eastAsia" w:ascii="宋体" w:hAnsi="宋体" w:eastAsia="宋体" w:cs="宋体"/>
          <w:b/>
          <w:bCs/>
          <w:sz w:val="36"/>
          <w:szCs w:val="36"/>
        </w:rPr>
        <w:t>一、单位情况</w:t>
      </w:r>
    </w:p>
    <w:bookmarkEnd w:id="19"/>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sz w:val="32"/>
          <w:szCs w:val="32"/>
          <w:lang w:eastAsia="zh-CN"/>
        </w:rPr>
      </w:pPr>
      <w:r>
        <w:rPr>
          <w:rFonts w:hint="eastAsia" w:ascii="宋体" w:hAnsi="宋体" w:eastAsia="宋体" w:cs="宋体"/>
          <w:b/>
          <w:sz w:val="32"/>
          <w:szCs w:val="32"/>
        </w:rPr>
        <w:t>（一）基本情况</w:t>
      </w:r>
      <w:r>
        <w:rPr>
          <w:rFonts w:hint="eastAsia" w:ascii="宋体" w:hAnsi="宋体" w:eastAsia="宋体" w:cs="宋体"/>
          <w:b/>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主要职能。</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负责机关大院供水、供电及维修；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负责机关大院环境、卫生、美化、绿化及地面硬化；</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负责机关大院房产管理与分配、兴建及修缮；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负责书记办公楼、限制办公楼、领导办公室的后勤服务于管理；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负责县委、人大、政府、政协大院的安全保卫；</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负责县委、政府会议室（包括常委会议室、政府会议室、政府礼堂、县长楼会议室和政府常务会议室）的管理与服务；</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负责机关院内车辆的安全管理工作，组织开展车辆安全竞赛；</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负责机关食堂和全县公共机构节能的管理；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承办县委、县政府的其他事项。</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道县机关事务服务中心为行政类事业单位，</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机关事务</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本级及公车服务平台组成。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人员情况。</w:t>
      </w:r>
    </w:p>
    <w:p>
      <w:pPr>
        <w:numPr>
          <w:ilvl w:val="0"/>
          <w:numId w:val="0"/>
        </w:numPr>
        <w:ind w:left="14" w:leftChars="7"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道县机关事务服务中心</w:t>
      </w:r>
      <w:r>
        <w:rPr>
          <w:rFonts w:hint="eastAsia" w:ascii="仿宋_GB2312" w:hAnsi="仿宋_GB2312" w:eastAsia="仿宋_GB2312" w:cs="仿宋_GB2312"/>
          <w:color w:val="000000"/>
          <w:sz w:val="32"/>
          <w:szCs w:val="32"/>
        </w:rPr>
        <w:t>年初人员为</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人，年末人员为</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人，主要原因为</w:t>
      </w:r>
      <w:r>
        <w:rPr>
          <w:rFonts w:hint="eastAsia" w:ascii="仿宋_GB2312" w:hAnsi="仿宋" w:eastAsia="仿宋_GB2312" w:cs="仿宋_GB2312"/>
          <w:sz w:val="32"/>
          <w:szCs w:val="32"/>
          <w:highlight w:val="none"/>
          <w:lang w:eastAsia="zh-CN" w:bidi="ar"/>
        </w:rPr>
        <w:t>本年度有</w:t>
      </w:r>
      <w:r>
        <w:rPr>
          <w:rFonts w:hint="eastAsia" w:ascii="仿宋_GB2312" w:hAnsi="仿宋" w:eastAsia="仿宋_GB2312" w:cs="仿宋_GB2312"/>
          <w:sz w:val="32"/>
          <w:szCs w:val="32"/>
          <w:highlight w:val="none"/>
          <w:lang w:val="en-US" w:eastAsia="zh-CN" w:bidi="ar"/>
        </w:rPr>
        <w:t>25名</w:t>
      </w:r>
      <w:r>
        <w:rPr>
          <w:rFonts w:hint="eastAsia" w:ascii="仿宋_GB2312" w:hAnsi="仿宋" w:eastAsia="仿宋_GB2312" w:cs="仿宋_GB2312"/>
          <w:sz w:val="32"/>
          <w:szCs w:val="32"/>
          <w:highlight w:val="none"/>
          <w:lang w:eastAsia="zh-CN" w:bidi="ar"/>
        </w:rPr>
        <w:t>事业编制人员调入到机关事务中心</w:t>
      </w:r>
      <w:r>
        <w:rPr>
          <w:rFonts w:hint="eastAsia" w:ascii="仿宋_GB2312" w:eastAsia="仿宋_GB2312" w:cs="仿宋_GB2312"/>
          <w:sz w:val="32"/>
          <w:szCs w:val="32"/>
          <w:highlight w:val="none"/>
          <w:lang w:bidi="ar"/>
        </w:rPr>
        <w:t>。</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二、</w:t>
      </w:r>
      <w:r>
        <w:rPr>
          <w:rFonts w:hint="eastAsia" w:ascii="黑体" w:hAnsi="黑体" w:eastAsia="黑体" w:cs="黑体"/>
          <w:sz w:val="36"/>
          <w:szCs w:val="36"/>
        </w:rPr>
        <w:t>一般公共预算支出情况</w:t>
      </w:r>
    </w:p>
    <w:p>
      <w:pPr>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一般公共预算拨款支</w:t>
      </w:r>
      <w:r>
        <w:rPr>
          <w:rFonts w:hint="eastAsia" w:ascii="仿宋_GB2312" w:hAnsi="黑体" w:eastAsia="仿宋_GB2312"/>
          <w:sz w:val="32"/>
          <w:szCs w:val="32"/>
          <w:highlight w:val="none"/>
        </w:rPr>
        <w:t>出</w:t>
      </w:r>
      <w:r>
        <w:rPr>
          <w:rFonts w:ascii="仿宋_GB2312" w:eastAsia="仿宋_GB2312" w:cs="仿宋_GB2312"/>
          <w:sz w:val="32"/>
          <w:szCs w:val="32"/>
          <w:highlight w:val="none"/>
          <w:lang w:bidi="ar"/>
        </w:rPr>
        <w:t>1679.50</w:t>
      </w:r>
      <w:r>
        <w:rPr>
          <w:rFonts w:hint="eastAsia" w:ascii="仿宋_GB2312" w:hAnsi="黑体" w:eastAsia="仿宋_GB2312"/>
          <w:sz w:val="32"/>
          <w:szCs w:val="32"/>
          <w:highlight w:val="none"/>
        </w:rPr>
        <w:t>万元</w:t>
      </w:r>
      <w:r>
        <w:rPr>
          <w:rFonts w:hint="eastAsia" w:ascii="仿宋_GB2312" w:hAnsi="黑体" w:eastAsia="仿宋_GB2312"/>
          <w:sz w:val="32"/>
          <w:szCs w:val="32"/>
        </w:rPr>
        <w:t>，具体安排情况如下：</w:t>
      </w:r>
    </w:p>
    <w:p>
      <w:pPr>
        <w:numPr>
          <w:ilvl w:val="0"/>
          <w:numId w:val="5"/>
        </w:numPr>
        <w:rPr>
          <w:rFonts w:hint="eastAsia" w:ascii="宋体" w:hAnsi="宋体" w:eastAsia="宋体" w:cs="宋体"/>
          <w:b/>
          <w:bCs/>
          <w:sz w:val="32"/>
          <w:szCs w:val="32"/>
        </w:rPr>
      </w:pPr>
      <w:r>
        <w:rPr>
          <w:rFonts w:hint="eastAsia" w:ascii="宋体" w:hAnsi="宋体" w:eastAsia="宋体" w:cs="宋体"/>
          <w:b/>
          <w:bCs/>
          <w:sz w:val="32"/>
          <w:szCs w:val="32"/>
        </w:rPr>
        <w:t>基本支出情况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color w:val="auto"/>
          <w:sz w:val="32"/>
          <w:szCs w:val="32"/>
          <w:highlight w:val="none"/>
          <w:lang w:val="en-US" w:eastAsia="zh-CN"/>
        </w:rPr>
        <w:t>350.80</w:t>
      </w:r>
      <w:r>
        <w:rPr>
          <w:rFonts w:hint="eastAsia" w:ascii="仿宋_GB2312" w:hAnsi="黑体" w:eastAsia="仿宋_GB2312"/>
          <w:color w:val="auto"/>
          <w:sz w:val="32"/>
          <w:szCs w:val="32"/>
        </w:rPr>
        <w:t>万</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225.5</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40.37</w:t>
      </w:r>
      <w:r>
        <w:rPr>
          <w:rFonts w:hint="eastAsia" w:ascii="仿宋_GB2312" w:hAnsi="仿宋_GB2312" w:eastAsia="仿宋_GB2312" w:cs="仿宋_GB2312"/>
          <w:sz w:val="32"/>
          <w:szCs w:val="32"/>
        </w:rPr>
        <w:t>万元，职工基本医疗保险缴费</w:t>
      </w:r>
      <w:r>
        <w:rPr>
          <w:rFonts w:hint="eastAsia" w:ascii="仿宋_GB2312" w:hAnsi="仿宋_GB2312" w:eastAsia="仿宋_GB2312" w:cs="仿宋_GB2312"/>
          <w:sz w:val="32"/>
          <w:szCs w:val="32"/>
          <w:lang w:val="en-US" w:eastAsia="zh-CN"/>
        </w:rPr>
        <w:t>14.62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，职业年金</w:t>
      </w:r>
      <w:r>
        <w:rPr>
          <w:rFonts w:hint="eastAsia" w:ascii="仿宋_GB2312" w:hAnsi="仿宋_GB2312" w:eastAsia="仿宋_GB2312" w:cs="仿宋_GB2312"/>
          <w:sz w:val="32"/>
          <w:szCs w:val="32"/>
          <w:lang w:val="en-US" w:eastAsia="zh-CN"/>
        </w:rPr>
        <w:t>12.5万元，住房公积金24.07万元，抚恤金12.71万元，</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劳务费2万元，</w:t>
      </w:r>
      <w:r>
        <w:rPr>
          <w:rFonts w:hint="eastAsia" w:ascii="仿宋_GB2312" w:hAnsi="仿宋_GB2312" w:eastAsia="仿宋_GB2312" w:cs="仿宋_GB2312"/>
          <w:sz w:val="32"/>
          <w:szCs w:val="32"/>
          <w:lang w:eastAsia="zh-CN"/>
        </w:rPr>
        <w:t>工会</w:t>
      </w:r>
      <w:r>
        <w:rPr>
          <w:rFonts w:hint="eastAsia" w:ascii="仿宋_GB2312" w:hAnsi="仿宋_GB2312" w:eastAsia="仿宋_GB2312" w:cs="仿宋_GB2312"/>
          <w:sz w:val="32"/>
          <w:szCs w:val="32"/>
          <w:lang w:val="en-US" w:eastAsia="zh-CN"/>
        </w:rPr>
        <w:t>经费4万元，福利费2万元，，差旅费1万，</w:t>
      </w:r>
      <w:r>
        <w:rPr>
          <w:rFonts w:hint="eastAsia"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lang w:val="en-US" w:eastAsia="zh-CN"/>
        </w:rPr>
        <w:t>3万元。</w:t>
      </w:r>
    </w:p>
    <w:p>
      <w:pPr>
        <w:numPr>
          <w:ilvl w:val="0"/>
          <w:numId w:val="5"/>
        </w:numPr>
        <w:rPr>
          <w:rFonts w:hint="eastAsia" w:ascii="宋体" w:hAnsi="宋体" w:eastAsia="宋体" w:cs="宋体"/>
          <w:b/>
          <w:bCs/>
          <w:sz w:val="32"/>
          <w:szCs w:val="32"/>
        </w:rPr>
      </w:pPr>
      <w:r>
        <w:rPr>
          <w:rFonts w:hint="eastAsia" w:ascii="宋体" w:hAnsi="宋体" w:eastAsia="宋体" w:cs="宋体"/>
          <w:b/>
          <w:bCs/>
          <w:sz w:val="32"/>
          <w:szCs w:val="32"/>
        </w:rPr>
        <w:t>项目支出情况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项目支出情况</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color w:val="auto"/>
          <w:sz w:val="32"/>
          <w:szCs w:val="32"/>
          <w:lang w:val="en-US" w:eastAsia="zh-CN"/>
        </w:rPr>
        <w:t>计</w:t>
      </w:r>
      <w:r>
        <w:rPr>
          <w:rFonts w:hint="eastAsia" w:ascii="仿宋_GB2312" w:hAnsi="黑体" w:eastAsia="仿宋_GB2312"/>
          <w:color w:val="auto"/>
          <w:sz w:val="32"/>
          <w:szCs w:val="32"/>
          <w:highlight w:val="none"/>
          <w:lang w:val="en-US" w:eastAsia="zh-CN"/>
        </w:rPr>
        <w:t>1328.70</w:t>
      </w:r>
      <w:r>
        <w:rPr>
          <w:rFonts w:hint="eastAsia" w:ascii="仿宋_GB2312" w:hAnsi="黑体" w:eastAsia="仿宋_GB2312"/>
          <w:sz w:val="32"/>
          <w:szCs w:val="32"/>
        </w:rPr>
        <w:t>万元。</w:t>
      </w:r>
      <w:r>
        <w:rPr>
          <w:rFonts w:hint="eastAsia" w:ascii="仿宋_GB2312" w:hAnsi="黑体" w:eastAsia="仿宋_GB2312"/>
          <w:sz w:val="32"/>
          <w:szCs w:val="32"/>
          <w:lang w:eastAsia="zh-CN"/>
        </w:rPr>
        <w:t>主要为县委大院电费、食堂、物业管理、安保系统、卫生保洁</w:t>
      </w:r>
      <w:r>
        <w:rPr>
          <w:rFonts w:hint="eastAsia" w:ascii="仿宋_GB2312" w:hAnsi="黑体" w:eastAsia="仿宋_GB2312"/>
          <w:sz w:val="32"/>
          <w:szCs w:val="32"/>
          <w:lang w:val="en-US" w:eastAsia="zh-CN"/>
        </w:rPr>
        <w:t>、公车平台运转、公购置、县委家属改造、四大家机关修缮及疫情防控应急救灾、等项目支出。</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三、</w:t>
      </w:r>
      <w:r>
        <w:rPr>
          <w:rFonts w:hint="eastAsia" w:ascii="黑体" w:hAnsi="黑体" w:eastAsia="黑体" w:cs="黑体"/>
          <w:sz w:val="36"/>
          <w:szCs w:val="36"/>
        </w:rPr>
        <w:t>政府性基金预算支出情况</w:t>
      </w:r>
    </w:p>
    <w:p>
      <w:pPr>
        <w:snapToGrid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道县机关事务服务中心2024年政府性</w:t>
      </w:r>
      <w:r>
        <w:rPr>
          <w:rFonts w:hint="eastAsia" w:ascii="仿宋_GB2312" w:hAnsi="仿宋_GB2312" w:eastAsia="仿宋_GB2312" w:cs="仿宋_GB2312"/>
          <w:sz w:val="32"/>
          <w:szCs w:val="32"/>
        </w:rPr>
        <w:t>基金预算拨</w:t>
      </w:r>
      <w:r>
        <w:rPr>
          <w:rFonts w:hint="eastAsia" w:ascii="仿宋_GB2312" w:hAnsi="仿宋_GB2312" w:eastAsia="仿宋_GB2312" w:cs="仿宋_GB2312"/>
          <w:sz w:val="32"/>
          <w:szCs w:val="32"/>
          <w:lang w:eastAsia="zh-CN"/>
        </w:rPr>
        <w:t>款</w:t>
      </w:r>
      <w:r>
        <w:rPr>
          <w:rFonts w:ascii="仿宋_GB2312" w:eastAsia="仿宋_GB2312" w:cs="仿宋_GB2312"/>
          <w:sz w:val="32"/>
          <w:szCs w:val="32"/>
          <w:highlight w:val="none"/>
          <w:lang w:bidi="ar"/>
        </w:rPr>
        <w:t>723.67</w:t>
      </w:r>
      <w:r>
        <w:rPr>
          <w:rFonts w:hint="eastAsia" w:ascii="仿宋_GB2312" w:hAnsi="仿宋_GB2312" w:eastAsia="仿宋_GB2312" w:cs="仿宋_GB2312"/>
          <w:sz w:val="32"/>
          <w:szCs w:val="32"/>
          <w:lang w:val="en-US" w:eastAsia="zh-CN"/>
        </w:rPr>
        <w:t>万元，主要为</w:t>
      </w:r>
      <w:r>
        <w:rPr>
          <w:rFonts w:hint="eastAsia" w:ascii="仿宋_GB2312" w:hAnsi="仿宋" w:eastAsia="仿宋_GB2312" w:cs="仿宋_GB2312"/>
          <w:sz w:val="32"/>
          <w:szCs w:val="32"/>
          <w:highlight w:val="none"/>
          <w:lang w:eastAsia="zh-CN" w:bidi="ar"/>
        </w:rPr>
        <w:t>纪委食堂扩建，巡视巡查办公设备，县委大院内部维修维护等项目支出</w:t>
      </w:r>
      <w:r>
        <w:rPr>
          <w:rFonts w:hint="eastAsia" w:ascii="仿宋_GB2312" w:hAnsi="仿宋_GB2312" w:eastAsia="仿宋_GB2312" w:cs="仿宋_GB2312"/>
          <w:sz w:val="32"/>
          <w:szCs w:val="32"/>
          <w:lang w:eastAsia="zh-CN"/>
        </w:rPr>
        <w:t>。</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国有资本经营预算支出情况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道县机关事务服务中心2024年无</w:t>
      </w:r>
      <w:r>
        <w:rPr>
          <w:rFonts w:hint="eastAsia" w:ascii="仿宋_GB2312" w:hAnsi="仿宋_GB2312" w:eastAsia="仿宋_GB2312" w:cs="仿宋_GB2312"/>
          <w:sz w:val="32"/>
          <w:szCs w:val="32"/>
        </w:rPr>
        <w:t>国有资本经营预算支出</w:t>
      </w:r>
      <w:r>
        <w:rPr>
          <w:rFonts w:hint="eastAsia" w:ascii="仿宋_GB2312" w:hAnsi="仿宋_GB2312" w:eastAsia="仿宋_GB2312" w:cs="仿宋_GB2312"/>
          <w:sz w:val="32"/>
          <w:szCs w:val="32"/>
          <w:lang w:eastAsia="zh-CN"/>
        </w:rPr>
        <w:t>。</w:t>
      </w:r>
    </w:p>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社会保险基金预算支出情况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道县机关事务服务中心2024年无社会保险基金预算支出.</w:t>
      </w:r>
    </w:p>
    <w:p>
      <w:pPr>
        <w:numPr>
          <w:ilvl w:val="0"/>
          <w:numId w:val="6"/>
        </w:numPr>
        <w:rPr>
          <w:rFonts w:hint="eastAsia" w:ascii="黑体" w:hAnsi="黑体" w:eastAsia="黑体" w:cs="黑体"/>
          <w:sz w:val="36"/>
          <w:szCs w:val="36"/>
        </w:rPr>
      </w:pPr>
      <w:r>
        <w:rPr>
          <w:rFonts w:hint="eastAsia" w:ascii="黑体" w:hAnsi="黑体" w:eastAsia="黑体" w:cs="黑体"/>
          <w:sz w:val="36"/>
          <w:szCs w:val="36"/>
        </w:rPr>
        <w:t>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道县机关事务服务中心在县委、县政府的正确领导下，在上级业务部门的精心指导下，紧紧围绕县委、县政府中心工作，积极发挥机关后勤管理、服务、保障、协调的职能作用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圆满地完成了各项工作任务，主要体现在以下几个方面：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1.持续</w:t>
      </w:r>
      <w:r>
        <w:rPr>
          <w:rFonts w:hint="eastAsia" w:ascii="仿宋_GB2312" w:hAnsi="仿宋_GB2312" w:eastAsia="仿宋_GB2312" w:cs="仿宋_GB2312"/>
          <w:b/>
          <w:bCs/>
          <w:i w:val="0"/>
          <w:iCs w:val="0"/>
          <w:caps w:val="0"/>
          <w:color w:val="333333"/>
          <w:spacing w:val="0"/>
          <w:sz w:val="32"/>
          <w:szCs w:val="32"/>
          <w:shd w:val="clear" w:color="auto" w:fill="FFFFFF"/>
        </w:rPr>
        <w:t>做好公车改革“后半篇文章”</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认真贯彻落实《党政机关公务用车管理方法》，持续深化公车制度改革，成功创建全省公务用车管理保障基层公务出行专项领域创新引领实践单位，正在按省里统一要求准备申报全国创新引领实践单位。今年来，一是择优遴选了46名公车司机，并组织安全、保密、礼仪、驾驶技能等知识培训，统一司机服装，提升了队伍形象。二是针对深化公车改革中出现的县公交公司租赁平台回款慢等问题，我们坚持问题导向，积极与财政部门商定并落实该平台公务交通费代扣代缴的具体措施，从而减少内卷，促进高效。三是根据省里最新文件精神，结合实际修订好《道县按次按距离报销交通费管理办法》，正拟报请县政府常务会议审议。四是根据全县各单位公车实际情况，县公车平台为横岭等6个乡镇（街道）、桥头林场等3个县直单位共调剂公车9台，在没有新购车辆的情况下，整体提高了全县公车保障能力。五是在较去年减少公车司机20人的情况下，2024年</w:t>
      </w:r>
      <w:r>
        <w:rPr>
          <w:rFonts w:hint="eastAsia" w:ascii="仿宋_GB2312" w:hAnsi="仿宋_GB2312" w:eastAsia="仿宋_GB2312"/>
          <w:color w:val="000000"/>
          <w:sz w:val="32"/>
          <w:szCs w:val="32"/>
          <w:lang w:val="en-US" w:eastAsia="zh-CN"/>
        </w:rPr>
        <w:t>县公车平台集中管理的公车行驶里程为183.6万公里，与2023年基本持平（较2023年191.78万公里仅减少8.18万公里、减幅4.3%）；公车运行经费较2023年节约23.7万元，较深化公车改革前的2021年节约1138.7万元。</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sz w:val="32"/>
          <w:szCs w:val="32"/>
          <w:lang w:val="en-US" w:eastAsia="zh-CN"/>
        </w:rPr>
        <w:t>2.调剂国有资产成效明显</w:t>
      </w:r>
      <w:r>
        <w:rPr>
          <w:rFonts w:hint="eastAsia" w:ascii="仿宋_GB2312" w:hAnsi="仿宋_GB2312" w:eastAsia="仿宋_GB2312" w:cs="仿宋_GB2312"/>
          <w:b/>
          <w:sz w:val="32"/>
          <w:szCs w:val="32"/>
        </w:rPr>
        <w:t>。</w:t>
      </w:r>
      <w:r>
        <w:rPr>
          <w:rFonts w:hint="eastAsia" w:ascii="仿宋_GB2312" w:hAnsi="仿宋_GB2312" w:eastAsia="仿宋_GB2312" w:cs="仿宋_GB2312"/>
          <w:i w:val="0"/>
          <w:iCs w:val="0"/>
          <w:caps w:val="0"/>
          <w:color w:val="auto"/>
          <w:spacing w:val="0"/>
          <w:sz w:val="32"/>
          <w:szCs w:val="32"/>
          <w:shd w:val="clear" w:color="auto" w:fill="FFFFFF"/>
        </w:rPr>
        <w:t>按照“过紧日子”和“厉行节约、反对浪费”要求，</w:t>
      </w:r>
      <w:r>
        <w:rPr>
          <w:rFonts w:hint="eastAsia" w:ascii="仿宋_GB2312" w:hAnsi="仿宋_GB2312" w:eastAsia="仿宋_GB2312" w:cs="仿宋_GB2312"/>
          <w:i w:val="0"/>
          <w:iCs w:val="0"/>
          <w:caps w:val="0"/>
          <w:color w:val="auto"/>
          <w:spacing w:val="0"/>
          <w:sz w:val="32"/>
          <w:szCs w:val="32"/>
          <w:shd w:val="clear" w:color="auto" w:fill="FFFFFF"/>
          <w:lang w:val="en-US" w:eastAsia="zh-CN"/>
        </w:rPr>
        <w:t>我们</w:t>
      </w:r>
      <w:r>
        <w:rPr>
          <w:rFonts w:hint="eastAsia" w:ascii="仿宋_GB2312" w:hAnsi="仿宋_GB2312" w:eastAsia="仿宋_GB2312" w:cs="仿宋_GB2312"/>
          <w:i w:val="0"/>
          <w:iCs w:val="0"/>
          <w:caps w:val="0"/>
          <w:color w:val="000000"/>
          <w:spacing w:val="0"/>
          <w:sz w:val="32"/>
          <w:szCs w:val="32"/>
          <w:shd w:val="clear" w:color="auto" w:fill="FFFFFF"/>
        </w:rPr>
        <w:t>始终坚持“节约集约、共建共享”的理念，将</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各</w:t>
      </w:r>
      <w:r>
        <w:rPr>
          <w:rFonts w:hint="eastAsia" w:ascii="仿宋_GB2312" w:hAnsi="仿宋_GB2312" w:eastAsia="仿宋_GB2312" w:cs="仿宋_GB2312"/>
          <w:i w:val="0"/>
          <w:iCs w:val="0"/>
          <w:caps w:val="0"/>
          <w:color w:val="000000"/>
          <w:spacing w:val="0"/>
          <w:sz w:val="32"/>
          <w:szCs w:val="32"/>
          <w:shd w:val="clear" w:color="auto" w:fill="FFFFFF"/>
        </w:rPr>
        <w:t>单位资产配置使用与公物仓建设管理相结合，统一运行管理，统筹调配使用。采取线下线上建仓</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物资就近入库</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的方式</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共充实</w:t>
      </w:r>
      <w:r>
        <w:rPr>
          <w:rFonts w:hint="eastAsia" w:ascii="仿宋_GB2312" w:hAnsi="仿宋_GB2312" w:eastAsia="仿宋_GB2312" w:cs="仿宋_GB2312"/>
          <w:i w:val="0"/>
          <w:iCs w:val="0"/>
          <w:caps w:val="0"/>
          <w:color w:val="auto"/>
          <w:spacing w:val="0"/>
          <w:sz w:val="32"/>
          <w:szCs w:val="32"/>
          <w:shd w:val="clear" w:color="auto" w:fill="FFFFFF"/>
        </w:rPr>
        <w:t>公物仓</w:t>
      </w:r>
      <w:r>
        <w:rPr>
          <w:rFonts w:hint="eastAsia" w:ascii="仿宋_GB2312" w:hAnsi="仿宋_GB2312" w:eastAsia="仿宋_GB2312" w:cs="仿宋_GB2312"/>
          <w:i w:val="0"/>
          <w:iCs w:val="0"/>
          <w:caps w:val="0"/>
          <w:color w:val="auto"/>
          <w:spacing w:val="0"/>
          <w:sz w:val="32"/>
          <w:szCs w:val="32"/>
          <w:shd w:val="clear" w:color="auto" w:fill="FFFFFF"/>
          <w:lang w:val="en-US" w:eastAsia="zh-CN"/>
        </w:rPr>
        <w:t>物资按账面原值计563万余元。今年来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利用公物仓先后为</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eastAsia="仿宋_GB2312" w:cs="仿宋_GB2312"/>
          <w:i w:val="0"/>
          <w:iCs w:val="0"/>
          <w:caps w:val="0"/>
          <w:color w:val="auto"/>
          <w:spacing w:val="0"/>
          <w:sz w:val="32"/>
          <w:szCs w:val="32"/>
          <w:shd w:val="clear" w:color="auto" w:fill="FFFFFF"/>
        </w:rPr>
        <w:t>直单位</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县社会治理专班、上坦公路指挥部、零道高速指挥部等临时机构</w:t>
      </w:r>
      <w:r>
        <w:rPr>
          <w:rFonts w:hint="eastAsia" w:ascii="仿宋_GB2312" w:hAnsi="仿宋_GB2312" w:eastAsia="仿宋_GB2312" w:cs="仿宋_GB2312"/>
          <w:i w:val="0"/>
          <w:iCs w:val="0"/>
          <w:caps w:val="0"/>
          <w:color w:val="auto"/>
          <w:spacing w:val="0"/>
          <w:sz w:val="32"/>
          <w:szCs w:val="32"/>
          <w:shd w:val="clear" w:color="auto" w:fill="FFFFFF"/>
        </w:rPr>
        <w:t>调剂电脑、办公桌椅</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保密柜、空调</w:t>
      </w:r>
      <w:r>
        <w:rPr>
          <w:rFonts w:hint="eastAsia" w:ascii="仿宋_GB2312" w:hAnsi="仿宋_GB2312" w:eastAsia="仿宋_GB2312" w:cs="仿宋_GB2312"/>
          <w:i w:val="0"/>
          <w:iCs w:val="0"/>
          <w:caps w:val="0"/>
          <w:color w:val="auto"/>
          <w:spacing w:val="0"/>
          <w:sz w:val="32"/>
          <w:szCs w:val="32"/>
          <w:shd w:val="clear" w:color="auto" w:fill="FFFFFF"/>
        </w:rPr>
        <w:t>等设施设备</w:t>
      </w:r>
      <w:r>
        <w:rPr>
          <w:rFonts w:hint="eastAsia" w:ascii="仿宋_GB2312" w:hAnsi="仿宋_GB2312" w:eastAsia="仿宋_GB2312" w:cs="仿宋_GB2312"/>
          <w:i w:val="0"/>
          <w:iCs w:val="0"/>
          <w:caps w:val="0"/>
          <w:color w:val="auto"/>
          <w:spacing w:val="0"/>
          <w:sz w:val="32"/>
          <w:szCs w:val="32"/>
          <w:shd w:val="clear" w:color="auto" w:fill="FFFFFF"/>
          <w:lang w:val="en-US" w:eastAsia="zh-CN"/>
        </w:rPr>
        <w:t>23</w:t>
      </w:r>
      <w:r>
        <w:rPr>
          <w:rFonts w:hint="eastAsia" w:ascii="仿宋_GB2312" w:hAnsi="仿宋_GB2312" w:eastAsia="仿宋_GB2312" w:cs="仿宋_GB2312"/>
          <w:i w:val="0"/>
          <w:iCs w:val="0"/>
          <w:caps w:val="0"/>
          <w:color w:val="auto"/>
          <w:spacing w:val="0"/>
          <w:sz w:val="32"/>
          <w:szCs w:val="32"/>
          <w:shd w:val="clear" w:color="auto" w:fill="FFFFFF"/>
        </w:rPr>
        <w:t>批次</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调剂的物资账面原值计278万余元，促进了物资的循环利用，发挥了物资的最大效益。</w:t>
      </w:r>
      <w:r>
        <w:rPr>
          <w:rFonts w:hint="eastAsia" w:ascii="仿宋_GB2312" w:hAnsi="仿宋_GB2312" w:eastAsia="仿宋_GB2312" w:cs="仿宋_GB2312"/>
          <w:i w:val="0"/>
          <w:iCs w:val="0"/>
          <w:caps w:val="0"/>
          <w:color w:val="auto"/>
          <w:spacing w:val="0"/>
          <w:sz w:val="32"/>
          <w:szCs w:val="32"/>
          <w:shd w:val="clear" w:color="auto" w:fill="FFFFFF"/>
        </w:rPr>
        <w:t>其中为</w:t>
      </w:r>
      <w:r>
        <w:rPr>
          <w:rFonts w:hint="eastAsia" w:ascii="仿宋_GB2312" w:hAnsi="仿宋_GB2312" w:eastAsia="仿宋_GB2312" w:cs="仿宋_GB2312"/>
          <w:color w:val="auto"/>
          <w:sz w:val="32"/>
          <w:szCs w:val="32"/>
          <w:lang w:val="en-US" w:eastAsia="zh-CN"/>
        </w:rPr>
        <w:t>“社会治理专班”办公室</w:t>
      </w:r>
      <w:r>
        <w:rPr>
          <w:rFonts w:hint="eastAsia" w:ascii="仿宋_GB2312" w:hAnsi="仿宋_GB2312" w:eastAsia="仿宋_GB2312" w:cs="仿宋_GB2312"/>
          <w:i w:val="0"/>
          <w:iCs w:val="0"/>
          <w:caps w:val="0"/>
          <w:color w:val="auto"/>
          <w:spacing w:val="0"/>
          <w:sz w:val="32"/>
          <w:szCs w:val="32"/>
          <w:shd w:val="clear" w:color="auto" w:fill="FFFFFF"/>
        </w:rPr>
        <w:t>调剂安可替换电脑</w:t>
      </w:r>
      <w:r>
        <w:rPr>
          <w:rFonts w:hint="eastAsia" w:ascii="仿宋_GB2312" w:hAnsi="仿宋_GB2312" w:eastAsia="仿宋_GB2312" w:cs="仿宋_GB2312"/>
          <w:i w:val="0"/>
          <w:iCs w:val="0"/>
          <w:caps w:val="0"/>
          <w:color w:val="auto"/>
          <w:spacing w:val="0"/>
          <w:sz w:val="32"/>
          <w:szCs w:val="32"/>
          <w:shd w:val="clear" w:color="auto" w:fill="FFFFFF"/>
          <w:lang w:val="en-US" w:eastAsia="zh-CN"/>
        </w:rPr>
        <w:t>13</w:t>
      </w:r>
      <w:r>
        <w:rPr>
          <w:rFonts w:hint="eastAsia" w:ascii="仿宋_GB2312" w:hAnsi="仿宋_GB2312" w:eastAsia="仿宋_GB2312" w:cs="仿宋_GB2312"/>
          <w:i w:val="0"/>
          <w:iCs w:val="0"/>
          <w:caps w:val="0"/>
          <w:color w:val="auto"/>
          <w:spacing w:val="0"/>
          <w:sz w:val="32"/>
          <w:szCs w:val="32"/>
          <w:shd w:val="clear" w:color="auto" w:fill="FFFFFF"/>
        </w:rPr>
        <w:t>台</w:t>
      </w:r>
      <w:r>
        <w:rPr>
          <w:rFonts w:hint="eastAsia" w:ascii="仿宋_GB2312" w:hAnsi="仿宋_GB2312" w:eastAsia="仿宋_GB2312" w:cs="仿宋_GB2312"/>
          <w:i w:val="0"/>
          <w:iCs w:val="0"/>
          <w:caps w:val="0"/>
          <w:color w:val="auto"/>
          <w:spacing w:val="0"/>
          <w:sz w:val="32"/>
          <w:szCs w:val="32"/>
          <w:shd w:val="clear" w:color="auto" w:fill="FFFFFF"/>
          <w:lang w:eastAsia="zh-CN"/>
        </w:rPr>
        <w:t>、打印机</w:t>
      </w:r>
      <w:r>
        <w:rPr>
          <w:rFonts w:hint="eastAsia" w:ascii="仿宋_GB2312" w:hAnsi="仿宋_GB2312" w:eastAsia="仿宋_GB2312" w:cs="仿宋_GB2312"/>
          <w:i w:val="0"/>
          <w:iCs w:val="0"/>
          <w:caps w:val="0"/>
          <w:color w:val="auto"/>
          <w:spacing w:val="0"/>
          <w:sz w:val="32"/>
          <w:szCs w:val="32"/>
          <w:shd w:val="clear" w:color="auto" w:fill="FFFFFF"/>
          <w:lang w:val="en-US" w:eastAsia="zh-CN"/>
        </w:rPr>
        <w:t>8台</w:t>
      </w:r>
      <w:r>
        <w:rPr>
          <w:rFonts w:hint="eastAsia" w:ascii="仿宋_GB2312" w:hAnsi="仿宋_GB2312" w:eastAsia="仿宋_GB2312" w:cs="仿宋_GB2312"/>
          <w:i w:val="0"/>
          <w:iCs w:val="0"/>
          <w:caps w:val="0"/>
          <w:color w:val="auto"/>
          <w:spacing w:val="0"/>
          <w:sz w:val="32"/>
          <w:szCs w:val="32"/>
          <w:shd w:val="clear" w:color="auto" w:fill="FFFFFF"/>
          <w:lang w:eastAsia="zh-CN"/>
        </w:rPr>
        <w:t>、碎纸机</w:t>
      </w:r>
      <w:r>
        <w:rPr>
          <w:rFonts w:hint="eastAsia" w:ascii="仿宋_GB2312" w:hAnsi="仿宋_GB2312" w:eastAsia="仿宋_GB2312" w:cs="仿宋_GB2312"/>
          <w:i w:val="0"/>
          <w:iCs w:val="0"/>
          <w:caps w:val="0"/>
          <w:color w:val="auto"/>
          <w:spacing w:val="0"/>
          <w:sz w:val="32"/>
          <w:szCs w:val="32"/>
          <w:shd w:val="clear" w:color="auto" w:fill="FFFFFF"/>
          <w:lang w:val="en-US" w:eastAsia="zh-CN"/>
        </w:rPr>
        <w:t>4台、饮水机6台、办公桌18套、</w:t>
      </w:r>
      <w:r>
        <w:rPr>
          <w:rFonts w:hint="eastAsia" w:ascii="仿宋_GB2312" w:hAnsi="仿宋_GB2312" w:eastAsia="仿宋_GB2312" w:cs="仿宋_GB2312"/>
          <w:i w:val="0"/>
          <w:iCs w:val="0"/>
          <w:caps w:val="0"/>
          <w:color w:val="auto"/>
          <w:spacing w:val="0"/>
          <w:sz w:val="32"/>
          <w:szCs w:val="32"/>
          <w:shd w:val="clear" w:color="auto" w:fill="FFFFFF"/>
          <w:lang w:eastAsia="zh-CN"/>
        </w:rPr>
        <w:t>保密柜</w:t>
      </w:r>
      <w:r>
        <w:rPr>
          <w:rFonts w:hint="eastAsia" w:ascii="仿宋_GB2312" w:hAnsi="仿宋_GB2312" w:eastAsia="仿宋_GB2312" w:cs="仿宋_GB2312"/>
          <w:i w:val="0"/>
          <w:iCs w:val="0"/>
          <w:caps w:val="0"/>
          <w:color w:val="auto"/>
          <w:spacing w:val="0"/>
          <w:sz w:val="32"/>
          <w:szCs w:val="32"/>
          <w:shd w:val="clear" w:color="auto" w:fill="FFFFFF"/>
          <w:lang w:val="en-US" w:eastAsia="zh-CN"/>
        </w:rPr>
        <w:t>13个等。按要求调剂好各类办公用房，</w:t>
      </w:r>
      <w:r>
        <w:rPr>
          <w:rFonts w:hint="eastAsia" w:ascii="仿宋_GB2312" w:hAnsi="仿宋_GB2312" w:eastAsia="仿宋_GB2312" w:cs="仿宋_GB2312"/>
          <w:color w:val="auto"/>
          <w:sz w:val="32"/>
          <w:szCs w:val="32"/>
          <w:lang w:val="en-US" w:eastAsia="zh-CN"/>
        </w:rPr>
        <w:t>将老武警中队办公用房调剂给县纪委监委使用（含派驻纪检组），将县信访局5楼办公用房调剂给新成立的社会工作部使用，将老法院2楼办公用房调剂给岑天河项目管理处使用。通过合理调剂，充分利用闲置办公用房和闲置资产的作用，节约财政资金157万余元，发挥了其最大价值，同时，也依规改善了部分单位的办公条件，为全县的经济社会发展提供了应有的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sz w:val="32"/>
          <w:szCs w:val="32"/>
          <w:lang w:val="en-US" w:eastAsia="zh-CN"/>
        </w:rPr>
        <w:t>3.机关物业管理服务提质上档。</w:t>
      </w:r>
      <w:r>
        <w:rPr>
          <w:rFonts w:hint="eastAsia" w:ascii="仿宋_GB2312" w:hAnsi="仿宋_GB2312" w:eastAsia="仿宋_GB2312" w:cs="仿宋_GB2312"/>
          <w:color w:val="000000"/>
          <w:sz w:val="32"/>
          <w:szCs w:val="32"/>
          <w:lang w:val="en-US" w:eastAsia="zh-CN"/>
        </w:rPr>
        <w:t>全面加强机关物业管理，</w:t>
      </w:r>
      <w:r>
        <w:rPr>
          <w:rFonts w:hint="eastAsia" w:ascii="仿宋_GB2312" w:hAnsi="仿宋_GB2312" w:eastAsia="仿宋_GB2312" w:cs="仿宋_GB2312"/>
          <w:color w:val="000000"/>
          <w:sz w:val="32"/>
          <w:szCs w:val="32"/>
        </w:rPr>
        <w:t>提升服务水平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为机关大院内的工作人员创造了良好的工作环境。一是不断完善院内设施设备。春季，及时完成了县委大院内约210平方米的补植补种；夏季，在没有新增变压器的情况下，通过科学合理调配，改造好了县政协、县统战部、县纪委办公区域的供电线路，基本解决了多年来的“爱跳闸”老大难问题，节约新增变压器建设资金130万余元；对县委大院内的死角死面进行了清理改造，共清理死角死面共440平方米，基本完成纪委食堂后面污地改造（待春季补种花草即可），不断美化县委大院的工作环境。二是做好机关大院的日常维护、安保值班、食堂管理等工作。机关院内地更净了、绿更多了、厕更洁了、环境更好了、秩序更优了；保安队伍动作规范、保障有力、形象更佳了；今年来，累计引导化解机关来信来访204批、2412余人次，其中30人以上集访48余起；没有发生火灾、盗窃等安全事件，未发生影响机关正常办公秩序的重大问题。职工食堂食品更卫生健康，菜品更丰富多样，实现了由“定量”形式到自助形式质的飞跃，干部职工满意度、幸福感大幅提升。三是精心完成机关会务工作。今年共承担包括全县重大会议在内的各类会务活动870场，参会人员达66306人次；所有会务均没有出现较大差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sz w:val="32"/>
          <w:szCs w:val="32"/>
          <w:lang w:val="en-US" w:eastAsia="zh-CN"/>
        </w:rPr>
        <w:t>4.党纪学习和党的建设全面加强。</w:t>
      </w:r>
      <w:r>
        <w:rPr>
          <w:rFonts w:hint="eastAsia" w:ascii="仿宋_GB2312" w:hAnsi="仿宋_GB2312" w:eastAsia="仿宋_GB2312" w:cs="仿宋_GB2312"/>
          <w:i w:val="0"/>
          <w:iCs w:val="0"/>
          <w:caps w:val="0"/>
          <w:color w:val="auto"/>
          <w:spacing w:val="0"/>
          <w:sz w:val="32"/>
          <w:szCs w:val="32"/>
          <w:shd w:val="clear" w:color="auto" w:fill="FFFFFF"/>
        </w:rPr>
        <w:t>严格落实“第一议题”制度，先后召开党组会、理论学习中心组</w:t>
      </w:r>
      <w:r>
        <w:rPr>
          <w:rFonts w:hint="eastAsia" w:ascii="仿宋_GB2312" w:hAnsi="仿宋_GB2312" w:eastAsia="仿宋_GB2312" w:cs="仿宋_GB2312"/>
          <w:i w:val="0"/>
          <w:iCs w:val="0"/>
          <w:caps w:val="0"/>
          <w:color w:val="auto"/>
          <w:spacing w:val="0"/>
          <w:sz w:val="32"/>
          <w:szCs w:val="32"/>
          <w:shd w:val="clear" w:color="auto" w:fill="FFFFFF"/>
          <w:lang w:val="en-US" w:eastAsia="zh-CN"/>
        </w:rPr>
        <w:t>会议</w:t>
      </w:r>
      <w:r>
        <w:rPr>
          <w:rFonts w:hint="eastAsia" w:ascii="仿宋_GB2312" w:hAnsi="仿宋_GB2312" w:eastAsia="仿宋_GB2312" w:cs="仿宋_GB2312"/>
          <w:i w:val="0"/>
          <w:iCs w:val="0"/>
          <w:caps w:val="0"/>
          <w:color w:val="auto"/>
          <w:spacing w:val="0"/>
          <w:sz w:val="32"/>
          <w:szCs w:val="32"/>
          <w:shd w:val="clear" w:color="auto" w:fill="FFFFFF"/>
        </w:rPr>
        <w:t>，集体学习重要会议、文件精神，集体研讨</w:t>
      </w:r>
      <w:r>
        <w:rPr>
          <w:rFonts w:hint="eastAsia" w:ascii="仿宋_GB2312" w:hAnsi="仿宋_GB2312" w:eastAsia="仿宋_GB2312" w:cs="仿宋_GB2312"/>
          <w:i w:val="0"/>
          <w:iCs w:val="0"/>
          <w:caps w:val="0"/>
          <w:color w:val="auto"/>
          <w:spacing w:val="0"/>
          <w:sz w:val="32"/>
          <w:szCs w:val="32"/>
          <w:shd w:val="clear" w:color="auto" w:fill="FFFFFF"/>
          <w:lang w:val="en-US" w:eastAsia="zh-CN"/>
        </w:rPr>
        <w:t>23</w:t>
      </w:r>
      <w:r>
        <w:rPr>
          <w:rFonts w:hint="eastAsia" w:ascii="仿宋_GB2312" w:hAnsi="仿宋_GB2312" w:eastAsia="仿宋_GB2312" w:cs="仿宋_GB2312"/>
          <w:i w:val="0"/>
          <w:iCs w:val="0"/>
          <w:caps w:val="0"/>
          <w:color w:val="auto"/>
          <w:spacing w:val="0"/>
          <w:sz w:val="32"/>
          <w:szCs w:val="32"/>
          <w:shd w:val="clear" w:color="auto" w:fill="FFFFFF"/>
        </w:rPr>
        <w:t>次</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扎实开展党纪律学习，</w:t>
      </w:r>
      <w:r>
        <w:rPr>
          <w:rFonts w:hint="eastAsia" w:ascii="仿宋_GB2312" w:hAnsi="仿宋_GB2312" w:eastAsia="仿宋_GB2312" w:cs="仿宋_GB2312"/>
          <w:color w:val="auto"/>
          <w:sz w:val="32"/>
          <w:szCs w:val="32"/>
          <w:lang w:val="en-US" w:eastAsia="zh-CN"/>
        </w:rPr>
        <w:t>认真学习贯彻习近平新时代中国特色社会主义思想，</w:t>
      </w:r>
      <w:r>
        <w:rPr>
          <w:rFonts w:hint="eastAsia" w:ascii="仿宋_GB2312" w:hAnsi="仿宋_GB2312" w:eastAsia="仿宋_GB2312" w:cs="仿宋_GB2312"/>
          <w:i w:val="0"/>
          <w:iCs w:val="0"/>
          <w:caps w:val="0"/>
          <w:color w:val="auto"/>
          <w:spacing w:val="0"/>
          <w:sz w:val="32"/>
          <w:szCs w:val="32"/>
          <w:shd w:val="clear" w:color="auto" w:fill="FFFFFF"/>
        </w:rPr>
        <w:t>推动党的二十</w:t>
      </w:r>
      <w:r>
        <w:rPr>
          <w:rFonts w:hint="eastAsia" w:ascii="仿宋_GB2312" w:hAnsi="仿宋_GB2312" w:eastAsia="仿宋_GB2312" w:cs="仿宋_GB2312"/>
          <w:i w:val="0"/>
          <w:iCs w:val="0"/>
          <w:caps w:val="0"/>
          <w:color w:val="auto"/>
          <w:spacing w:val="0"/>
          <w:sz w:val="32"/>
          <w:szCs w:val="32"/>
          <w:shd w:val="clear" w:color="auto" w:fill="FFFFFF"/>
          <w:lang w:val="en-US" w:eastAsia="zh-CN"/>
        </w:rPr>
        <w:t>届三中全会</w:t>
      </w:r>
      <w:r>
        <w:rPr>
          <w:rFonts w:hint="eastAsia" w:ascii="仿宋_GB2312" w:hAnsi="仿宋_GB2312" w:eastAsia="仿宋_GB2312" w:cs="仿宋_GB2312"/>
          <w:i w:val="0"/>
          <w:iCs w:val="0"/>
          <w:caps w:val="0"/>
          <w:color w:val="auto"/>
          <w:spacing w:val="0"/>
          <w:sz w:val="32"/>
          <w:szCs w:val="32"/>
          <w:shd w:val="clear" w:color="auto" w:fill="FFFFFF"/>
        </w:rPr>
        <w:t>精神学深悟透、入脑入心。</w:t>
      </w:r>
      <w:r>
        <w:rPr>
          <w:rFonts w:hint="eastAsia" w:ascii="仿宋_GB2312" w:hAnsi="仿宋_GB2312" w:eastAsia="仿宋_GB2312" w:cs="仿宋_GB2312"/>
          <w:color w:val="auto"/>
          <w:sz w:val="32"/>
          <w:szCs w:val="32"/>
          <w:lang w:val="en-US" w:eastAsia="zh-CN"/>
        </w:rPr>
        <w:t>中心党组始终以党的政治建设为统领，全面推进党的政治建设、思想建设、组织建设、作风建设、纪律建设，中心干部职工理论水平有所提高；坚持民主集中制，党组议事能力不断增强；坚持全面从严治党，加强廉政建设，市纪委督察了我县深化公车改革以来包括油料费、维修费等在内的公车运行经费相关资料，均没有发现腐败问题。</w:t>
      </w:r>
      <w:r>
        <w:rPr>
          <w:rFonts w:hint="eastAsia" w:ascii="仿宋_GB2312" w:hAnsi="仿宋_GB2312" w:eastAsia="仿宋_GB2312" w:cs="仿宋_GB2312"/>
          <w:color w:val="auto"/>
          <w:sz w:val="32"/>
          <w:szCs w:val="32"/>
        </w:rPr>
        <w:t>自觉服从和服务县委、县政府中心工作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完成了乡村振兴、文明创建、烤烟生产、水库管理、联点学校、粮食生产等工作任务。目前，中心风清气正，干部斗志昂扬，有能力完成县委、县政府交给的其它工作任务。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来，全县机关事务工作虽然取得了一定成绩，但离县委、县政府的要求还有差距。比如，因尚缺公车司机20名，公车运行效率有所下降；因多种因素影响，今年到县委大院的群访总量和人数明显增多，信访维稳压力很大；公物仓的“家当”量少、质差，发挥的效益还不突出，等等。明年，我们将从以下方面发力。一是将继续严格执行深化公车改革的制度措施，巩固改革成果，并积极申报全国公务用车管理创新引领实践单位，输出深化公车改革“道县样本”。二是将以行政事业性资产的管理改革为契机，完善公物仓的管理体制和方法，充实公物仓，尽最大可能发挥公物仓物资的调剂作用，为县财政合理节约财政资金。三是拟制定出台</w:t>
      </w:r>
      <w:r>
        <w:rPr>
          <w:rFonts w:hint="eastAsia" w:ascii="仿宋_GB2312" w:hAnsi="仿宋_GB2312" w:eastAsia="仿宋_GB2312" w:cs="仿宋_GB2312"/>
          <w:b w:val="0"/>
          <w:bCs/>
          <w:color w:val="auto"/>
          <w:sz w:val="32"/>
          <w:szCs w:val="32"/>
          <w:lang w:val="en-US" w:eastAsia="zh-CN"/>
        </w:rPr>
        <w:t>《道县机关事业单位食堂管理办法》。该《办法》的主要内容包括：统一全县误餐费发放标准和形式；</w:t>
      </w:r>
      <w:r>
        <w:rPr>
          <w:rFonts w:hint="eastAsia" w:ascii="仿宋_GB2312" w:hAnsi="仿宋_GB2312" w:eastAsia="仿宋_GB2312" w:cs="仿宋_GB2312"/>
          <w:sz w:val="32"/>
          <w:szCs w:val="32"/>
          <w:lang w:val="en-US" w:eastAsia="zh-CN"/>
        </w:rPr>
        <w:t>统一全县早、中、晚餐就餐标准；统一就餐结算方式，全面落实机关食堂“一卡通”；全县运营的机关事业单位食堂，统一标识为“道县机关事业单位公职人员就餐点”，全县公职人员可以在任一</w:t>
      </w:r>
      <w:r>
        <w:rPr>
          <w:rFonts w:hint="eastAsia" w:ascii="仿宋_GB2312" w:hAnsi="仿宋_GB2312" w:eastAsia="仿宋_GB2312" w:cs="仿宋_GB2312"/>
          <w:b w:val="0"/>
          <w:bCs/>
          <w:color w:val="auto"/>
          <w:sz w:val="32"/>
          <w:szCs w:val="32"/>
          <w:lang w:val="en-US" w:eastAsia="zh-CN"/>
        </w:rPr>
        <w:t>机关事业单位食堂就餐</w:t>
      </w:r>
      <w:r>
        <w:rPr>
          <w:rFonts w:hint="eastAsia" w:ascii="仿宋_GB2312" w:hAnsi="仿宋_GB2312" w:eastAsia="仿宋_GB2312" w:cs="仿宋_GB2312"/>
          <w:sz w:val="32"/>
          <w:szCs w:val="32"/>
          <w:lang w:val="en-US" w:eastAsia="zh-CN"/>
        </w:rPr>
        <w:t>；统一标准计算食堂劳务人员报酬；等等。从而合理规避财政资金浪费。</w:t>
      </w:r>
    </w:p>
    <w:p>
      <w:pPr>
        <w:numPr>
          <w:ilvl w:val="0"/>
          <w:numId w:val="6"/>
        </w:numPr>
        <w:ind w:left="0" w:leftChars="0" w:firstLine="0" w:firstLineChars="0"/>
        <w:rPr>
          <w:rFonts w:hint="eastAsia" w:ascii="黑体" w:hAnsi="黑体" w:eastAsia="黑体" w:cs="黑体"/>
          <w:sz w:val="36"/>
          <w:szCs w:val="36"/>
        </w:rPr>
      </w:pPr>
      <w:r>
        <w:rPr>
          <w:rFonts w:hint="eastAsia" w:ascii="黑体" w:hAnsi="黑体" w:eastAsia="黑体" w:cs="黑体"/>
          <w:sz w:val="36"/>
          <w:szCs w:val="36"/>
        </w:rPr>
        <w:t>存在的问题及原因分析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2024年执行及绩效管理期间，机关事务中心认真执行县财政安排的资金的使用及监管，但也存在一些不足之处，主要是资金拨付不及时导致效益发挥受到制约。</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八、</w:t>
      </w:r>
      <w:r>
        <w:rPr>
          <w:rFonts w:hint="eastAsia" w:ascii="黑体" w:hAnsi="黑体" w:eastAsia="黑体" w:cs="黑体"/>
          <w:sz w:val="36"/>
          <w:szCs w:val="36"/>
        </w:rPr>
        <w:t>下一步改进措施</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加强领导，改善服务，同时请政府加大对卫生健康事业的投入，规范项目管理，对日常工作督导。加强队伍建设，抓好绩效评价管理部门的队伍建设和业务指导，培养部门的</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sz w:val="32"/>
          <w:szCs w:val="32"/>
        </w:rPr>
        <w:t>效管理队伍，建立绩效评价的长期机制。进一步明确工作职责，工作内容，成立有效的工作机制，保障项目的顺利推进</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）明确职责，加强项目管理。一是应针对每一个项目制定工作目标，科学编制和细化预算，做到预算有目标，执行有细则，控制专项支出，提高资金的使用效益。</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）财务部门应加强与各部门的沟通，了解具体的事项，合理安排资金支付，提高财务核算的准确性，加强人才队伍建设，提高业务能力水平，加强乡村卫生室建设。</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九、</w:t>
      </w:r>
      <w:r>
        <w:rPr>
          <w:rFonts w:hint="eastAsia" w:ascii="黑体" w:hAnsi="黑体" w:eastAsia="黑体" w:cs="黑体"/>
          <w:sz w:val="36"/>
          <w:szCs w:val="36"/>
        </w:rPr>
        <w:t>绩效自评结果拟应用和公开情况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本年度绩效自评结果为</w:t>
      </w:r>
      <w:r>
        <w:rPr>
          <w:rFonts w:hint="eastAsia" w:ascii="仿宋_GB2312" w:hAnsi="仿宋_GB2312" w:eastAsia="仿宋_GB2312" w:cs="仿宋_GB2312"/>
          <w:color w:val="auto"/>
          <w:sz w:val="32"/>
          <w:szCs w:val="32"/>
          <w:lang w:val="en-US" w:eastAsia="zh-CN"/>
        </w:rPr>
        <w:t>97.26</w:t>
      </w:r>
      <w:r>
        <w:rPr>
          <w:rFonts w:hint="eastAsia" w:ascii="仿宋_GB2312" w:hAnsi="仿宋_GB2312" w:eastAsia="仿宋_GB2312" w:cs="仿宋_GB2312"/>
          <w:sz w:val="32"/>
          <w:szCs w:val="32"/>
          <w:lang w:val="en-US" w:eastAsia="zh-CN"/>
        </w:rPr>
        <w:t>分。按规定时间内将2024年度整体部门支出绩效自评报告进行公开，并接受社会监督。</w:t>
      </w:r>
    </w:p>
    <w:p>
      <w:pPr>
        <w:numPr>
          <w:ilvl w:val="0"/>
          <w:numId w:val="7"/>
        </w:numPr>
        <w:rPr>
          <w:rFonts w:hint="eastAsia" w:ascii="黑体" w:hAnsi="黑体" w:eastAsia="黑体" w:cs="黑体"/>
          <w:sz w:val="36"/>
          <w:szCs w:val="36"/>
        </w:rPr>
      </w:pPr>
      <w:r>
        <w:rPr>
          <w:rFonts w:hint="eastAsia" w:ascii="黑体" w:hAnsi="黑体" w:eastAsia="黑体" w:cs="黑体"/>
          <w:sz w:val="36"/>
          <w:szCs w:val="36"/>
        </w:rPr>
        <w:t>其他需要说明的情况</w:t>
      </w:r>
    </w:p>
    <w:p>
      <w:pPr>
        <w:pStyle w:val="22"/>
        <w:numPr>
          <w:ilvl w:val="0"/>
          <w:numId w:val="0"/>
        </w:numPr>
        <w:rPr>
          <w:rFonts w:hint="default" w:eastAsia="宋体"/>
          <w:lang w:val="en-US" w:eastAsia="zh-CN"/>
        </w:rPr>
      </w:pPr>
      <w:r>
        <w:rPr>
          <w:rFonts w:hint="eastAsia"/>
          <w:lang w:val="en-US" w:eastAsia="zh-CN"/>
        </w:rPr>
        <w:t xml:space="preserve">     无</w:t>
      </w:r>
    </w:p>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6"/>
        <w:jc w:val="center"/>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FB798"/>
    <w:multiLevelType w:val="singleLevel"/>
    <w:tmpl w:val="8F2FB798"/>
    <w:lvl w:ilvl="0" w:tentative="0">
      <w:start w:val="1"/>
      <w:numFmt w:val="chineseCounting"/>
      <w:suff w:val="nothing"/>
      <w:lvlText w:val="（%1）"/>
      <w:lvlJc w:val="left"/>
      <w:pPr>
        <w:ind w:left="0" w:firstLine="420"/>
      </w:pPr>
      <w:rPr>
        <w:rFonts w:hint="eastAsia"/>
      </w:rPr>
    </w:lvl>
  </w:abstractNum>
  <w:abstractNum w:abstractNumId="1">
    <w:nsid w:val="1D00B04E"/>
    <w:multiLevelType w:val="singleLevel"/>
    <w:tmpl w:val="1D00B04E"/>
    <w:lvl w:ilvl="0" w:tentative="0">
      <w:start w:val="2"/>
      <w:numFmt w:val="decimal"/>
      <w:suff w:val="nothing"/>
      <w:lvlText w:val="%1、"/>
      <w:lvlJc w:val="left"/>
    </w:lvl>
  </w:abstractNum>
  <w:abstractNum w:abstractNumId="2">
    <w:nsid w:val="22A39247"/>
    <w:multiLevelType w:val="singleLevel"/>
    <w:tmpl w:val="22A39247"/>
    <w:lvl w:ilvl="0" w:tentative="0">
      <w:start w:val="6"/>
      <w:numFmt w:val="chineseCounting"/>
      <w:suff w:val="nothing"/>
      <w:lvlText w:val="%1、"/>
      <w:lvlJc w:val="left"/>
      <w:rPr>
        <w:rFonts w:hint="eastAsia"/>
      </w:rPr>
    </w:lvl>
  </w:abstractNum>
  <w:abstractNum w:abstractNumId="3">
    <w:nsid w:val="233BCD4B"/>
    <w:multiLevelType w:val="singleLevel"/>
    <w:tmpl w:val="233BCD4B"/>
    <w:lvl w:ilvl="0" w:tentative="0">
      <w:start w:val="10"/>
      <w:numFmt w:val="chineseCounting"/>
      <w:suff w:val="nothing"/>
      <w:lvlText w:val="%1、"/>
      <w:lvlJc w:val="left"/>
      <w:rPr>
        <w:rFonts w:hint="eastAsia"/>
      </w:rPr>
    </w:lvl>
  </w:abstractNum>
  <w:abstractNum w:abstractNumId="4">
    <w:nsid w:val="27998A16"/>
    <w:multiLevelType w:val="singleLevel"/>
    <w:tmpl w:val="27998A16"/>
    <w:lvl w:ilvl="0" w:tentative="0">
      <w:start w:val="1"/>
      <w:numFmt w:val="chineseCounting"/>
      <w:suff w:val="nothing"/>
      <w:lvlText w:val="（%1）"/>
      <w:lvlJc w:val="left"/>
      <w:rPr>
        <w:rFonts w:hint="eastAsia"/>
      </w:rPr>
    </w:lvl>
  </w:abstractNum>
  <w:abstractNum w:abstractNumId="5">
    <w:nsid w:val="2F3FDFC0"/>
    <w:multiLevelType w:val="singleLevel"/>
    <w:tmpl w:val="2F3FDFC0"/>
    <w:lvl w:ilvl="0" w:tentative="0">
      <w:start w:val="2"/>
      <w:numFmt w:val="chineseCounting"/>
      <w:suff w:val="nothing"/>
      <w:lvlText w:val="（%1）"/>
      <w:lvlJc w:val="left"/>
      <w:rPr>
        <w:rFonts w:hint="eastAsia"/>
      </w:rPr>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ZjVkNmU2NjEyM2I0YmEwMDBlMjgwODJmMmNjMzMifQ=="/>
    <w:docVar w:name="KSO_WPS_MARK_KEY" w:val="1642a829-2bd0-4a23-92d2-720f28bf6492"/>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680E38"/>
    <w:rsid w:val="082D55DE"/>
    <w:rsid w:val="0BEA7BF0"/>
    <w:rsid w:val="133072A4"/>
    <w:rsid w:val="13A27A10"/>
    <w:rsid w:val="16893F4C"/>
    <w:rsid w:val="18DD4DF7"/>
    <w:rsid w:val="1C073948"/>
    <w:rsid w:val="1D97DEFF"/>
    <w:rsid w:val="1DFF72E5"/>
    <w:rsid w:val="1EFC6F07"/>
    <w:rsid w:val="1F617814"/>
    <w:rsid w:val="200A3A07"/>
    <w:rsid w:val="265C484A"/>
    <w:rsid w:val="27133AE9"/>
    <w:rsid w:val="27655A51"/>
    <w:rsid w:val="2CE101E6"/>
    <w:rsid w:val="2FDF85B8"/>
    <w:rsid w:val="2FE1041B"/>
    <w:rsid w:val="2FFFEE04"/>
    <w:rsid w:val="34DF85B0"/>
    <w:rsid w:val="35F72828"/>
    <w:rsid w:val="361138EA"/>
    <w:rsid w:val="38D064A9"/>
    <w:rsid w:val="3B8F36BC"/>
    <w:rsid w:val="3CF25AF7"/>
    <w:rsid w:val="3F2744C1"/>
    <w:rsid w:val="4323724B"/>
    <w:rsid w:val="432C2069"/>
    <w:rsid w:val="453F05EA"/>
    <w:rsid w:val="48CE5AE9"/>
    <w:rsid w:val="491FF225"/>
    <w:rsid w:val="4AB97C71"/>
    <w:rsid w:val="4E4F507E"/>
    <w:rsid w:val="4FFD214C"/>
    <w:rsid w:val="4FFE16E6"/>
    <w:rsid w:val="545A3760"/>
    <w:rsid w:val="546450D5"/>
    <w:rsid w:val="5777D4F5"/>
    <w:rsid w:val="59DD8326"/>
    <w:rsid w:val="5D8300FA"/>
    <w:rsid w:val="5DEF592A"/>
    <w:rsid w:val="5E550EE1"/>
    <w:rsid w:val="5EB50A07"/>
    <w:rsid w:val="5F54077F"/>
    <w:rsid w:val="5FC6BB1E"/>
    <w:rsid w:val="5FF720F1"/>
    <w:rsid w:val="630B32EB"/>
    <w:rsid w:val="67FF5C0B"/>
    <w:rsid w:val="68183DB4"/>
    <w:rsid w:val="6AAA163C"/>
    <w:rsid w:val="6D800432"/>
    <w:rsid w:val="6DCE5641"/>
    <w:rsid w:val="6EFC0924"/>
    <w:rsid w:val="6FB74722"/>
    <w:rsid w:val="6FEF8B7E"/>
    <w:rsid w:val="71A6591B"/>
    <w:rsid w:val="737D59BA"/>
    <w:rsid w:val="777D55AE"/>
    <w:rsid w:val="77C37683"/>
    <w:rsid w:val="77C4239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Calibri" w:hAnsi="Calibri"/>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widowControl w:val="0"/>
      <w:jc w:val="both"/>
    </w:pPr>
    <w:rPr>
      <w:rFonts w:ascii="Calibri" w:hAnsi="Calibri" w:eastAsia="宋体"/>
      <w:kern w:val="2"/>
      <w:sz w:val="32"/>
      <w:szCs w:val="32"/>
      <w:lang w:val="en-US" w:eastAsia="zh-CN" w:bidi="ar-SA"/>
    </w:rPr>
  </w:style>
  <w:style w:type="paragraph" w:styleId="3">
    <w:name w:val="toc 5"/>
    <w:basedOn w:val="1"/>
    <w:next w:val="1"/>
    <w:unhideWhenUsed/>
    <w:qFormat/>
    <w:uiPriority w:val="39"/>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Body Text First Indent"/>
    <w:basedOn w:val="2"/>
    <w:qFormat/>
    <w:uiPriority w:val="0"/>
    <w:pPr>
      <w:ind w:firstLine="420" w:firstLineChars="100"/>
    </w:pPr>
    <w:rPr>
      <w:rFonts w:ascii="Calibri" w:hAnsi="Calibri" w:eastAsia="宋体" w:cs="宋体"/>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10724</Words>
  <Characters>12305</Characters>
  <Lines>63</Lines>
  <Paragraphs>18</Paragraphs>
  <TotalTime>5</TotalTime>
  <ScaleCrop>false</ScaleCrop>
  <LinksUpToDate>false</LinksUpToDate>
  <CharactersWithSpaces>13281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2025-08-25T08:23:26Z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788926C445294FE8BE3A72990D2419CB_13</vt:lpwstr>
  </property>
</Properties>
</file>