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道县梅花镇人民政府</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spacing w:line="540" w:lineRule="exact"/>
        <w:jc w:val="both"/>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道县梅花镇人民政府</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both"/>
        <w:rPr>
          <w:sz w:val="72"/>
          <w:szCs w:val="72"/>
        </w:rPr>
      </w:pPr>
    </w:p>
    <w:p>
      <w:pPr>
        <w:pStyle w:val="2"/>
        <w:rPr>
          <w:sz w:val="72"/>
          <w:szCs w:val="72"/>
        </w:rPr>
      </w:pPr>
    </w:p>
    <w:p>
      <w:pPr>
        <w:pStyle w:val="3"/>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道县梅花镇人民政府</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both"/>
        <w:rPr>
          <w:sz w:val="72"/>
          <w:szCs w:val="72"/>
        </w:rPr>
      </w:pPr>
    </w:p>
    <w:p>
      <w:pPr>
        <w:pStyle w:val="2"/>
        <w:rPr>
          <w:sz w:val="72"/>
          <w:szCs w:val="72"/>
        </w:rPr>
      </w:pPr>
    </w:p>
    <w:p>
      <w:pPr>
        <w:pStyle w:val="3"/>
      </w:pPr>
    </w:p>
    <w:p/>
    <w:p>
      <w:pPr>
        <w:pStyle w:val="2"/>
      </w:pPr>
    </w:p>
    <w:p>
      <w:pPr>
        <w:pStyle w:val="14"/>
        <w:numPr>
          <w:ilvl w:val="0"/>
          <w:numId w:val="0"/>
        </w:numPr>
        <w:ind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autoSpaceDE w:val="0"/>
        <w:autoSpaceDN w:val="0"/>
        <w:adjustRightInd w:val="0"/>
        <w:spacing w:line="500" w:lineRule="exact"/>
        <w:ind w:firstLine="800" w:firstLineChars="25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（一）执行本级人民代表大会的决议和上级国家行政机关的决定和命令，发布决定和命令。</w:t>
      </w:r>
    </w:p>
    <w:p>
      <w:pPr>
        <w:autoSpaceDE w:val="0"/>
        <w:autoSpaceDN w:val="0"/>
        <w:adjustRightInd w:val="0"/>
        <w:spacing w:line="500" w:lineRule="exact"/>
        <w:ind w:firstLine="800" w:firstLineChars="25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（二）执行本行政区域内的经济和社会发展计划，加强公共设施的建设和管理，发展各项服务事业。</w:t>
      </w:r>
    </w:p>
    <w:p>
      <w:pPr>
        <w:autoSpaceDE w:val="0"/>
        <w:autoSpaceDN w:val="0"/>
        <w:adjustRightInd w:val="0"/>
        <w:spacing w:line="500" w:lineRule="exact"/>
        <w:ind w:firstLine="800" w:firstLineChars="25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（三）依法管理本级财政、执行本级预算。</w:t>
      </w:r>
    </w:p>
    <w:p>
      <w:pPr>
        <w:autoSpaceDE w:val="0"/>
        <w:autoSpaceDN w:val="0"/>
        <w:adjustRightInd w:val="0"/>
        <w:spacing w:line="500" w:lineRule="exact"/>
        <w:ind w:firstLine="800" w:firstLineChars="25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（四）为农民提供有效的科技、教育、文化、信息、卫生、体育、医疗、人才开发、劳动就业、安全生产等方面的服务。</w:t>
      </w:r>
    </w:p>
    <w:p>
      <w:pPr>
        <w:autoSpaceDE w:val="0"/>
        <w:autoSpaceDN w:val="0"/>
        <w:adjustRightInd w:val="0"/>
        <w:spacing w:line="500" w:lineRule="exact"/>
        <w:ind w:firstLine="800" w:firstLineChars="25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（五）保护国有资产和集体所有的财产，保护公民私人所有的合法财产、保障公民的人身权利、民主权利和其他权利，保护各种组织的合法权益。</w:t>
      </w:r>
    </w:p>
    <w:p>
      <w:pPr>
        <w:autoSpaceDE w:val="0"/>
        <w:autoSpaceDN w:val="0"/>
        <w:adjustRightInd w:val="0"/>
        <w:spacing w:line="500" w:lineRule="exact"/>
        <w:ind w:firstLine="800" w:firstLineChars="25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（六）开展社会主义民主与法制教育，加强社会治安综合治理，调解民事纠纷，维护社会秩序。</w:t>
      </w:r>
    </w:p>
    <w:p>
      <w:pPr>
        <w:autoSpaceDE w:val="0"/>
        <w:autoSpaceDN w:val="0"/>
        <w:adjustRightInd w:val="0"/>
        <w:spacing w:line="500" w:lineRule="exact"/>
        <w:ind w:firstLine="800" w:firstLineChars="25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（七）推行乡村振兴，推进新农村建设和美丽乡村建设。</w:t>
      </w:r>
    </w:p>
    <w:p>
      <w:pPr>
        <w:autoSpaceDE w:val="0"/>
        <w:autoSpaceDN w:val="0"/>
        <w:adjustRightInd w:val="0"/>
        <w:spacing w:line="500" w:lineRule="exact"/>
        <w:ind w:firstLine="800" w:firstLineChars="25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（八）负责民政工作，发展社会福利事业，做好社会保障工作，办理兵役事项。</w:t>
      </w:r>
    </w:p>
    <w:p>
      <w:pPr>
        <w:autoSpaceDE w:val="0"/>
        <w:autoSpaceDN w:val="0"/>
        <w:adjustRightInd w:val="0"/>
        <w:spacing w:line="500" w:lineRule="exact"/>
        <w:ind w:firstLine="800" w:firstLineChars="250"/>
        <w:jc w:val="left"/>
        <w:rPr>
          <w:rFonts w:hint="eastAsia" w:ascii="仿宋_GB2312" w:hAnsi="宋体"/>
          <w:sz w:val="30"/>
          <w:szCs w:val="30"/>
        </w:rPr>
      </w:pPr>
      <w:r>
        <w:rPr>
          <w:rFonts w:hint="eastAsia" w:ascii="Times New Roman" w:hAnsi="Times New Roman" w:eastAsia="仿宋_GB2312" w:cs="黑体"/>
          <w:color w:val="000000"/>
          <w:kern w:val="0"/>
          <w:sz w:val="32"/>
          <w:szCs w:val="32"/>
          <w:lang w:val="en-US" w:eastAsia="zh-CN" w:bidi="ar-SA"/>
        </w:rPr>
        <w:t>（九）承办上级人民政府交办的其他事项。</w:t>
      </w:r>
      <w:r>
        <w:rPr>
          <w:rFonts w:hint="eastAsia" w:ascii="仿宋_GB2312" w:hAnsi="宋体"/>
          <w:sz w:val="30"/>
          <w:szCs w:val="30"/>
        </w:rPr>
        <w:t xml:space="preserve"> </w:t>
      </w:r>
    </w:p>
    <w:p>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仿宋_GB2312" w:hAnsi="仿宋_GB2312" w:cs="仿宋_GB2312"/>
          <w:color w:val="auto"/>
          <w:kern w:val="0"/>
          <w:sz w:val="28"/>
          <w:szCs w:val="28"/>
        </w:rPr>
      </w:pPr>
      <w:r>
        <w:rPr>
          <w:rFonts w:hint="eastAsia" w:asciiTheme="minorEastAsia" w:hAnsiTheme="minorEastAsia"/>
          <w:bCs/>
          <w:color w:val="auto"/>
          <w:kern w:val="0"/>
          <w:sz w:val="32"/>
          <w:szCs w:val="32"/>
        </w:rPr>
        <w:t>（一）内设机构设置。</w:t>
      </w:r>
      <w:r>
        <w:rPr>
          <w:rFonts w:hint="eastAsia" w:ascii="Times New Roman" w:hAnsi="Times New Roman" w:eastAsia="仿宋_GB2312" w:cs="黑体"/>
          <w:color w:val="000000"/>
          <w:kern w:val="0"/>
          <w:sz w:val="32"/>
          <w:szCs w:val="32"/>
          <w:lang w:val="en-US" w:eastAsia="zh-CN" w:bidi="ar-SA"/>
        </w:rPr>
        <w:t>道县梅花镇人民政府单位内设机构包括：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pPr>
        <w:widowControl/>
        <w:spacing w:line="600" w:lineRule="exact"/>
        <w:ind w:firstLine="627" w:firstLineChars="196"/>
        <w:rPr>
          <w:rFonts w:hint="eastAsia" w:eastAsia="仿宋_GB2312"/>
          <w:color w:val="auto"/>
          <w:sz w:val="32"/>
          <w:szCs w:val="32"/>
          <w:lang w:val="en-US" w:eastAsia="zh-CN"/>
        </w:rPr>
      </w:pPr>
      <w:r>
        <w:rPr>
          <w:rFonts w:hint="eastAsia" w:asciiTheme="minorEastAsia" w:hAnsiTheme="minorEastAsia"/>
          <w:bCs/>
          <w:color w:val="auto"/>
          <w:kern w:val="0"/>
          <w:sz w:val="32"/>
          <w:szCs w:val="32"/>
        </w:rPr>
        <w:t>（二）决算单位构成。</w:t>
      </w:r>
      <w:r>
        <w:rPr>
          <w:rFonts w:hint="eastAsia" w:ascii="Times New Roman" w:hAnsi="Times New Roman" w:eastAsia="仿宋_GB2312" w:cs="黑体"/>
          <w:color w:val="000000"/>
          <w:kern w:val="0"/>
          <w:sz w:val="32"/>
          <w:szCs w:val="32"/>
          <w:lang w:val="en-US" w:eastAsia="zh-CN" w:bidi="ar-SA"/>
        </w:rPr>
        <w:t>道县梅花镇人民政府2024年部门决算汇总公开单位构成包括：道县梅花镇人民政府单位本级。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3900" w:type="dxa"/>
        <w:tblInd w:w="0" w:type="dxa"/>
        <w:tblLayout w:type="fixed"/>
        <w:tblCellMar>
          <w:top w:w="0" w:type="dxa"/>
          <w:left w:w="0" w:type="dxa"/>
          <w:bottom w:w="0" w:type="dxa"/>
          <w:right w:w="0" w:type="dxa"/>
        </w:tblCellMar>
      </w:tblPr>
      <w:tblGrid>
        <w:gridCol w:w="269"/>
        <w:gridCol w:w="269"/>
        <w:gridCol w:w="1481"/>
        <w:gridCol w:w="1807"/>
        <w:gridCol w:w="1807"/>
        <w:gridCol w:w="1807"/>
        <w:gridCol w:w="1807"/>
        <w:gridCol w:w="1807"/>
        <w:gridCol w:w="1807"/>
        <w:gridCol w:w="2567"/>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4"/>
              <w:gridCol w:w="568"/>
              <w:gridCol w:w="1251"/>
              <w:gridCol w:w="4432"/>
              <w:gridCol w:w="1890"/>
              <w:gridCol w:w="588"/>
              <w:gridCol w:w="761"/>
              <w:gridCol w:w="1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40"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1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69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18"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64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58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5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15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8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1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9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58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5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15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8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1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9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52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65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62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1839.85</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四、社会保障和就业支出</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五、农林水支出</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六、其他支出</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val="0"/>
                      <w:bCs/>
                      <w:i w:val="0"/>
                      <w:color w:val="000000"/>
                      <w:sz w:val="22"/>
                      <w:szCs w:val="22"/>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22</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1865.85</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62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9" w:type="dxa"/>
                <w:trHeight w:val="448" w:hRule="atLeast"/>
              </w:trPr>
              <w:tc>
                <w:tcPr>
                  <w:tcW w:w="3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1865.85</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1865.85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3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3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0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1865.85</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1865.85</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3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3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3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3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3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3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1865.85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1584.24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281.61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1839.85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1205.26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1205.26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四、</w:t>
            </w:r>
            <w:r>
              <w:rPr>
                <w:rFonts w:hint="eastAsia" w:ascii="宋体" w:hAnsi="宋体" w:eastAsia="宋体" w:cs="宋体"/>
                <w:kern w:val="0"/>
                <w:sz w:val="22"/>
                <w:lang w:eastAsia="zh-CN"/>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五、</w:t>
            </w:r>
            <w:r>
              <w:rPr>
                <w:rFonts w:hint="eastAsia" w:ascii="宋体" w:hAnsi="宋体" w:eastAsia="宋体" w:cs="宋体"/>
                <w:kern w:val="0"/>
                <w:sz w:val="22"/>
                <w:lang w:eastAsia="zh-CN"/>
              </w:rPr>
              <w:t>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629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六、</w:t>
            </w:r>
            <w:r>
              <w:rPr>
                <w:rFonts w:hint="eastAsia" w:ascii="宋体" w:hAnsi="宋体" w:eastAsia="宋体" w:cs="宋体"/>
                <w:kern w:val="0"/>
                <w:sz w:val="22"/>
                <w:lang w:eastAsia="zh-CN"/>
              </w:rPr>
              <w:t>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26</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1865.85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1865.85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1865.85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1865.85</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1865.85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1584.24</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281.61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00"/>
        <w:gridCol w:w="85"/>
        <w:gridCol w:w="239"/>
        <w:gridCol w:w="1375"/>
        <w:gridCol w:w="1646"/>
        <w:gridCol w:w="1490"/>
        <w:gridCol w:w="870"/>
        <w:gridCol w:w="449"/>
        <w:gridCol w:w="1965"/>
        <w:gridCol w:w="111"/>
        <w:gridCol w:w="770"/>
        <w:gridCol w:w="870"/>
        <w:gridCol w:w="440"/>
        <w:gridCol w:w="2076"/>
        <w:gridCol w:w="1474"/>
        <w:gridCol w:w="603"/>
        <w:gridCol w:w="251"/>
      </w:tblGrid>
      <w:tr>
        <w:tblPrEx>
          <w:tblCellMar>
            <w:top w:w="0" w:type="dxa"/>
            <w:left w:w="108" w:type="dxa"/>
            <w:bottom w:w="0" w:type="dxa"/>
            <w:right w:w="108" w:type="dxa"/>
          </w:tblCellMar>
        </w:tblPrEx>
        <w:trPr>
          <w:trHeight w:val="113" w:hRule="atLeast"/>
        </w:trPr>
        <w:tc>
          <w:tcPr>
            <w:tcW w:w="15614"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9"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807.74</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401.53</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296.67</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90.47</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145.16</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30.53</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249.38</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71.17</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5.8</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38.7</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2.5</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6.65</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55</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374.98</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15</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4.3</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2.7</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5.58</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369.4</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108</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14</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20</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37.23</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4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1182.72</w:t>
            </w:r>
            <w:r>
              <w:rPr>
                <w:rFonts w:hint="eastAsia" w:ascii="宋体" w:hAnsi="宋体" w:eastAsia="宋体" w:cs="宋体"/>
                <w:color w:val="000000"/>
                <w:kern w:val="0"/>
                <w:szCs w:val="20"/>
              </w:rPr>
              <w:t>　</w:t>
            </w:r>
          </w:p>
        </w:tc>
        <w:tc>
          <w:tcPr>
            <w:tcW w:w="902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401.53</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80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5"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80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8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1865.85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175.01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人员、办公等各方面开支增加。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1865.85</w:t>
      </w:r>
      <w:r>
        <w:rPr>
          <w:rFonts w:hint="eastAsia" w:ascii="Times New Roman" w:hAnsi="Times New Roman" w:eastAsia="仿宋_GB2312"/>
          <w:sz w:val="32"/>
          <w:szCs w:val="32"/>
        </w:rPr>
        <w:t>万元，其中：财政拨款收</w:t>
      </w:r>
      <w:r>
        <w:rPr>
          <w:rFonts w:hint="eastAsia" w:ascii="Times New Roman" w:hAnsi="Times New Roman" w:eastAsia="仿宋_GB2312"/>
          <w:sz w:val="32"/>
          <w:szCs w:val="32"/>
          <w:lang w:val="en-US" w:eastAsia="zh-CN"/>
        </w:rPr>
        <w:t>1865.85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1865.85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1584.24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84.91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281.61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15.09</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1865.85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175.01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人员、办公等方面开支增加。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1839.85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98.61</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159.01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9.46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人员、办公等方面开支增加。</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1839.85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1205.26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65.51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5.58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lang w:val="en-US" w:eastAsia="zh-CN"/>
        </w:rPr>
        <w:t>629万元，占34.19%。</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1839.85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1839.85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人大事务（款）行政运行（项）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13.61万元，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13.61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人大事务（款）代表工作（项）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2.11万元，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2.11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人大事务（款）其他人大事务支出（项）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5万元，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政府办公厅（室）及相关机构事务（款）行政运行（项）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647.92万元，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647.92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政府办公厅（室）及相关机构事务（款）其他政府办公厅（室）及相关机构事务支出（项）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501.33万元，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501.33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财政事务（款）行政运行（项）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11.38万元，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11.38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纪检监察事务（款）行政运行（项）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6.14万元，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6.14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纪检监察事务（款）其他纪检监察事务支出（项）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7万元，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9、一般公共服务支出（类）群众团体事务（款）其他群众团体事务支出（项）。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4.36万元，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4.36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一般公共服务支出（类）其他一般公共服务支出（款）其他一般公共服务支出（项）。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6.42万元，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6.42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社会保障和就业支出（类）抚恤（款）死亡抚恤（项）。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5.58万元，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5.58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农林水支出（类）农村综合改革（款）对村级公益事业建设的补助（项）。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80.6万元，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80.6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农林水支出（类）农村综合改革（款）对村民委员会和村党支部的补助（项）。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448.4万元，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448.4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农林水支出（类）农村综合改革（款）农村综合改革示范点补助（项）。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100万元，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1584.25</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1182.72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74.65</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296.67万元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145.16万元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249.38万元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机关事业单位基本养老保险缴费</w:t>
      </w:r>
      <w:r>
        <w:rPr>
          <w:rFonts w:hint="eastAsia" w:ascii="Times New Roman" w:hAnsi="Times New Roman" w:eastAsia="仿宋_GB2312"/>
          <w:sz w:val="32"/>
          <w:szCs w:val="32"/>
          <w:lang w:val="en-US" w:eastAsia="zh-CN"/>
        </w:rPr>
        <w:t>71.17万元、职工基本医疗保险缴费38.7万元、住房公积金6.65万元、抚恤金5.58万元、生活补助369.4万元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401.53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25.35</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90.47万元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30.53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电费</w:t>
      </w:r>
      <w:r>
        <w:rPr>
          <w:rFonts w:hint="eastAsia" w:ascii="Times New Roman" w:hAnsi="Times New Roman" w:eastAsia="仿宋_GB2312"/>
          <w:sz w:val="32"/>
          <w:szCs w:val="32"/>
          <w:lang w:val="en-US" w:eastAsia="zh-CN"/>
        </w:rPr>
        <w:t>5.8万元、邮电费3万元、差旅费2.5万元、维修（护）费55万元、会议费15万元、培训费4.3万元、公务接待费2.7万元、劳务费108万元、工会经费14万元、福利费8万元、公务用车运行维护费5万元、其他交通费用20万元、其他商品和服务支出37.23万元</w:t>
      </w:r>
      <w:r>
        <w:rPr>
          <w:rFonts w:hint="eastAsia" w:ascii="Times New Roman" w:hAnsi="Times New Roman" w:eastAsia="仿宋_GB2312"/>
          <w:sz w:val="32"/>
          <w:szCs w:val="32"/>
        </w:rPr>
        <w:t>。</w:t>
      </w:r>
    </w:p>
    <w:p>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35.06</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64.94</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公务接待费支出决算为</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486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会议、考察</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公务用车运行维护</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其它支出（类）彩票公益金安排的支出（款）用于社会福利的彩票公益金支出（项）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26万元，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401.53</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63.8</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13.71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压缩办公经费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w:t>
      </w:r>
      <w:r>
        <w:rPr>
          <w:rFonts w:hint="eastAsia" w:ascii="Times New Roman" w:hAnsi="Times New Roman" w:eastAsia="仿宋_GB2312"/>
          <w:sz w:val="32"/>
          <w:szCs w:val="32"/>
        </w:rPr>
        <w:t xml:space="preserve">召开乡村振兴与脱贫攻坚有效衔接、农村人居环境卫生整治、综治维稳、禁毒，镇人代会会议，人数 </w:t>
      </w:r>
      <w:r>
        <w:rPr>
          <w:rFonts w:hint="eastAsia" w:ascii="Times New Roman" w:hAnsi="Times New Roman" w:eastAsia="仿宋_GB2312"/>
          <w:sz w:val="32"/>
          <w:szCs w:val="32"/>
          <w:lang w:val="en-US" w:eastAsia="zh-CN"/>
        </w:rPr>
        <w:t>6829</w:t>
      </w:r>
      <w:r>
        <w:rPr>
          <w:rFonts w:hint="eastAsia" w:ascii="Times New Roman" w:hAnsi="Times New Roman" w:eastAsia="仿宋_GB2312"/>
          <w:sz w:val="32"/>
          <w:szCs w:val="32"/>
        </w:rPr>
        <w:t>人，内容为乡村振兴与脱贫攻坚有效衔接相关工作部署、农村人居环境卫生整治、综治维稳、禁毒宣传，镇人代会等；开支培训费</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万元，用于乡村振兴与脱贫攻坚有效衔接入户培训，党员培训，村级财务培训，人数</w:t>
      </w:r>
      <w:r>
        <w:rPr>
          <w:rFonts w:hint="eastAsia" w:ascii="Times New Roman" w:hAnsi="Times New Roman" w:eastAsia="仿宋_GB2312"/>
          <w:sz w:val="32"/>
          <w:szCs w:val="32"/>
          <w:lang w:val="en-US" w:eastAsia="zh-CN"/>
        </w:rPr>
        <w:t>1947</w:t>
      </w:r>
      <w:r>
        <w:rPr>
          <w:rFonts w:hint="eastAsia" w:ascii="Times New Roman" w:hAnsi="Times New Roman" w:eastAsia="仿宋_GB2312"/>
          <w:sz w:val="32"/>
          <w:szCs w:val="32"/>
        </w:rPr>
        <w:t>人，内容为乡村振兴与脱贫攻坚有效衔接入户培训，党员培训，村级财务相关业务知识培训等；未举办节庆、晚会、论坛、赛事活动。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sz w:val="32"/>
          <w:szCs w:val="32"/>
          <w:lang w:eastAsia="zh-CN"/>
        </w:rPr>
      </w:pPr>
      <w:r>
        <w:rPr>
          <w:rFonts w:hint="eastAsia" w:ascii="Times New Roman" w:hAnsi="Times New Roman" w:eastAsia="仿宋_GB2312"/>
          <w:sz w:val="32"/>
          <w:szCs w:val="32"/>
          <w:lang w:val="en-US" w:eastAsia="zh-CN"/>
        </w:rPr>
        <w:t>我单位根椐上级要求，按时按质认真开展部门整体支出绩效评价。</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政府会计制度》等法律和财政部及省财政厅有关财务规章的规定，梅花镇先后制订了《财务管理制度》、《道县梅花镇人民政府公务接待管理办法》、《道县梅花镇人民政府会议费管理办法》、《道县梅花镇人民政府差旅费管理办法》等制度，制度明确了经费审批权限及程序，经费预算、核算管理、资产购置与处置、财务监督等，针对“三公”经费建立公用经费标准定额体系，开展公用经费使用监督和绩效评估，领导重视，员工参与，制度建立完善。</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numPr>
          <w:ilvl w:val="0"/>
          <w:numId w:val="0"/>
        </w:numPr>
        <w:ind w:leftChars="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问题：1、会议费开支存在有超范围的现象。</w:t>
      </w:r>
    </w:p>
    <w:p>
      <w:pPr>
        <w:pStyle w:val="13"/>
        <w:ind w:firstLine="640" w:firstLineChars="200"/>
        <w:jc w:val="both"/>
        <w:rPr>
          <w:sz w:val="72"/>
          <w:szCs w:val="72"/>
        </w:rPr>
      </w:pPr>
      <w:r>
        <w:rPr>
          <w:rFonts w:hint="eastAsia" w:ascii="Times New Roman" w:hAnsi="Times New Roman" w:eastAsia="仿宋_GB2312" w:cs="黑体"/>
          <w:color w:val="000000"/>
          <w:kern w:val="0"/>
          <w:sz w:val="32"/>
          <w:szCs w:val="32"/>
          <w:lang w:val="en-US" w:eastAsia="zh-CN" w:bidi="ar-SA"/>
        </w:rPr>
        <w:t>改进措施：1、规范账务处理，提高财务信息质量。严格按照《会计法》、《政府会计制度》、《政府财务规则》等规定执行财务核算，并结合实际情况，完整、准确地披露相关信息，做到决算与预算相衔接。2、落实管理制度，进一步加强接待管理。按照《道县党政机关公务接待管理实施细则》的加强接待管理工作，对被接待单位人员要及时索取接待函，对存在的问题认真进行整改。3、加强会计机构队伍建设。按照《中华人民共和国会计法》要求建立会计机关，配备齐会计人员，做到不相容岗位分设，加强会计监督。对大额无说明支出补充附件及说明，完善手续，各项专项资金纳入专项资金专户核算，工程项目按规定进行招投标。</w:t>
      </w: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3"/>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财政拨款收入：指单位本年度从同级财政部门取得的各类财政拨款。</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2．上级补助收入：指事业单位从主管部门和上级单位取得的非财政补助收入。</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5．对附属单位补助支出：指事业单位用财政拨款收入之外的收入对附属单位补助发生的支出。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6．经营支出：指事业单位在专业业务活动及其辅助活动之外开展非独立核算经营活动发生的支出。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7．上缴上级支出：指事业单位按照财政部门和主管部门的规定上缴上级单位的支出。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8．项目支出：指在为完成特定的工作任务和事业发展目标所发生的支出。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9．基本支出：指为保障机构正常运转、完成日常工作任务而发生的支出，包括人员经费和公用经费。</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10．年末结转和结余资金：指本年度或以前年度预算安排、因客观条件发生变化无法按原计划实施，需要延迟到以后年度按有关规定继续使用的资金。</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11．结余分配：指事业单位按规定对非财政拨款结余资金提取的专用基金、缴纳的所得税和转入非财政拨款结余等。</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12．年初结转和结余：指单位上年结转本年使用的基本支出结转、项目支出结转和结余和经营结余。</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13．使用非财政拨款结余：指事业单位使用非财政拨款结余（原事业基金）弥补当年收支差额的数额。</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14．其他收入：指单位取得的除上述“财政拨款收入”、“事业收入”、“经营收入”等以外的各项收入。</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15．事业收入：指事业单位开展专业业务活动及其辅助活动取得的收入，事业单位收到的财政专户实际核拨的教育收费等资金在此反映。</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16．经营收入：指事业单位在专业业务活动及其辅助活动之外开展非独立核算经营活动取得的收入。</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17．附属单位上缴收入：指事业单位附属独立核算单位按照有关规定上缴的收入。</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18．一般公共服务支出（类）人大事务（款）行政运行（项）：反映行政单位（包括实行公务员管理的事业单位）的基本支出。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19．一般公共服务支出（类）政府办公厅（室）及相关机构事务（款）行政运行（项）：反映行政单位（包括实行公务员管理的事业单位）的基本支出。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20．一般公共服务支出（类）财政事务（款）行政运行（项）：反映行政单位（包括实行公务员管理的事业单位）的基本 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21．一般公共服务支出（类）纪检监察事务（款）行政运行（项）：反映行政单位（包括实行公务员管理的事业单位）的基本 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22．一般公共服务支出（类）群众团体事务（款）行政运行（项）：反映行政单位（包括实行公务员管理的事业单位）的基本支出。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23．一般公共服务支出（类）党委办公厅（室）及相关机构事务（款）行政运行（项）：反映行政单位（包括实行公务员管理的事业单位）的基本支出。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24．科学技术支出（类）其他科学技术支出（款）其他科学技术支出（项）：反映其他科学技术支出中除以上各项外用于科技方面的支出。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25．社会保障和就业支出（类）行政事业单位养老支出（款）机关事业单位基本养老保险缴费支出（项）：反映机关事业单位实施养老保险制度由单位缴纳的基本养老保险费支出。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26．社会保障和就业支出（类）抚恤（款）死亡抚恤（项）：反映按规定用于烈士和牺牲、病故人员家属的一次性和定期 抚恤金、丧葬补助费以及烈士褒扬金。</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27．卫生健康支出（类）行政事业单位医疗（款）行政单位医疗（项）：反映财政部门安排的行政单位（包括实行公务员管理的事业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28．农林水支出（类）农村综合改革（款）对村级公益事业建设的补助（项）：反映农村综合改革方面的支出。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29．农林水支出（类）农村综合改革（款）农村综合改革示范试点补助（项）：反映各级财政对农村综合改革示范试点、新型农业社会化服务体系建设等补助支出。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30．城乡社区支出（类）国有土地使用权出让收入安排的支出（款）农村基础设施建设支出（项）：反映土地出让收入用于农村供水保障、村庄公共设施建设和管护以及与农业农村直接相关的以工代赈等方面的支出。</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3" w:name="_GoBack"/>
      <w:bookmarkEnd w:id="3"/>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9548C"/>
    <w:multiLevelType w:val="singleLevel"/>
    <w:tmpl w:val="B6A9548C"/>
    <w:lvl w:ilvl="0" w:tentative="0">
      <w:start w:val="3"/>
      <w:numFmt w:val="decimal"/>
      <w:suff w:val="nothing"/>
      <w:lvlText w:val="%1、"/>
      <w:lvlJc w:val="left"/>
    </w:lvl>
  </w:abstractNum>
  <w:abstractNum w:abstractNumId="1">
    <w:nsid w:val="BFFEB3C4"/>
    <w:multiLevelType w:val="singleLevel"/>
    <w:tmpl w:val="BFFEB3C4"/>
    <w:lvl w:ilvl="0" w:tentative="0">
      <w:start w:val="1"/>
      <w:numFmt w:val="decimal"/>
      <w:suff w:val="nothing"/>
      <w:lvlText w:val="%1．"/>
      <w:lvlJc w:val="left"/>
    </w:lvl>
  </w:abstractNum>
  <w:abstractNum w:abstractNumId="2">
    <w:nsid w:val="49FABF68"/>
    <w:multiLevelType w:val="singleLevel"/>
    <w:tmpl w:val="49FABF68"/>
    <w:lvl w:ilvl="0" w:tentative="0">
      <w:start w:val="7"/>
      <w:numFmt w:val="chineseCounting"/>
      <w:suff w:val="nothing"/>
      <w:lvlText w:val="%1、"/>
      <w:lvlJc w:val="left"/>
      <w:rPr>
        <w:rFonts w:hint="eastAsia"/>
      </w:rPr>
    </w:lvl>
  </w:abstractNum>
  <w:abstractNum w:abstractNumId="3">
    <w:nsid w:val="54627862"/>
    <w:multiLevelType w:val="singleLevel"/>
    <w:tmpl w:val="54627862"/>
    <w:lvl w:ilvl="0" w:tentative="0">
      <w:start w:val="10"/>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C81AD2"/>
    <w:rsid w:val="027C1C53"/>
    <w:rsid w:val="05993EBE"/>
    <w:rsid w:val="10D30BB1"/>
    <w:rsid w:val="17935DDD"/>
    <w:rsid w:val="1D97DEFF"/>
    <w:rsid w:val="1DFF72E5"/>
    <w:rsid w:val="1EFC6F07"/>
    <w:rsid w:val="280728D5"/>
    <w:rsid w:val="2FDF85B8"/>
    <w:rsid w:val="2FFFEE04"/>
    <w:rsid w:val="34DF85B0"/>
    <w:rsid w:val="37305F8D"/>
    <w:rsid w:val="39CA5541"/>
    <w:rsid w:val="3B8F36BC"/>
    <w:rsid w:val="3CEA755F"/>
    <w:rsid w:val="3CF623A2"/>
    <w:rsid w:val="476D4479"/>
    <w:rsid w:val="491FF225"/>
    <w:rsid w:val="49D50C10"/>
    <w:rsid w:val="4A351901"/>
    <w:rsid w:val="4B0059C2"/>
    <w:rsid w:val="4B283F30"/>
    <w:rsid w:val="4FC4743C"/>
    <w:rsid w:val="4FFD214C"/>
    <w:rsid w:val="5777D4F5"/>
    <w:rsid w:val="59DD8326"/>
    <w:rsid w:val="5BC73189"/>
    <w:rsid w:val="5DEF592A"/>
    <w:rsid w:val="5F260B81"/>
    <w:rsid w:val="5FC6BB1E"/>
    <w:rsid w:val="5FF720F1"/>
    <w:rsid w:val="61223731"/>
    <w:rsid w:val="67FF5C0B"/>
    <w:rsid w:val="6EFC0924"/>
    <w:rsid w:val="6FB74722"/>
    <w:rsid w:val="6FEF8B7E"/>
    <w:rsid w:val="70315E2B"/>
    <w:rsid w:val="712A1CAC"/>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next w:val="1"/>
    <w:qFormat/>
    <w:uiPriority w:val="99"/>
    <w:pPr>
      <w:ind w:left="120"/>
    </w:pPr>
    <w:rPr>
      <w:sz w:val="32"/>
      <w:szCs w:val="32"/>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ZAL</cp:lastModifiedBy>
  <cp:lastPrinted>2025-08-19T01:53:00Z</cp:lastPrinted>
  <dcterms:modified xsi:type="dcterms:W3CDTF">2025-08-19T07:50:26Z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4614E527DDC3447688902339FB4025AB_12</vt:lpwstr>
  </property>
</Properties>
</file>