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LwJlDWAAAACgEAAA8AAAAAAAAAAQAgAAAAIgAAAGRycy9kb3du&#10;cmV2LnhtbFBLAQIUABQAAAAIAIdO4kBDKpePOgIAAEwEAAAOAAAAAAAAAAEAIAAAACUBAABkcnMv&#10;ZTJvRG9jLnhtbFBLBQYAAAAABgAGAFkBAADRBQ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道县数据局</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道县数据局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道县数据局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bookmarkStart w:id="0" w:name="OLE_LINK11"/>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（一）推进、指导、协调、监督全县政务公开(政府信息公开、办事公开)和政务服务体系建设。承担县政务公开政务服务领导 小组办公室的日常工作；拟订全县政务公开、政务服务工作发展 规划和年度计划，建立和完善相应工作机制。</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(二)指导、协调、推进全县行政审批制度改革工作。承担县行政审批制度改革领导小组办公室的日常工作；拟订行政审批服务有关规章制度及管理办法并组织监督实施；牵头负责县“放管服”改革工作。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(三）统筹协调、规划指导、监督评估全县电子政务等工作；统筹推进、协调监督全县“互联网+政务服务”工作。统筹规划、监督考核全县电子政务网络和政府系统网站。</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(四）统筹协调、规划指导、监督评估全县政务信息化、大数据建设管理和应用等工作；组织协调推进政务数据资源共享和开放工作，统筹政务数据资源的采集、分类、管理、分析和应用工作。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(五)承担县优化营商环境联席会议办公室的日常工作。负责全县优化营商环境工作的组织实施和监督、检查、考核；维护营商政务、法制、信用等环境；协调推进全县行政效能工作。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(六)承担县社会诚信体系建设领导小组办公室的日常工作。组织协调、监督推进全县有关中央、省社会信用体系建设的法律 法规、决策部署的贯彻落实。拟订并组织实施全县社会信用体系 建设的总体规划和政策措施；统筹推进统一的信用信息平台建设，促进信用信息资源的整合与运用，协调社会信用体系建设的重大问题；拟订守信联合激励和失信联合惩戒制度，牵头组织对重点领域和严重失信行为实施联合惩戒。</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(七）承担县政务联动处置领导小组办公室的日常工作。负责 拟订全县政务联动处置和城乡网格化建设管理工作规则；统筹规划、指挥协调、管理督导全县12345公共服务热线、政务联动处 置和城乡网格化建设管理。</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(八)承办县委、县政府交办的其他事项，承办县人大建议、县政协提案等事宜。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Cs/>
          <w:kern w:val="0"/>
          <w:sz w:val="32"/>
          <w:szCs w:val="32"/>
        </w:rPr>
        <w:t>（一）内设机构设置。道县行政审批服务局内设机构包括：</w:t>
      </w:r>
      <w:bookmarkStart w:id="16" w:name="_GoBack"/>
      <w:bookmarkEnd w:id="16"/>
      <w:r>
        <w:rPr>
          <w:rFonts w:hint="eastAsia" w:ascii="仿宋_GB2312" w:hAnsi="仿宋_GB2312" w:eastAsia="仿宋_GB2312" w:cs="仿宋_GB2312"/>
          <w:sz w:val="32"/>
          <w:szCs w:val="32"/>
          <w:lang w:val="en-US" w:eastAsia="zh-CN"/>
        </w:rPr>
        <w:t>综合办公室、数字经济和数据资源股、社会信用体系建设管理股、数字政务与审改股、联动处置股5个股室，2024年编制人数36名，实际在编人数31名，其中公务员8名，事业单位人员23名。</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（二）决算单位构成。道县行政审批服务局202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年部门决算汇总公开单位构成包括：道县行政审批服务局本级。</w:t>
      </w:r>
    </w:p>
    <w:bookmarkEnd w:id="0"/>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297"/>
        <w:gridCol w:w="619"/>
        <w:gridCol w:w="1513"/>
        <w:gridCol w:w="1440"/>
        <w:gridCol w:w="1801"/>
        <w:gridCol w:w="1801"/>
        <w:gridCol w:w="1801"/>
        <w:gridCol w:w="1801"/>
        <w:gridCol w:w="1801"/>
        <w:gridCol w:w="2554"/>
      </w:tblGrid>
      <w:tr>
        <w:tblPrEx>
          <w:tblLayout w:type="fixed"/>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2"/>
              <w:gridCol w:w="603"/>
              <w:gridCol w:w="1399"/>
              <w:gridCol w:w="5033"/>
              <w:gridCol w:w="1165"/>
              <w:gridCol w:w="456"/>
              <w:gridCol w:w="456"/>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vAlign w:val="center"/>
                </w:tcPr>
                <w:p>
                  <w:pPr>
                    <w:jc w:val="left"/>
                    <w:rPr>
                      <w:rFonts w:hint="eastAsia" w:ascii="黑体" w:hAnsi="宋体" w:eastAsia="黑体" w:cs="黑体"/>
                      <w:i w:val="0"/>
                      <w:color w:val="000000"/>
                      <w:sz w:val="24"/>
                      <w:szCs w:val="24"/>
                      <w:u w:val="none"/>
                    </w:rPr>
                  </w:pPr>
                  <w:bookmarkStart w:id="1" w:name="OLE_LINK12"/>
                </w:p>
              </w:tc>
              <w:tc>
                <w:tcPr>
                  <w:tcW w:w="603" w:type="dxa"/>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3"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44"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44"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987.9</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bookmarkStart w:id="2" w:name="OLE_LINK2" w:colFirst="3" w:colLast="3"/>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七、社会保障和就业支出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八、卫生健康支出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九、其他支出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100.3</w:t>
                  </w:r>
                </w:p>
              </w:tc>
            </w:tr>
            <w:bookmarkEnd w:id="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987.9</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987.9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44"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44"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987.9</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Layout w:type="fixed"/>
          <w:tblCellMar>
            <w:top w:w="0" w:type="dxa"/>
            <w:left w:w="0" w:type="dxa"/>
            <w:bottom w:w="0" w:type="dxa"/>
            <w:right w:w="0" w:type="dxa"/>
          </w:tblCellMar>
        </w:tblPrEx>
        <w:trPr>
          <w:trHeight w:val="285" w:hRule="atLeast"/>
        </w:trPr>
        <w:tc>
          <w:tcPr>
            <w:tcW w:w="2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1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Layout w:type="fixed"/>
          <w:tblCellMar>
            <w:top w:w="0" w:type="dxa"/>
            <w:left w:w="0" w:type="dxa"/>
            <w:bottom w:w="0" w:type="dxa"/>
            <w:right w:w="0" w:type="dxa"/>
          </w:tblCellMar>
        </w:tblPrEx>
        <w:trPr>
          <w:trHeight w:val="285" w:hRule="atLeast"/>
        </w:trPr>
        <w:tc>
          <w:tcPr>
            <w:tcW w:w="916"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51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Layout w:type="fixed"/>
          <w:tblCellMar>
            <w:top w:w="0" w:type="dxa"/>
            <w:left w:w="0" w:type="dxa"/>
            <w:bottom w:w="0" w:type="dxa"/>
            <w:right w:w="0" w:type="dxa"/>
          </w:tblCellMar>
        </w:tblPrEx>
        <w:trPr>
          <w:trHeight w:val="450" w:hRule="atLeast"/>
        </w:trPr>
        <w:tc>
          <w:tcPr>
            <w:tcW w:w="242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Layout w:type="fixed"/>
          <w:tblCellMar>
            <w:top w:w="0" w:type="dxa"/>
            <w:left w:w="0" w:type="dxa"/>
            <w:bottom w:w="0" w:type="dxa"/>
            <w:right w:w="0" w:type="dxa"/>
          </w:tblCellMar>
        </w:tblPrEx>
        <w:trPr>
          <w:trHeight w:val="450" w:hRule="atLeast"/>
        </w:trPr>
        <w:tc>
          <w:tcPr>
            <w:tcW w:w="91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51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91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242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5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Layout w:type="fixed"/>
          <w:tblCellMar>
            <w:top w:w="0" w:type="dxa"/>
            <w:left w:w="0" w:type="dxa"/>
            <w:bottom w:w="0" w:type="dxa"/>
            <w:right w:w="0" w:type="dxa"/>
          </w:tblCellMar>
        </w:tblPrEx>
        <w:trPr>
          <w:trHeight w:val="450" w:hRule="atLeast"/>
        </w:trPr>
        <w:tc>
          <w:tcPr>
            <w:tcW w:w="242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bookmarkStart w:id="3" w:name="OLE_LINK1" w:colFirst="1" w:colLast="2"/>
            <w:r>
              <w:rPr>
                <w:rFonts w:hint="eastAsia"/>
              </w:rPr>
              <w:t>合计</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987.9</w:t>
            </w: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987.9</w:t>
            </w: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hint="eastAsia" w:ascii="宋体" w:hAnsi="宋体" w:cs="宋体" w:eastAsiaTheme="minorEastAsia"/>
                <w:sz w:val="24"/>
                <w:szCs w:val="24"/>
                <w:lang w:val="en-US" w:eastAsia="zh-CN"/>
              </w:rPr>
            </w:pPr>
            <w:r>
              <w:rPr>
                <w:rFonts w:hint="eastAsia" w:ascii="宋体" w:hAnsi="宋体" w:eastAsia="宋体" w:cs="宋体"/>
                <w:i w:val="0"/>
                <w:color w:val="000000"/>
                <w:kern w:val="0"/>
                <w:sz w:val="22"/>
                <w:szCs w:val="22"/>
                <w:u w:val="none"/>
                <w:lang w:val="en-US" w:eastAsia="zh-CN" w:bidi="ar"/>
              </w:rPr>
              <w:t>2010301</w:t>
            </w:r>
          </w:p>
        </w:tc>
        <w:tc>
          <w:tcPr>
            <w:tcW w:w="151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行政运行</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434.5</w:t>
            </w: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434.5</w:t>
            </w: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2010306</w:t>
            </w:r>
          </w:p>
        </w:tc>
        <w:tc>
          <w:tcPr>
            <w:tcW w:w="151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政务公开审批</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华文中宋" w:hAnsi="华文中宋" w:eastAsia="华文中宋" w:cs="宋体"/>
                <w:sz w:val="24"/>
                <w:szCs w:val="24"/>
              </w:rPr>
            </w:pPr>
            <w:r>
              <w:rPr>
                <w:rFonts w:hint="eastAsia" w:ascii="华文中宋" w:hAnsi="华文中宋" w:eastAsia="华文中宋"/>
                <w:lang w:val="en-US" w:eastAsia="zh-CN"/>
              </w:rPr>
              <w:t>373.1</w:t>
            </w:r>
            <w:r>
              <w:rPr>
                <w:rFonts w:hint="eastAsia" w:ascii="华文中宋" w:hAnsi="华文中宋" w:eastAsia="华文中宋"/>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华文中宋" w:hAnsi="华文中宋" w:eastAsia="华文中宋"/>
                <w:lang w:val="en-US" w:eastAsia="zh-CN"/>
              </w:rPr>
              <w:t>373.1</w:t>
            </w:r>
            <w:r>
              <w:rPr>
                <w:rFonts w:hint="eastAsia" w:ascii="华文中宋" w:hAnsi="华文中宋" w:eastAsia="华文中宋"/>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2010399</w:t>
            </w:r>
          </w:p>
        </w:tc>
        <w:tc>
          <w:tcPr>
            <w:tcW w:w="151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30</w:t>
            </w: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30</w:t>
            </w: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2080505</w:t>
            </w:r>
          </w:p>
        </w:tc>
        <w:tc>
          <w:tcPr>
            <w:tcW w:w="151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32.4</w:t>
            </w: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32.4</w:t>
            </w: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2101101</w:t>
            </w:r>
          </w:p>
        </w:tc>
        <w:tc>
          <w:tcPr>
            <w:tcW w:w="151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行政单位医疗</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17.6</w:t>
            </w: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17.6</w:t>
            </w: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91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2299999</w:t>
            </w:r>
          </w:p>
        </w:tc>
        <w:tc>
          <w:tcPr>
            <w:tcW w:w="151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其他支出</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lang w:val="en-US"/>
              </w:rPr>
            </w:pPr>
            <w:r>
              <w:rPr>
                <w:rFonts w:hint="eastAsia"/>
                <w:lang w:val="en-US" w:eastAsia="zh-CN"/>
              </w:rPr>
              <w:t>100.3</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100.3</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bookmarkEnd w:id="3"/>
      <w:tr>
        <w:tblPrEx>
          <w:tblLayout w:type="fixed"/>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36"/>
        <w:gridCol w:w="263"/>
        <w:gridCol w:w="1721"/>
        <w:gridCol w:w="1712"/>
        <w:gridCol w:w="1991"/>
        <w:gridCol w:w="1991"/>
        <w:gridCol w:w="1991"/>
        <w:gridCol w:w="1991"/>
        <w:gridCol w:w="2744"/>
      </w:tblGrid>
      <w:tr>
        <w:tblPrEx>
          <w:tblLayout w:type="fixed"/>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Layout w:type="fixed"/>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595" w:hRule="atLeast"/>
        </w:trPr>
        <w:tc>
          <w:tcPr>
            <w:tcW w:w="32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Layout w:type="fixed"/>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95" w:hRule="atLeast"/>
        </w:trPr>
        <w:tc>
          <w:tcPr>
            <w:tcW w:w="32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Layout w:type="fixed"/>
          <w:tblCellMar>
            <w:top w:w="0" w:type="dxa"/>
            <w:left w:w="108" w:type="dxa"/>
            <w:bottom w:w="0" w:type="dxa"/>
            <w:right w:w="108" w:type="dxa"/>
          </w:tblCellMar>
        </w:tblPrEx>
        <w:trPr>
          <w:trHeight w:val="595" w:hRule="atLeast"/>
        </w:trPr>
        <w:tc>
          <w:tcPr>
            <w:tcW w:w="322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b/>
                <w:i w:val="0"/>
                <w:color w:val="000000"/>
                <w:kern w:val="0"/>
                <w:sz w:val="22"/>
                <w:szCs w:val="22"/>
                <w:u w:val="none"/>
                <w:lang w:val="en-US" w:eastAsia="zh-CN" w:bidi="ar"/>
              </w:rPr>
              <w:t>987.9</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b/>
                <w:i w:val="0"/>
                <w:color w:val="000000"/>
                <w:kern w:val="0"/>
                <w:sz w:val="22"/>
                <w:szCs w:val="22"/>
                <w:u w:val="none"/>
                <w:lang w:val="en-US" w:eastAsia="zh-CN" w:bidi="ar"/>
              </w:rPr>
              <w:t>484.5</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b/>
                <w:i w:val="0"/>
                <w:color w:val="000000"/>
                <w:kern w:val="0"/>
                <w:sz w:val="22"/>
                <w:szCs w:val="22"/>
                <w:u w:val="none"/>
                <w:lang w:val="en-US" w:eastAsia="zh-CN" w:bidi="ar"/>
              </w:rPr>
              <w:t>503.3</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2010301</w:t>
            </w:r>
          </w:p>
        </w:tc>
        <w:tc>
          <w:tcPr>
            <w:tcW w:w="172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行政运行</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434.5</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434.5</w:t>
            </w:r>
          </w:p>
        </w:tc>
        <w:tc>
          <w:tcPr>
            <w:tcW w:w="199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2010306</w:t>
            </w:r>
          </w:p>
        </w:tc>
        <w:tc>
          <w:tcPr>
            <w:tcW w:w="172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政务公开审批</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373.1</w:t>
            </w:r>
          </w:p>
        </w:tc>
        <w:tc>
          <w:tcPr>
            <w:tcW w:w="199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373.1</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2010399</w:t>
            </w:r>
          </w:p>
        </w:tc>
        <w:tc>
          <w:tcPr>
            <w:tcW w:w="172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30</w:t>
            </w:r>
          </w:p>
        </w:tc>
        <w:tc>
          <w:tcPr>
            <w:tcW w:w="199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30</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2080505</w:t>
            </w:r>
          </w:p>
        </w:tc>
        <w:tc>
          <w:tcPr>
            <w:tcW w:w="172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32.4</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32.4</w:t>
            </w:r>
          </w:p>
        </w:tc>
        <w:tc>
          <w:tcPr>
            <w:tcW w:w="199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2101101</w:t>
            </w:r>
          </w:p>
        </w:tc>
        <w:tc>
          <w:tcPr>
            <w:tcW w:w="172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行政单位医疗</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17.6</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17.6</w:t>
            </w:r>
          </w:p>
        </w:tc>
        <w:tc>
          <w:tcPr>
            <w:tcW w:w="199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2299999</w:t>
            </w:r>
          </w:p>
        </w:tc>
        <w:tc>
          <w:tcPr>
            <w:tcW w:w="172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其他支出</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100.1</w:t>
            </w:r>
          </w:p>
        </w:tc>
        <w:tc>
          <w:tcPr>
            <w:tcW w:w="199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lang w:val="en-US"/>
              </w:rPr>
            </w:pPr>
            <w:r>
              <w:rPr>
                <w:rFonts w:hint="eastAsia" w:ascii="宋体" w:hAnsi="宋体" w:eastAsia="宋体" w:cs="宋体"/>
                <w:i w:val="0"/>
                <w:color w:val="000000"/>
                <w:kern w:val="0"/>
                <w:sz w:val="22"/>
                <w:szCs w:val="22"/>
                <w:u w:val="none"/>
                <w:lang w:val="en-US" w:eastAsia="zh-CN" w:bidi="ar"/>
              </w:rPr>
              <w:t>100.1</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Layout w:type="fixed"/>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bookmarkStart w:id="4" w:name="RANGE!A1:I22"/>
            <w:bookmarkEnd w:id="4"/>
            <w:bookmarkStart w:id="5" w:name="RANGE!A1:F16"/>
          </w:p>
        </w:tc>
        <w:tc>
          <w:tcPr>
            <w:tcW w:w="436"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987.9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837.6</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837.6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4"/>
                <w:szCs w:val="24"/>
                <w:u w:val="none"/>
                <w:lang w:val="en-US" w:eastAsia="zh-CN" w:bidi="ar"/>
              </w:rPr>
              <w:t>七、社会保障和就业支出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32.4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32.4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八、卫生健康支出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17.6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17.6</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jc w:val="both"/>
              <w:rPr>
                <w:rFonts w:hint="eastAsia" w:ascii="宋体" w:hAnsi="宋体" w:eastAsia="宋体" w:cs="宋体"/>
                <w:kern w:val="0"/>
                <w:sz w:val="22"/>
              </w:rPr>
            </w:pPr>
            <w:r>
              <w:rPr>
                <w:rFonts w:hint="eastAsia" w:ascii="宋体" w:hAnsi="宋体" w:eastAsia="宋体" w:cs="宋体"/>
                <w:i w:val="0"/>
                <w:color w:val="000000"/>
                <w:sz w:val="20"/>
                <w:szCs w:val="20"/>
                <w:u w:val="none"/>
                <w:lang w:val="en-US" w:eastAsia="zh-CN"/>
              </w:rPr>
              <w:t>九、其他支出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100.3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100.3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987.9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987.9</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987.9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987.9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987.9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987.9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987.9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Ind w:w="0" w:type="dxa"/>
        <w:tblLayout w:type="fixed"/>
        <w:tblCellMar>
          <w:top w:w="0" w:type="dxa"/>
          <w:left w:w="108" w:type="dxa"/>
          <w:bottom w:w="0" w:type="dxa"/>
          <w:right w:w="108" w:type="dxa"/>
        </w:tblCellMar>
      </w:tblPr>
      <w:tblGrid>
        <w:gridCol w:w="1200"/>
        <w:gridCol w:w="3527"/>
        <w:gridCol w:w="3000"/>
        <w:gridCol w:w="3492"/>
        <w:gridCol w:w="3000"/>
      </w:tblGrid>
      <w:tr>
        <w:tblPrEx>
          <w:tblLayout w:type="fixed"/>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987.9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484.5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503.4</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lang w:val="en-US"/>
              </w:rPr>
            </w:pPr>
            <w:bookmarkStart w:id="6" w:name="OLE_LINK3"/>
            <w:r>
              <w:rPr>
                <w:rFonts w:hint="eastAsia" w:ascii="宋体" w:hAnsi="宋体" w:eastAsia="宋体" w:cs="宋体"/>
                <w:i w:val="0"/>
                <w:color w:val="000000"/>
                <w:kern w:val="0"/>
                <w:sz w:val="22"/>
                <w:szCs w:val="22"/>
                <w:u w:val="none"/>
                <w:lang w:val="en-US" w:eastAsia="zh-CN" w:bidi="ar"/>
              </w:rPr>
              <w:t>434.5</w:t>
            </w:r>
            <w:bookmarkEnd w:id="6"/>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434.5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bookmarkStart w:id="7" w:name="OLE_LINK4" w:colFirst="2" w:colLast="2"/>
            <w:r>
              <w:rPr>
                <w:rFonts w:hint="eastAsia" w:ascii="宋体" w:hAnsi="宋体" w:eastAsia="宋体" w:cs="宋体"/>
                <w:i w:val="0"/>
                <w:color w:val="000000"/>
                <w:kern w:val="0"/>
                <w:sz w:val="22"/>
                <w:szCs w:val="22"/>
                <w:u w:val="none"/>
                <w:lang w:val="en-US" w:eastAsia="zh-CN" w:bidi="ar"/>
              </w:rPr>
              <w:t>2010306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政务公开审批</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373.1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373.1</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30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w:t>
            </w:r>
          </w:p>
        </w:tc>
      </w:tr>
      <w:bookmarkEnd w:id="7"/>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bookmarkStart w:id="8" w:name="OLE_LINK5" w:colFirst="2" w:colLast="2"/>
            <w:r>
              <w:rPr>
                <w:rFonts w:hint="eastAsia" w:ascii="宋体" w:hAnsi="宋体" w:eastAsia="宋体" w:cs="宋体"/>
                <w:i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32.4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32.4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lang w:val="en-US"/>
              </w:rPr>
            </w:pPr>
            <w:r>
              <w:rPr>
                <w:rFonts w:hint="eastAsia" w:ascii="宋体" w:hAnsi="宋体" w:eastAsia="宋体" w:cs="宋体"/>
                <w:i w:val="0"/>
                <w:color w:val="000000"/>
                <w:kern w:val="0"/>
                <w:sz w:val="22"/>
                <w:szCs w:val="22"/>
                <w:u w:val="none"/>
                <w:lang w:val="en-US" w:eastAsia="zh-CN" w:bidi="ar"/>
              </w:rPr>
              <w:t>17.6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bookmarkEnd w:id="8"/>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2299999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lang w:val="en-US"/>
              </w:rPr>
            </w:pPr>
            <w:bookmarkStart w:id="9" w:name="OLE_LINK6"/>
            <w:r>
              <w:rPr>
                <w:rFonts w:hint="eastAsia" w:ascii="宋体" w:hAnsi="宋体" w:eastAsia="宋体" w:cs="宋体"/>
                <w:i w:val="0"/>
                <w:color w:val="000000"/>
                <w:kern w:val="0"/>
                <w:sz w:val="22"/>
                <w:szCs w:val="22"/>
                <w:u w:val="none"/>
                <w:lang w:val="en-US" w:eastAsia="zh-CN" w:bidi="ar"/>
              </w:rPr>
              <w:t>100.3</w:t>
            </w:r>
            <w:bookmarkEnd w:id="9"/>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100.3</w:t>
            </w:r>
          </w:p>
        </w:tc>
      </w:tr>
      <w:tr>
        <w:tblPrEx>
          <w:tblLayout w:type="fixed"/>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5614" w:type="dxa"/>
        <w:tblInd w:w="0" w:type="dxa"/>
        <w:tblLayout w:type="fixed"/>
        <w:tblCellMar>
          <w:top w:w="0" w:type="dxa"/>
          <w:left w:w="108" w:type="dxa"/>
          <w:bottom w:w="0" w:type="dxa"/>
          <w:right w:w="108" w:type="dxa"/>
        </w:tblCellMar>
      </w:tblPr>
      <w:tblGrid>
        <w:gridCol w:w="1003"/>
        <w:gridCol w:w="240"/>
        <w:gridCol w:w="95"/>
        <w:gridCol w:w="1307"/>
        <w:gridCol w:w="1694"/>
        <w:gridCol w:w="425"/>
        <w:gridCol w:w="827"/>
        <w:gridCol w:w="982"/>
        <w:gridCol w:w="310"/>
        <w:gridCol w:w="1731"/>
        <w:gridCol w:w="388"/>
        <w:gridCol w:w="535"/>
        <w:gridCol w:w="1223"/>
        <w:gridCol w:w="361"/>
        <w:gridCol w:w="2119"/>
        <w:gridCol w:w="1433"/>
        <w:gridCol w:w="687"/>
        <w:gridCol w:w="254"/>
      </w:tblGrid>
      <w:tr>
        <w:tblPrEx>
          <w:tblLayout w:type="fixed"/>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Cs w:val="32"/>
              </w:rPr>
            </w:pPr>
            <w:bookmarkStart w:id="10" w:name="RANGE!A1:I34"/>
            <w:r>
              <w:rPr>
                <w:rFonts w:hint="eastAsia" w:ascii="华文中宋" w:hAnsi="华文中宋" w:eastAsia="华文中宋" w:cs="宋体"/>
                <w:color w:val="000000"/>
                <w:kern w:val="0"/>
                <w:szCs w:val="32"/>
              </w:rPr>
              <w:t>一般公共预算财政拨款基本支出决算明细表</w:t>
            </w:r>
            <w:bookmarkEnd w:id="10"/>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Layout w:type="fixed"/>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435.6</w:t>
            </w: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48.9</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119.2</w:t>
            </w: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13.2</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81.8</w:t>
            </w: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6.4</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66.1</w:t>
            </w: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66.9</w:t>
            </w: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32.4</w:t>
            </w: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17.6</w:t>
            </w: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29.3</w:t>
            </w: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22.3</w:t>
            </w: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rPr>
            </w:pPr>
          </w:p>
        </w:tc>
        <w:tc>
          <w:tcPr>
            <w:tcW w:w="9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2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1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43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435.6</w:t>
            </w:r>
          </w:p>
        </w:tc>
        <w:tc>
          <w:tcPr>
            <w:tcW w:w="9082"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48.9</w:t>
            </w:r>
          </w:p>
        </w:tc>
      </w:tr>
      <w:tr>
        <w:tblPrEx>
          <w:tblLayout w:type="fixed"/>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bookmarkEnd w:id="1"/>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2"/>
        <w:rPr>
          <w:sz w:val="72"/>
          <w:szCs w:val="72"/>
        </w:rPr>
      </w:pPr>
    </w:p>
    <w:p>
      <w:pPr>
        <w:pStyle w:val="12"/>
        <w:rPr>
          <w:sz w:val="72"/>
          <w:szCs w:val="72"/>
        </w:rPr>
      </w:pPr>
    </w:p>
    <w:p>
      <w:pPr>
        <w:pStyle w:val="12"/>
        <w:rPr>
          <w:sz w:val="72"/>
          <w:szCs w:val="72"/>
        </w:rPr>
      </w:pPr>
    </w:p>
    <w:p>
      <w:pPr>
        <w:pStyle w:val="12"/>
        <w:jc w:val="both"/>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987.9</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331.4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25.1</w:t>
      </w:r>
      <w:r>
        <w:rPr>
          <w:rFonts w:hint="eastAsia" w:ascii="Times New Roman" w:hAnsi="Times New Roman" w:eastAsia="仿宋_GB2312"/>
          <w:sz w:val="32"/>
          <w:szCs w:val="32"/>
        </w:rPr>
        <w:t>%，主要是</w:t>
      </w:r>
      <w:bookmarkStart w:id="11" w:name="OLE_LINK7"/>
      <w:r>
        <w:rPr>
          <w:rFonts w:hint="eastAsia" w:ascii="Times New Roman" w:hAnsi="Times New Roman" w:eastAsia="仿宋_GB2312"/>
          <w:sz w:val="32"/>
          <w:szCs w:val="32"/>
          <w:lang w:val="en-US" w:eastAsia="zh-CN"/>
        </w:rPr>
        <w:t>实行过“紧日子”的政策，压减财政支出</w:t>
      </w:r>
      <w:bookmarkEnd w:id="11"/>
      <w:r>
        <w:rPr>
          <w:rFonts w:hint="eastAsia" w:ascii="Times New Roman" w:hAnsi="Times New Roman" w:eastAsia="仿宋_GB2312"/>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987.9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987.9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987.9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484.5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503.4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987.9</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331.4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25.1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实行过“紧日子”的政策，压减财政支出。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987.9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331.4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25.1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实行过“紧日子”的政策，压减财政支出。</w:t>
      </w:r>
    </w:p>
    <w:p>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987.9</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837.6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32.4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卫生健康支出17.6万元，占1.8%；其他支出100.3万元，占10.1%。</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989.8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987.9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99.8</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lang w:val="en-US"/>
        </w:rPr>
      </w:pPr>
      <w:bookmarkStart w:id="12" w:name="OLE_LINK8"/>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val="en-US" w:eastAsia="zh-CN"/>
        </w:rPr>
        <w:t>类支出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900.6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837.6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%，决算数小于年初预算数的主要原因是</w:t>
      </w:r>
      <w:bookmarkEnd w:id="12"/>
      <w:r>
        <w:rPr>
          <w:rFonts w:hint="eastAsia" w:ascii="Times New Roman" w:hAnsi="Times New Roman" w:eastAsia="仿宋_GB2312"/>
          <w:sz w:val="32"/>
          <w:szCs w:val="32"/>
        </w:rPr>
        <w:t>：政策性调整压缩开支</w:t>
      </w:r>
      <w:r>
        <w:rPr>
          <w:rFonts w:hint="eastAsia" w:ascii="Times New Roman" w:hAnsi="Times New Roman" w:eastAsia="仿宋_GB2312"/>
          <w:sz w:val="32"/>
          <w:szCs w:val="32"/>
          <w:lang w:eastAsia="zh-CN"/>
        </w:rPr>
        <w:t>。</w:t>
      </w:r>
    </w:p>
    <w:p>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其他支出</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outlineLvl w:val="9"/>
        <w:rPr>
          <w:rFonts w:hint="eastAsia" w:ascii="Times New Roman" w:hAnsi="Times New Roman" w:eastAsia="仿宋_GB2312"/>
          <w:sz w:val="32"/>
          <w:szCs w:val="32"/>
          <w:lang w:val="en-US" w:eastAsia="zh-CN"/>
        </w:rPr>
      </w:pPr>
      <w:bookmarkStart w:id="13" w:name="OLE_LINK9"/>
      <w:r>
        <w:rPr>
          <w:rFonts w:hint="eastAsia" w:ascii="Times New Roman" w:hAnsi="Times New Roman" w:eastAsia="仿宋_GB2312"/>
          <w:sz w:val="32"/>
          <w:szCs w:val="32"/>
          <w:lang w:val="en-US" w:eastAsia="zh-CN"/>
        </w:rPr>
        <w:t>年初预算为0万元，支出决算为100.3万元，决算算数大于年初预算数的主要原因是其他支出包括的项目复杂多样，出于谨慎的原则，没有发生的事情不列预算，因此预算编制时没有列该项目。</w:t>
      </w:r>
    </w:p>
    <w:bookmarkEnd w:id="13"/>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32.4</w:t>
      </w:r>
      <w:r>
        <w:rPr>
          <w:rFonts w:hint="eastAsia" w:ascii="Times New Roman" w:hAnsi="Times New Roman" w:eastAsia="仿宋_GB2312"/>
          <w:sz w:val="32"/>
          <w:szCs w:val="32"/>
        </w:rPr>
        <w:t>万元，决算数大于年初预算数</w:t>
      </w:r>
      <w:r>
        <w:rPr>
          <w:rFonts w:hint="eastAsia" w:ascii="Times New Roman" w:hAnsi="Times New Roman" w:eastAsia="仿宋_GB2312"/>
          <w:sz w:val="32"/>
          <w:szCs w:val="32"/>
          <w:lang w:val="en-US" w:eastAsia="zh-CN"/>
        </w:rPr>
        <w:t>32.4万元</w:t>
      </w:r>
      <w:r>
        <w:rPr>
          <w:rFonts w:hint="eastAsia" w:ascii="Times New Roman" w:hAnsi="Times New Roman" w:eastAsia="仿宋_GB2312"/>
          <w:sz w:val="32"/>
          <w:szCs w:val="32"/>
        </w:rPr>
        <w:t>的主要原因是：</w:t>
      </w:r>
      <w:bookmarkStart w:id="14" w:name="OLE_LINK13"/>
      <w:r>
        <w:rPr>
          <w:rFonts w:hint="eastAsia" w:ascii="Times New Roman" w:hAnsi="Times New Roman" w:eastAsia="仿宋_GB2312"/>
          <w:sz w:val="32"/>
          <w:szCs w:val="32"/>
          <w:lang w:val="en-US" w:eastAsia="zh-CN"/>
        </w:rPr>
        <w:t>考虑到人员经费中包含了社会保障和就业支出的经费，因此在预算编制时没有列该项目的经费，在执行过程中养老保险是要每个月都要交的，产生了费用相关费用，在决算中将该笔经费列入了决算。</w:t>
      </w:r>
      <w:bookmarkEnd w:id="14"/>
    </w:p>
    <w:p>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17.6万元，决算数大于年初预算数17.6万元的主要原因是：考虑到人员经费中包含了卫生健康支出的经费，因此在预算编制时没有列该项目的经费，在执行过程中医疗保险是要每个月都要交的，产生了费用相关费用，在决算中将该笔经费列入了决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484.5</w:t>
      </w:r>
      <w:r>
        <w:rPr>
          <w:rFonts w:hint="eastAsia" w:ascii="Times New Roman" w:hAnsi="Times New Roman" w:eastAsia="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435.6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89.9</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136.8万元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81.8万元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66.1万元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绩效工资66.9万元、机关事业单位基本养老保险32.4万元、职工基本医疗保险缴费29.3万元、住房公积金22.3万元。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48.9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10.1</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13.2万元、工会经费10万元、印刷费6.4万元、差旅费4万元、其他交通费4万元、福利费3万元、劳务费3万元、维修费3万元、公务接待2.3万元。</w:t>
      </w:r>
    </w:p>
    <w:p>
      <w:pPr>
        <w:pStyle w:val="12"/>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65.7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压减三公经费的开支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严格控制”三公经费”，压减“三公”经费的开支</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lang w:val="en-US"/>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单位没有国（境）外的业务，不需要去交流学习，与上年相比保持一致。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65.7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遵循过紧日子的原则，逐年压减“三公”经费</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逐年压减三公经费的开支</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单位无外出巡逻等用车的业务，无需购买公务用车</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相等</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单位无公务用车，因此也没有公务用车维护费用</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一致</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单位没有需要因公出国（境）的业务，因此没有相关的费用。</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183</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永州市数据局来我局考察及市内兄弟单位来我局交流学习</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单位无公务用车需求。</w:t>
      </w:r>
      <w:r>
        <w:rPr>
          <w:rFonts w:hint="eastAsia" w:ascii="Times New Roman" w:hAnsi="Times New Roman" w:eastAsia="仿宋_GB2312"/>
          <w:sz w:val="32"/>
          <w:szCs w:val="32"/>
        </w:rPr>
        <w:t>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本单位无政府性基金收支。</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48.9</w:t>
      </w:r>
      <w:r>
        <w:rPr>
          <w:rFonts w:hint="eastAsia" w:ascii="Times New Roman" w:hAnsi="Times New Roman" w:eastAsia="仿宋_GB2312"/>
          <w:sz w:val="32"/>
          <w:szCs w:val="32"/>
        </w:rPr>
        <w:t>万元，比年初预算</w:t>
      </w:r>
      <w:r>
        <w:rPr>
          <w:rFonts w:hint="eastAsia" w:ascii="Times New Roman" w:hAnsi="Times New Roman" w:eastAsia="仿宋_GB2312"/>
          <w:sz w:val="32"/>
          <w:szCs w:val="32"/>
          <w:lang w:val="en-US" w:eastAsia="zh-CN"/>
        </w:rPr>
        <w:t>减少9.6万元，主要原因是遵循过“紧日子”的原则，压减公用经费的支出</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单位没有相关的会议支出费用</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r>
        <w:rPr>
          <w:rFonts w:hint="eastAsia" w:ascii="Times New Roman" w:hAnsi="Times New Roman" w:eastAsia="仿宋_GB2312"/>
          <w:sz w:val="32"/>
          <w:szCs w:val="32"/>
          <w:lang w:val="en-US" w:eastAsia="zh-CN"/>
        </w:rPr>
        <w:t>没有举办</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w:t>
      </w:r>
      <w:bookmarkStart w:id="15" w:name="OLE_LINK10"/>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制度建设与流程规范。内控机制：建立预算绩效管理领导小组，制定《财务联审会签制度》《资产管理制度》等，明确资金审批流程和绩效责任主体。</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动态监控：实施预算执行预警机制，按月分析支出进度，对偏离目标超10%的项目启动纠偏程序。</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全过程绩效评价实施。评价范围全覆盖：推行部门整体支出和项目支出“双评价”我单位的实现绩效自评率达98%。多维度评价方法：采用“定性+定量”结合方式，通过实地核查、问卷调研综合评分。</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bookmarkEnd w:id="15"/>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履职效能显著提升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政务服务优化，大力推行高效办成一件事，不断提升政务中心工作人员的业务和水平，办事能力水平等到提升，为群众办事更加高效，更好的服务群众。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优化营商环境、联动处置、行政审批改革、社会信用建设都在永州市内排在前列。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数字化赋能。推动政务大厅智能化改造，窗口办事效率提升；网络安全防御能力全面提升。</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问题一：</w:t>
      </w:r>
      <w:r>
        <w:rPr>
          <w:rFonts w:hint="eastAsia" w:ascii="Times New Roman" w:hAnsi="Times New Roman" w:eastAsia="仿宋_GB2312"/>
          <w:sz w:val="32"/>
          <w:szCs w:val="32"/>
        </w:rPr>
        <w:t>预算编制精准度不足</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原</w:t>
      </w:r>
      <w:r>
        <w:rPr>
          <w:rFonts w:hint="eastAsia" w:ascii="Times New Roman" w:hAnsi="Times New Roman" w:eastAsia="仿宋_GB2312"/>
          <w:sz w:val="32"/>
          <w:szCs w:val="32"/>
        </w:rPr>
        <w:t>因：</w:t>
      </w:r>
      <w:r>
        <w:rPr>
          <w:rFonts w:hint="eastAsia" w:ascii="Times New Roman" w:hAnsi="Times New Roman" w:eastAsia="仿宋_GB2312"/>
          <w:sz w:val="32"/>
          <w:szCs w:val="32"/>
          <w:lang w:val="en-US" w:eastAsia="zh-CN"/>
        </w:rPr>
        <w:t>在编制预算时仅考虑了人员经费和公用经费，没有考虑到其他费用支出；</w:t>
      </w:r>
      <w:r>
        <w:rPr>
          <w:rFonts w:hint="eastAsia" w:ascii="Times New Roman" w:hAnsi="Times New Roman" w:eastAsia="仿宋_GB2312"/>
          <w:sz w:val="32"/>
          <w:szCs w:val="32"/>
        </w:rPr>
        <w:t>零基预算改革下部分科目</w:t>
      </w:r>
      <w:r>
        <w:rPr>
          <w:rFonts w:hint="eastAsia" w:ascii="Times New Roman" w:hAnsi="Times New Roman" w:eastAsia="仿宋_GB2312"/>
          <w:sz w:val="32"/>
          <w:szCs w:val="32"/>
          <w:lang w:val="en-US" w:eastAsia="zh-CN"/>
        </w:rPr>
        <w:t>没有</w:t>
      </w:r>
      <w:r>
        <w:rPr>
          <w:rFonts w:hint="eastAsia" w:ascii="Times New Roman" w:hAnsi="Times New Roman" w:eastAsia="仿宋_GB2312"/>
          <w:sz w:val="32"/>
          <w:szCs w:val="32"/>
        </w:rPr>
        <w:t>预留缺口</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问题二：绩效评价体系不完善，没有明确的绩效考核制度。</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原因：绩效考核没有形成体系。考核指标只有一个大致的标准，没有将绩效考核的各项指标细化到单位的日常工作中去。</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改进方向</w:t>
      </w:r>
    </w:p>
    <w:p>
      <w:pPr>
        <w:pStyle w:val="12"/>
        <w:keepNext w:val="0"/>
        <w:keepLines w:val="0"/>
        <w:pageBreakBefore w:val="0"/>
        <w:widowControl w:val="0"/>
        <w:numPr>
          <w:ilvl w:val="0"/>
          <w:numId w:val="4"/>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财务人员不断学习，提升财务素养和能力。在预算编制的过程中，坚持“应列尽列”的原则，在零基预算的基础上将工作中必要的预算充分考虑，完善相关签字手续，列入的预算中去。</w:t>
      </w:r>
    </w:p>
    <w:p>
      <w:pPr>
        <w:pStyle w:val="12"/>
        <w:keepNext w:val="0"/>
        <w:keepLines w:val="0"/>
        <w:pageBreakBefore w:val="0"/>
        <w:widowControl w:val="0"/>
        <w:numPr>
          <w:ilvl w:val="0"/>
          <w:numId w:val="4"/>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完善绩效评价系统。将绩效考核指标细化到日常的工作中去，使得评价更加客观公平。</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rPr>
      </w:pPr>
    </w:p>
    <w:p>
      <w:pPr>
        <w:pStyle w:val="12"/>
        <w:jc w:val="center"/>
        <w:rPr>
          <w:sz w:val="72"/>
          <w:szCs w:val="72"/>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numPr>
          <w:ilvl w:val="0"/>
          <w:numId w:val="5"/>
        </w:numPr>
        <w:kinsoku/>
        <w:wordWrap/>
        <w:overflowPunct/>
        <w:topLinePunct w:val="0"/>
        <w:autoSpaceDE/>
        <w:autoSpaceDN/>
        <w:bidi w:val="0"/>
        <w:adjustRightInd/>
        <w:ind w:firstLine="640" w:firstLineChars="200"/>
        <w:jc w:val="left"/>
        <w:textAlignment w:val="auto"/>
        <w:outlineLvl w:val="9"/>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一般公共预算：以税收为主体，用于民生保障、经济发展、国家安全等公共领域的收支计划，按收支平衡原则编制</w:t>
      </w:r>
    </w:p>
    <w:p>
      <w:pPr>
        <w:keepNext w:val="0"/>
        <w:keepLines w:val="0"/>
        <w:pageBreakBefore w:val="0"/>
        <w:numPr>
          <w:ilvl w:val="0"/>
          <w:numId w:val="0"/>
        </w:numPr>
        <w:kinsoku/>
        <w:wordWrap/>
        <w:overflowPunct/>
        <w:topLinePunct w:val="0"/>
        <w:autoSpaceDE/>
        <w:autoSpaceDN/>
        <w:bidi w:val="0"/>
        <w:adjustRightInd/>
        <w:ind w:firstLine="640" w:firstLineChars="200"/>
        <w:jc w:val="left"/>
        <w:textAlignment w:val="auto"/>
        <w:outlineLvl w:val="9"/>
        <w:rPr>
          <w:rFonts w:hint="eastAsia"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rPr>
        <w:t>二、</w:t>
      </w:r>
      <w:r>
        <w:rPr>
          <w:rFonts w:hint="eastAsia" w:cs="黑体" w:asciiTheme="minorEastAsia" w:hAnsiTheme="minorEastAsia"/>
          <w:color w:val="000000"/>
          <w:kern w:val="0"/>
          <w:sz w:val="32"/>
          <w:szCs w:val="32"/>
          <w:lang w:val="en-US" w:eastAsia="zh-CN"/>
        </w:rPr>
        <w:t>政府性基金预算：依法向特定对象征收的专项资金（如土地出让金），按“以收定支”原则专项用于特定公共事业</w:t>
      </w:r>
    </w:p>
    <w:p>
      <w:pPr>
        <w:keepNext w:val="0"/>
        <w:keepLines w:val="0"/>
        <w:pageBreakBefore w:val="0"/>
        <w:kinsoku/>
        <w:wordWrap/>
        <w:overflowPunct/>
        <w:topLinePunct w:val="0"/>
        <w:autoSpaceDE/>
        <w:autoSpaceDN/>
        <w:bidi w:val="0"/>
        <w:adjustRightInd/>
        <w:ind w:firstLine="640" w:firstLineChars="200"/>
        <w:jc w:val="left"/>
        <w:textAlignment w:val="auto"/>
        <w:outlineLvl w:val="9"/>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三、国有资本经营预算</w:t>
      </w:r>
      <w:r>
        <w:rPr>
          <w:rFonts w:hint="eastAsia" w:cs="黑体" w:asciiTheme="minorEastAsia" w:hAnsiTheme="minorEastAsia"/>
          <w:color w:val="000000"/>
          <w:kern w:val="0"/>
          <w:sz w:val="32"/>
          <w:szCs w:val="32"/>
          <w:lang w:eastAsia="zh-CN"/>
        </w:rPr>
        <w:t>：国有企业上缴收益形成的预算，可调入一般公共预算，不列赤字</w:t>
      </w:r>
    </w:p>
    <w:p>
      <w:pPr>
        <w:pStyle w:val="2"/>
        <w:keepNext w:val="0"/>
        <w:keepLines w:val="0"/>
        <w:pageBreakBefore w:val="0"/>
        <w:kinsoku/>
        <w:wordWrap/>
        <w:overflowPunct/>
        <w:topLinePunct w:val="0"/>
        <w:autoSpaceDE/>
        <w:autoSpaceDN/>
        <w:bidi w:val="0"/>
        <w:adjustRightInd/>
        <w:ind w:firstLine="640" w:firstLineChars="200"/>
        <w:textAlignment w:val="auto"/>
        <w:outlineLvl w:val="9"/>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四、财政拨款收入：单位从本级财政部门取得的预算资金，不含非税收入</w:t>
      </w:r>
    </w:p>
    <w:p>
      <w:pPr>
        <w:pStyle w:val="3"/>
        <w:keepNext w:val="0"/>
        <w:keepLines w:val="0"/>
        <w:pageBreakBefore w:val="0"/>
        <w:kinsoku/>
        <w:wordWrap/>
        <w:overflowPunct/>
        <w:topLinePunct w:val="0"/>
        <w:autoSpaceDE/>
        <w:autoSpaceDN/>
        <w:bidi w:val="0"/>
        <w:adjustRightInd/>
        <w:ind w:left="0" w:leftChars="0" w:firstLine="640" w:firstLineChars="200"/>
        <w:textAlignment w:val="auto"/>
        <w:outlineLvl w:val="9"/>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五、财政专户管理资金：教育收费等纳入财政专户管理的非税收入</w:t>
      </w:r>
    </w:p>
    <w:p>
      <w:pPr>
        <w:keepNext w:val="0"/>
        <w:keepLines w:val="0"/>
        <w:pageBreakBefore w:val="0"/>
        <w:kinsoku/>
        <w:wordWrap/>
        <w:overflowPunct/>
        <w:topLinePunct w:val="0"/>
        <w:autoSpaceDE/>
        <w:autoSpaceDN/>
        <w:bidi w:val="0"/>
        <w:adjustRightInd/>
        <w:ind w:firstLine="640" w:firstLineChars="200"/>
        <w:textAlignment w:val="auto"/>
        <w:outlineLvl w:val="9"/>
        <w:rPr>
          <w:rFonts w:hint="eastAsia"/>
          <w:lang w:val="en-US" w:eastAsia="zh-CN"/>
        </w:rPr>
      </w:pPr>
      <w:r>
        <w:rPr>
          <w:rFonts w:hint="eastAsia" w:cs="黑体" w:asciiTheme="minorEastAsia" w:hAnsiTheme="minorEastAsia"/>
          <w:color w:val="000000"/>
          <w:kern w:val="0"/>
          <w:sz w:val="32"/>
          <w:szCs w:val="32"/>
          <w:lang w:val="en-US" w:eastAsia="zh-CN"/>
        </w:rPr>
        <w:t>六、事业收入：事业单位开展专业活动取得的收入</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rPr>
          <w:sz w:val="72"/>
          <w:szCs w:val="72"/>
        </w:rPr>
      </w:pPr>
      <w:r>
        <w:rPr>
          <w:sz w:val="72"/>
          <w:szCs w:val="72"/>
        </w:rPr>
        <w:br w:type="page"/>
      </w: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pStyle w:val="12"/>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2"/>
        <w:jc w:val="center"/>
        <w:rPr>
          <w:sz w:val="72"/>
          <w:szCs w:val="72"/>
        </w:rPr>
      </w:pPr>
    </w:p>
    <w:p>
      <w:pPr>
        <w:pStyle w:val="12"/>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A5C00A"/>
    <w:multiLevelType w:val="singleLevel"/>
    <w:tmpl w:val="A5A5C00A"/>
    <w:lvl w:ilvl="0" w:tentative="0">
      <w:start w:val="2"/>
      <w:numFmt w:val="decimal"/>
      <w:suff w:val="nothing"/>
      <w:lvlText w:val="%1、"/>
      <w:lvlJc w:val="left"/>
    </w:lvl>
  </w:abstractNum>
  <w:abstractNum w:abstractNumId="1">
    <w:nsid w:val="E5166CCA"/>
    <w:multiLevelType w:val="singleLevel"/>
    <w:tmpl w:val="E5166CCA"/>
    <w:lvl w:ilvl="0" w:tentative="0">
      <w:start w:val="1"/>
      <w:numFmt w:val="decimal"/>
      <w:suff w:val="nothing"/>
      <w:lvlText w:val="（%1）"/>
      <w:lvlJc w:val="left"/>
    </w:lvl>
  </w:abstractNum>
  <w:abstractNum w:abstractNumId="2">
    <w:nsid w:val="F102DB93"/>
    <w:multiLevelType w:val="singleLevel"/>
    <w:tmpl w:val="F102DB93"/>
    <w:lvl w:ilvl="0" w:tentative="0">
      <w:start w:val="7"/>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68AF5B"/>
    <w:multiLevelType w:val="singleLevel"/>
    <w:tmpl w:val="4168AF5B"/>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D033F2"/>
    <w:rsid w:val="056037E8"/>
    <w:rsid w:val="079A249A"/>
    <w:rsid w:val="1D97DEFF"/>
    <w:rsid w:val="1DFF72E5"/>
    <w:rsid w:val="1EFC6F07"/>
    <w:rsid w:val="22486EB3"/>
    <w:rsid w:val="22DF3DF4"/>
    <w:rsid w:val="2FDF85B8"/>
    <w:rsid w:val="2FFFEE04"/>
    <w:rsid w:val="323256B1"/>
    <w:rsid w:val="34DF85B0"/>
    <w:rsid w:val="356406E1"/>
    <w:rsid w:val="36937559"/>
    <w:rsid w:val="383136E6"/>
    <w:rsid w:val="39E724E0"/>
    <w:rsid w:val="3A4A72E5"/>
    <w:rsid w:val="3B8F36BC"/>
    <w:rsid w:val="45B47059"/>
    <w:rsid w:val="491FF225"/>
    <w:rsid w:val="4DE209C8"/>
    <w:rsid w:val="4FC4743C"/>
    <w:rsid w:val="4FFD214C"/>
    <w:rsid w:val="509E71BC"/>
    <w:rsid w:val="5777D4F5"/>
    <w:rsid w:val="59DD8326"/>
    <w:rsid w:val="5DEF592A"/>
    <w:rsid w:val="5FC6BB1E"/>
    <w:rsid w:val="5FF720F1"/>
    <w:rsid w:val="62404C62"/>
    <w:rsid w:val="65AA7342"/>
    <w:rsid w:val="67D3333A"/>
    <w:rsid w:val="67FF5C0B"/>
    <w:rsid w:val="68D17BCA"/>
    <w:rsid w:val="6EFC0924"/>
    <w:rsid w:val="6FB74722"/>
    <w:rsid w:val="6FEF8B7E"/>
    <w:rsid w:val="71A6591B"/>
    <w:rsid w:val="737D59BA"/>
    <w:rsid w:val="77C37683"/>
    <w:rsid w:val="79FF515B"/>
    <w:rsid w:val="7C2C3A43"/>
    <w:rsid w:val="7C701BE5"/>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link w:val="7"/>
    <w:qFormat/>
    <w:uiPriority w:val="99"/>
    <w:rPr>
      <w:sz w:val="18"/>
      <w:szCs w:val="18"/>
    </w:rPr>
  </w:style>
  <w:style w:type="character" w:customStyle="1" w:styleId="11">
    <w:name w:val="页脚 Char"/>
    <w:basedOn w:val="8"/>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5"/>
    <w:semiHidden/>
    <w:qFormat/>
    <w:uiPriority w:val="99"/>
    <w:rPr>
      <w:sz w:val="18"/>
      <w:szCs w:val="18"/>
    </w:rPr>
  </w:style>
  <w:style w:type="character" w:customStyle="1" w:styleId="15">
    <w:name w:val="font01"/>
    <w:basedOn w:val="8"/>
    <w:qFormat/>
    <w:uiPriority w:val="0"/>
    <w:rPr>
      <w:rFonts w:hint="eastAsia" w:ascii="宋体" w:hAnsi="宋体" w:eastAsia="宋体" w:cs="宋体"/>
      <w:color w:val="000000"/>
      <w:sz w:val="22"/>
      <w:szCs w:val="22"/>
      <w:u w:val="none"/>
    </w:rPr>
  </w:style>
  <w:style w:type="character" w:customStyle="1" w:styleId="16">
    <w:name w:val="font21"/>
    <w:basedOn w:val="8"/>
    <w:qFormat/>
    <w:uiPriority w:val="0"/>
    <w:rPr>
      <w:rFonts w:hint="eastAsia" w:ascii="宋体" w:hAnsi="宋体" w:eastAsia="宋体" w:cs="宋体"/>
      <w:color w:val="000000"/>
      <w:sz w:val="24"/>
      <w:szCs w:val="24"/>
      <w:u w:val="none"/>
    </w:rPr>
  </w:style>
  <w:style w:type="character" w:customStyle="1" w:styleId="17">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33</TotalTime>
  <ScaleCrop>false</ScaleCrop>
  <LinksUpToDate>false</LinksUpToDate>
  <CharactersWithSpaces>9008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2025-08-27T07:40:06Z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4614E527DDC3447688902339FB4025AB_12</vt:lpwstr>
  </property>
</Properties>
</file>