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7423F1">
      <w:pPr>
        <w:spacing w:line="570" w:lineRule="atLeast"/>
        <w:ind w:firstLine="420"/>
        <w:jc w:val="center"/>
        <w:rPr>
          <w:rFonts w:hint="eastAsia" w:ascii="方正小标宋简体" w:hAnsi="方正小标宋简体" w:eastAsia="方正小标宋简体" w:cs="方正小标宋简体"/>
          <w:b/>
          <w:sz w:val="44"/>
          <w:szCs w:val="44"/>
        </w:rPr>
      </w:pPr>
    </w:p>
    <w:p w14:paraId="69F573C3">
      <w:pPr>
        <w:spacing w:line="570" w:lineRule="atLeast"/>
        <w:ind w:firstLine="420"/>
        <w:jc w:val="center"/>
        <w:rPr>
          <w:rFonts w:hint="eastAsia" w:ascii="方正小标宋简体" w:hAnsi="方正小标宋简体" w:eastAsia="方正小标宋简体" w:cs="方正小标宋简体"/>
          <w:b/>
          <w:sz w:val="44"/>
          <w:szCs w:val="44"/>
        </w:rPr>
      </w:pPr>
    </w:p>
    <w:p w14:paraId="73DF61D4">
      <w:pPr>
        <w:spacing w:line="570" w:lineRule="atLeast"/>
        <w:ind w:firstLine="420"/>
        <w:jc w:val="center"/>
        <w:rPr>
          <w:rFonts w:hint="eastAsia" w:ascii="方正小标宋简体" w:hAnsi="方正小标宋简体" w:eastAsia="方正小标宋简体" w:cs="方正小标宋简体"/>
          <w:b/>
          <w:sz w:val="44"/>
          <w:szCs w:val="44"/>
        </w:rPr>
      </w:pPr>
    </w:p>
    <w:p w14:paraId="5C55487C">
      <w:pPr>
        <w:spacing w:line="570" w:lineRule="atLeast"/>
        <w:ind w:firstLine="420"/>
        <w:jc w:val="center"/>
        <w:rPr>
          <w:rFonts w:hint="eastAsia" w:ascii="方正小标宋简体" w:hAnsi="方正小标宋简体" w:eastAsia="方正小标宋简体" w:cs="方正小标宋简体"/>
          <w:b/>
          <w:sz w:val="44"/>
          <w:szCs w:val="44"/>
        </w:rPr>
      </w:pPr>
    </w:p>
    <w:p w14:paraId="143A5109">
      <w:pPr>
        <w:spacing w:line="570" w:lineRule="atLeast"/>
        <w:ind w:firstLine="420"/>
        <w:jc w:val="center"/>
        <w:rPr>
          <w:rFonts w:hint="eastAsia" w:ascii="方正小标宋简体" w:hAnsi="方正小标宋简体" w:eastAsia="方正小标宋简体" w:cs="方正小标宋简体"/>
          <w:b/>
          <w:sz w:val="44"/>
          <w:szCs w:val="44"/>
        </w:rPr>
      </w:pPr>
    </w:p>
    <w:p w14:paraId="49467606">
      <w:pPr>
        <w:spacing w:line="570" w:lineRule="atLeas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6</w:t>
      </w:r>
      <w:r>
        <w:rPr>
          <w:rFonts w:hint="eastAsia" w:ascii="方正小标宋简体" w:hAnsi="方正小标宋简体" w:eastAsia="方正小标宋简体" w:cs="方正小标宋简体"/>
          <w:b/>
          <w:sz w:val="44"/>
          <w:szCs w:val="44"/>
        </w:rPr>
        <w:t>年</w:t>
      </w:r>
      <w:bookmarkStart w:id="0" w:name="AGENCY_NAME_TITLE"/>
      <w:r>
        <w:rPr>
          <w:rFonts w:hint="eastAsia" w:ascii="方正小标宋简体" w:hAnsi="方正小标宋简体" w:eastAsia="方正小标宋简体" w:cs="方正小标宋简体"/>
          <w:b/>
          <w:bCs/>
          <w:sz w:val="44"/>
          <w:szCs w:val="44"/>
        </w:rPr>
        <w:t>道县发展和改革局</w:t>
      </w:r>
      <w:bookmarkEnd w:id="0"/>
    </w:p>
    <w:p w14:paraId="0D4E7E26">
      <w:pPr>
        <w:spacing w:line="570" w:lineRule="atLeast"/>
        <w:jc w:val="center"/>
        <w:rPr>
          <w:rFonts w:ascii="方正小标宋简体" w:hAnsi="方正小标宋简体" w:eastAsia="方正小标宋简体" w:cs="方正小标宋简体"/>
          <w:b/>
          <w:sz w:val="44"/>
          <w:szCs w:val="44"/>
        </w:rPr>
        <w:sectPr>
          <w:pgSz w:w="11906" w:h="16838" w:orient="landscape"/>
          <w:pgMar w:top="2098" w:right="1587" w:bottom="1984" w:left="1587" w:header="851" w:footer="992" w:gutter="0"/>
          <w:cols w:space="1701" w:num="1"/>
        </w:sectPr>
      </w:pPr>
      <w:r>
        <w:rPr>
          <w:rFonts w:hint="eastAsia" w:ascii="方正小标宋简体" w:hAnsi="方正小标宋简体" w:eastAsia="方正小标宋简体" w:cs="方正小标宋简体"/>
          <w:b/>
          <w:sz w:val="44"/>
          <w:szCs w:val="44"/>
        </w:rPr>
        <w:t>部门预算公开</w:t>
      </w:r>
    </w:p>
    <w:p w14:paraId="7C12EE5B">
      <w:pPr>
        <w:widowControl/>
        <w:spacing w:line="570" w:lineRule="atLeast"/>
        <w:jc w:val="center"/>
        <w:rPr>
          <w:rFonts w:eastAsia="黑体"/>
          <w:b/>
          <w:sz w:val="36"/>
          <w:szCs w:val="36"/>
        </w:rPr>
      </w:pPr>
      <w:r>
        <w:rPr>
          <w:rFonts w:eastAsia="黑体"/>
          <w:b/>
          <w:sz w:val="36"/>
          <w:szCs w:val="36"/>
        </w:rPr>
        <w:t xml:space="preserve">目 </w:t>
      </w:r>
      <w:r>
        <w:rPr>
          <w:rFonts w:hint="eastAsia" w:eastAsia="黑体"/>
          <w:b/>
          <w:sz w:val="36"/>
          <w:szCs w:val="36"/>
        </w:rPr>
        <w:t xml:space="preserve">  </w:t>
      </w:r>
      <w:r>
        <w:rPr>
          <w:rFonts w:eastAsia="黑体"/>
          <w:b/>
          <w:sz w:val="36"/>
          <w:szCs w:val="36"/>
        </w:rPr>
        <w:t>录</w:t>
      </w:r>
    </w:p>
    <w:p w14:paraId="1F095A65">
      <w:pPr>
        <w:widowControl/>
        <w:spacing w:line="570" w:lineRule="atLeast"/>
        <w:ind w:firstLine="630"/>
        <w:rPr>
          <w:rFonts w:hint="eastAsia" w:ascii="黑体" w:hAnsi="黑体" w:eastAsia="黑体" w:cs="黑体"/>
          <w:b/>
          <w:bCs/>
          <w:sz w:val="32"/>
          <w:szCs w:val="32"/>
        </w:rPr>
      </w:pPr>
      <w:r>
        <w:rPr>
          <w:rFonts w:hint="eastAsia" w:ascii="黑体" w:hAnsi="黑体" w:eastAsia="黑体" w:cs="黑体"/>
          <w:b/>
          <w:bCs/>
          <w:sz w:val="32"/>
          <w:szCs w:val="32"/>
        </w:rPr>
        <w:t>第一部分 202</w:t>
      </w:r>
      <w:r>
        <w:rPr>
          <w:rFonts w:hint="eastAsia" w:ascii="黑体" w:hAnsi="黑体" w:eastAsia="黑体" w:cs="黑体"/>
          <w:b/>
          <w:bCs/>
          <w:sz w:val="32"/>
          <w:szCs w:val="32"/>
          <w:lang w:val="en-US" w:eastAsia="zh-CN"/>
        </w:rPr>
        <w:t>6</w:t>
      </w:r>
      <w:r>
        <w:rPr>
          <w:rFonts w:hint="eastAsia" w:ascii="黑体" w:hAnsi="黑体" w:eastAsia="黑体" w:cs="黑体"/>
          <w:b/>
          <w:bCs/>
          <w:sz w:val="32"/>
          <w:szCs w:val="32"/>
        </w:rPr>
        <w:t>年</w:t>
      </w:r>
      <w:r>
        <w:rPr>
          <w:rFonts w:hint="eastAsia" w:ascii="黑体" w:hAnsi="黑体" w:eastAsia="黑体" w:cs="黑体"/>
          <w:b/>
          <w:sz w:val="32"/>
          <w:szCs w:val="32"/>
        </w:rPr>
        <w:t>部门</w:t>
      </w:r>
      <w:r>
        <w:rPr>
          <w:rFonts w:hint="eastAsia" w:ascii="黑体" w:hAnsi="黑体" w:eastAsia="黑体" w:cs="黑体"/>
          <w:b/>
          <w:bCs/>
          <w:sz w:val="32"/>
          <w:szCs w:val="32"/>
        </w:rPr>
        <w:t>预算公开说明</w:t>
      </w:r>
    </w:p>
    <w:p w14:paraId="3B7C7DF6">
      <w:pPr>
        <w:widowControl/>
        <w:spacing w:line="570" w:lineRule="atLeast"/>
        <w:ind w:firstLine="630"/>
        <w:rPr>
          <w:rFonts w:eastAsia="黑体"/>
          <w:b/>
          <w:bCs/>
          <w:sz w:val="32"/>
          <w:szCs w:val="32"/>
        </w:rPr>
      </w:pPr>
      <w:r>
        <w:rPr>
          <w:rFonts w:eastAsia="黑体"/>
          <w:b/>
          <w:bCs/>
          <w:sz w:val="32"/>
          <w:szCs w:val="32"/>
        </w:rPr>
        <w:t>一、</w:t>
      </w:r>
      <w:r>
        <w:rPr>
          <w:rFonts w:hint="eastAsia" w:eastAsia="黑体"/>
          <w:b/>
          <w:bCs/>
          <w:sz w:val="32"/>
          <w:szCs w:val="32"/>
        </w:rPr>
        <w:t>部门</w:t>
      </w:r>
      <w:r>
        <w:rPr>
          <w:rFonts w:eastAsia="黑体"/>
          <w:b/>
          <w:bCs/>
          <w:sz w:val="32"/>
          <w:szCs w:val="32"/>
        </w:rPr>
        <w:t>基本概况</w:t>
      </w:r>
    </w:p>
    <w:p w14:paraId="72DB660C">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（一）职能职责</w:t>
      </w:r>
    </w:p>
    <w:p w14:paraId="2D76EBD8">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（二）机构设置</w:t>
      </w:r>
    </w:p>
    <w:p w14:paraId="751993B4">
      <w:pPr>
        <w:widowControl/>
        <w:spacing w:line="570" w:lineRule="atLeast"/>
        <w:ind w:firstLine="630"/>
        <w:rPr>
          <w:rFonts w:eastAsia="黑体"/>
          <w:b/>
          <w:bCs/>
          <w:sz w:val="32"/>
          <w:szCs w:val="32"/>
        </w:rPr>
      </w:pPr>
      <w:r>
        <w:rPr>
          <w:rFonts w:eastAsia="黑体"/>
          <w:b/>
          <w:bCs/>
          <w:sz w:val="32"/>
          <w:szCs w:val="32"/>
        </w:rPr>
        <w:t>二、</w:t>
      </w:r>
      <w:r>
        <w:rPr>
          <w:rFonts w:hint="eastAsia" w:eastAsia="黑体"/>
          <w:b/>
          <w:bCs/>
          <w:sz w:val="32"/>
          <w:szCs w:val="32"/>
        </w:rPr>
        <w:t>部门预算单位构成</w:t>
      </w:r>
    </w:p>
    <w:p w14:paraId="475D8F28">
      <w:pPr>
        <w:widowControl/>
        <w:spacing w:line="570" w:lineRule="atLeast"/>
        <w:ind w:firstLine="630"/>
        <w:rPr>
          <w:rFonts w:hint="eastAsia" w:ascii="黑体" w:hAnsi="黑体" w:eastAsia="黑体" w:cs="黑体"/>
          <w:b/>
          <w:bCs/>
          <w:sz w:val="32"/>
          <w:szCs w:val="32"/>
        </w:rPr>
      </w:pPr>
      <w:r>
        <w:rPr>
          <w:rFonts w:hint="eastAsia" w:ascii="黑体" w:hAnsi="黑体" w:eastAsia="黑体" w:cs="黑体"/>
          <w:b/>
          <w:bCs/>
          <w:sz w:val="32"/>
          <w:szCs w:val="32"/>
        </w:rPr>
        <w:t>三、部门收支总体情况</w:t>
      </w:r>
    </w:p>
    <w:p w14:paraId="59DF700B">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（一）收入预算</w:t>
      </w:r>
    </w:p>
    <w:p w14:paraId="44B2415B">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（二）支出预算</w:t>
      </w:r>
    </w:p>
    <w:p w14:paraId="1891335F">
      <w:pPr>
        <w:widowControl/>
        <w:spacing w:line="570" w:lineRule="atLeast"/>
        <w:ind w:firstLine="660"/>
        <w:rPr>
          <w:rFonts w:eastAsia="黑体"/>
          <w:b/>
          <w:sz w:val="32"/>
          <w:szCs w:val="32"/>
        </w:rPr>
      </w:pPr>
      <w:r>
        <w:rPr>
          <w:rFonts w:hint="eastAsia" w:eastAsia="黑体"/>
          <w:b/>
          <w:sz w:val="32"/>
          <w:szCs w:val="32"/>
        </w:rPr>
        <w:t>四</w:t>
      </w:r>
      <w:r>
        <w:rPr>
          <w:rFonts w:eastAsia="黑体"/>
          <w:b/>
          <w:sz w:val="32"/>
          <w:szCs w:val="32"/>
        </w:rPr>
        <w:t>、一般公共预算拨款支出</w:t>
      </w:r>
    </w:p>
    <w:p w14:paraId="5EDA139D">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（一）基本支出</w:t>
      </w:r>
    </w:p>
    <w:p w14:paraId="5061DBA6">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（二）项目支出</w:t>
      </w:r>
    </w:p>
    <w:p w14:paraId="02F73585">
      <w:pPr>
        <w:widowControl/>
        <w:spacing w:line="570" w:lineRule="atLeast"/>
        <w:ind w:firstLine="660"/>
        <w:rPr>
          <w:rFonts w:eastAsia="黑体"/>
          <w:b/>
          <w:sz w:val="32"/>
          <w:szCs w:val="32"/>
        </w:rPr>
      </w:pPr>
      <w:r>
        <w:rPr>
          <w:rFonts w:hint="eastAsia" w:eastAsia="黑体"/>
          <w:b/>
          <w:sz w:val="32"/>
          <w:szCs w:val="32"/>
        </w:rPr>
        <w:t>五</w:t>
      </w:r>
      <w:r>
        <w:rPr>
          <w:rFonts w:eastAsia="黑体"/>
          <w:b/>
          <w:sz w:val="32"/>
          <w:szCs w:val="32"/>
        </w:rPr>
        <w:t>、政府性基金预算支出</w:t>
      </w:r>
    </w:p>
    <w:p w14:paraId="506A1BAE">
      <w:pPr>
        <w:widowControl/>
        <w:spacing w:line="570" w:lineRule="atLeast"/>
        <w:ind w:firstLine="660"/>
        <w:rPr>
          <w:rFonts w:eastAsia="黑体"/>
          <w:b/>
          <w:sz w:val="32"/>
          <w:szCs w:val="32"/>
        </w:rPr>
      </w:pPr>
      <w:r>
        <w:rPr>
          <w:rFonts w:hint="eastAsia" w:eastAsia="黑体"/>
          <w:b/>
          <w:sz w:val="32"/>
          <w:szCs w:val="32"/>
        </w:rPr>
        <w:t>六</w:t>
      </w:r>
      <w:r>
        <w:rPr>
          <w:rFonts w:eastAsia="黑体"/>
          <w:b/>
          <w:sz w:val="32"/>
          <w:szCs w:val="32"/>
        </w:rPr>
        <w:t>、</w:t>
      </w:r>
      <w:r>
        <w:rPr>
          <w:rFonts w:hint="eastAsia" w:eastAsia="黑体"/>
          <w:b/>
          <w:sz w:val="32"/>
          <w:szCs w:val="32"/>
        </w:rPr>
        <w:t>国有资本经营预算支出</w:t>
      </w:r>
    </w:p>
    <w:p w14:paraId="24D3E619">
      <w:pPr>
        <w:widowControl/>
        <w:spacing w:line="570" w:lineRule="atLeast"/>
        <w:ind w:firstLine="660"/>
        <w:rPr>
          <w:rFonts w:eastAsia="黑体"/>
          <w:b/>
          <w:sz w:val="32"/>
          <w:szCs w:val="32"/>
        </w:rPr>
      </w:pPr>
      <w:r>
        <w:rPr>
          <w:rFonts w:hint="eastAsia" w:eastAsia="黑体"/>
          <w:b/>
          <w:sz w:val="32"/>
          <w:szCs w:val="32"/>
        </w:rPr>
        <w:t>七</w:t>
      </w:r>
      <w:r>
        <w:rPr>
          <w:rFonts w:eastAsia="黑体"/>
          <w:b/>
          <w:sz w:val="32"/>
          <w:szCs w:val="32"/>
        </w:rPr>
        <w:t>、其他重要事项的情况说明</w:t>
      </w:r>
    </w:p>
    <w:p w14:paraId="4D3B488F">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（一）机关运行经费</w:t>
      </w:r>
    </w:p>
    <w:p w14:paraId="3C074169">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（二）“三公”经费预算</w:t>
      </w:r>
    </w:p>
    <w:p w14:paraId="74D01D38">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（三）一般性支出情况</w:t>
      </w:r>
    </w:p>
    <w:p w14:paraId="77040E53">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（四）政府采购情况</w:t>
      </w:r>
    </w:p>
    <w:p w14:paraId="42ED6D0B">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（五）国有资产占用使用及新增资产配置情况</w:t>
      </w:r>
    </w:p>
    <w:p w14:paraId="46930EBB">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（六）预算绩效目标说明</w:t>
      </w:r>
    </w:p>
    <w:p w14:paraId="77742D23">
      <w:pPr>
        <w:widowControl/>
        <w:spacing w:line="570" w:lineRule="atLeast"/>
        <w:ind w:firstLine="660"/>
        <w:rPr>
          <w:rFonts w:eastAsia="黑体"/>
          <w:b/>
          <w:sz w:val="32"/>
          <w:szCs w:val="32"/>
        </w:rPr>
      </w:pPr>
      <w:r>
        <w:rPr>
          <w:rFonts w:hint="eastAsia" w:eastAsia="黑体"/>
          <w:b/>
          <w:sz w:val="32"/>
          <w:szCs w:val="32"/>
        </w:rPr>
        <w:t>八</w:t>
      </w:r>
      <w:r>
        <w:rPr>
          <w:rFonts w:eastAsia="黑体"/>
          <w:b/>
          <w:sz w:val="32"/>
          <w:szCs w:val="32"/>
        </w:rPr>
        <w:t>、名词解释</w:t>
      </w:r>
    </w:p>
    <w:p w14:paraId="7540952B">
      <w:pPr>
        <w:widowControl/>
        <w:spacing w:line="570" w:lineRule="atLeast"/>
        <w:ind w:firstLine="660"/>
        <w:rPr>
          <w:rFonts w:hint="eastAsia" w:ascii="黑体" w:hAnsi="黑体" w:eastAsia="黑体" w:cs="黑体"/>
          <w:b/>
          <w:sz w:val="32"/>
          <w:szCs w:val="32"/>
        </w:rPr>
      </w:pPr>
      <w:r>
        <w:rPr>
          <w:rFonts w:hint="eastAsia" w:ascii="黑体" w:hAnsi="黑体" w:eastAsia="黑体" w:cs="黑体"/>
          <w:b/>
          <w:sz w:val="32"/>
          <w:szCs w:val="32"/>
        </w:rPr>
        <w:t>第二部分 202</w:t>
      </w:r>
      <w:r>
        <w:rPr>
          <w:rFonts w:hint="eastAsia" w:ascii="黑体" w:hAnsi="黑体" w:eastAsia="黑体" w:cs="黑体"/>
          <w:b/>
          <w:sz w:val="32"/>
          <w:szCs w:val="32"/>
          <w:lang w:val="en-US" w:eastAsia="zh-CN"/>
        </w:rPr>
        <w:t>6</w:t>
      </w:r>
      <w:r>
        <w:rPr>
          <w:rFonts w:hint="eastAsia" w:ascii="黑体" w:hAnsi="黑体" w:eastAsia="黑体" w:cs="黑体"/>
          <w:b/>
          <w:sz w:val="32"/>
          <w:szCs w:val="32"/>
        </w:rPr>
        <w:t>年部门预算表</w:t>
      </w:r>
    </w:p>
    <w:p w14:paraId="5D34FA36">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14:paraId="35F145EA">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14:paraId="6A67F37F">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14:paraId="5E6656FF">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14:paraId="5059CE0E">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14:paraId="266137A6">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14:paraId="3B6FEBE5">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14:paraId="295E4826">
      <w:pPr>
        <w:spacing w:line="570" w:lineRule="atLeast"/>
        <w:ind w:firstLine="640"/>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8</w:t>
      </w:r>
      <w:r>
        <w:rPr>
          <w:rFonts w:hint="eastAsia" w:ascii="仿宋_GB2312" w:hAnsi="仿宋_GB2312" w:eastAsia="仿宋_GB2312" w:cs="仿宋_GB2312"/>
          <w:color w:val="000000"/>
          <w:sz w:val="32"/>
          <w:szCs w:val="32"/>
          <w:shd w:val="clear" w:color="auto" w:fill="FFFFFF"/>
        </w:rPr>
        <w:t>、一般公共预算基本支出表</w:t>
      </w:r>
    </w:p>
    <w:p w14:paraId="6DB7A50B">
      <w:pPr>
        <w:spacing w:line="570" w:lineRule="atLeast"/>
        <w:ind w:firstLine="640"/>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9</w:t>
      </w:r>
      <w:r>
        <w:rPr>
          <w:rFonts w:hint="eastAsia" w:ascii="仿宋_GB2312" w:hAnsi="仿宋_GB2312" w:eastAsia="仿宋_GB2312" w:cs="仿宋_GB2312"/>
          <w:color w:val="000000"/>
          <w:sz w:val="32"/>
          <w:szCs w:val="32"/>
          <w:shd w:val="clear" w:color="auto" w:fill="FFFFFF"/>
        </w:rPr>
        <w:t>、一般公共预算基本支出表--人员经费(工资福利支出)(按政府预算经济分类)</w:t>
      </w:r>
    </w:p>
    <w:p w14:paraId="0A41EB4D">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0</w:t>
      </w:r>
      <w:r>
        <w:rPr>
          <w:rFonts w:hint="eastAsia" w:ascii="仿宋_GB2312" w:hAnsi="仿宋_GB2312" w:eastAsia="仿宋_GB2312" w:cs="仿宋_GB2312"/>
          <w:color w:val="000000"/>
          <w:sz w:val="32"/>
          <w:szCs w:val="32"/>
          <w:shd w:val="clear" w:color="auto" w:fill="FFFFFF"/>
        </w:rPr>
        <w:t>、一般公共预算基本支出表--人员经费(工资福利支出)(按</w:t>
      </w:r>
      <w:r>
        <w:rPr>
          <w:rFonts w:hint="eastAsia" w:ascii="仿宋_GB2312" w:hAnsi="仿宋_GB2312" w:eastAsia="仿宋_GB2312" w:cs="仿宋_GB2312"/>
          <w:color w:val="000000"/>
          <w:sz w:val="32"/>
          <w:szCs w:val="32"/>
          <w:shd w:val="clear" w:color="auto" w:fill="FFFFFF"/>
          <w:lang w:val="en-US" w:eastAsia="zh-CN"/>
        </w:rPr>
        <w:t>部门</w:t>
      </w:r>
      <w:r>
        <w:rPr>
          <w:rFonts w:hint="eastAsia" w:ascii="仿宋_GB2312" w:hAnsi="仿宋_GB2312" w:eastAsia="仿宋_GB2312" w:cs="仿宋_GB2312"/>
          <w:color w:val="000000"/>
          <w:sz w:val="32"/>
          <w:szCs w:val="32"/>
          <w:shd w:val="clear" w:color="auto" w:fill="FFFFFF"/>
        </w:rPr>
        <w:t>预算经济分类)</w:t>
      </w:r>
    </w:p>
    <w:p w14:paraId="68483CAE">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、一般公共预算基本支出表--人员经费(对个人和家庭的补助)（按政府预算经济分类）</w:t>
      </w:r>
    </w:p>
    <w:p w14:paraId="23859A04">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、一般公共预算基本支出表--人员经费(对个人和家庭的补助)（按部门预算经济分类）</w:t>
      </w:r>
    </w:p>
    <w:p w14:paraId="4E46B49E">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、一般公共预算基本支出表--公用经费(商品和服务支出)(按政府预算经济分类)</w:t>
      </w:r>
    </w:p>
    <w:p w14:paraId="2EEB4B97">
      <w:pPr>
        <w:pStyle w:val="35"/>
        <w:rPr>
          <w:rFonts w:eastAsia="仿宋_GB2312"/>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14、</w:t>
      </w:r>
      <w:r>
        <w:rPr>
          <w:rFonts w:hint="eastAsia" w:ascii="仿宋_GB2312" w:hAnsi="仿宋_GB2312" w:eastAsia="仿宋_GB2312" w:cs="仿宋_GB2312"/>
          <w:color w:val="000000"/>
          <w:sz w:val="32"/>
          <w:szCs w:val="32"/>
          <w:shd w:val="clear" w:color="auto" w:fill="FFFFFF"/>
        </w:rPr>
        <w:t>一般公共预算基本支出表--公用经费(商品和服务支出)</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按部门预算经济分类）</w:t>
      </w:r>
    </w:p>
    <w:p w14:paraId="207E7025">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、一般公共预算“三公”经费支出表</w:t>
      </w:r>
    </w:p>
    <w:p w14:paraId="48B0F5C1">
      <w:pPr>
        <w:spacing w:line="570" w:lineRule="atLeas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、政府性基金预算支出表</w:t>
      </w:r>
    </w:p>
    <w:p w14:paraId="6341B353">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、政府性基金预算支出分类汇总表（按政府预算经济分类）</w:t>
      </w:r>
    </w:p>
    <w:p w14:paraId="1939CFEF">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、政府性基金预算支出分类汇总表（按部门预算经济分类）</w:t>
      </w:r>
    </w:p>
    <w:p w14:paraId="2F12284D">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、国有资本经营预算支出表</w:t>
      </w:r>
    </w:p>
    <w:p w14:paraId="7076E064">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、财政专户管理资金预算支出表</w:t>
      </w:r>
    </w:p>
    <w:p w14:paraId="14B7769E">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、专项资金预算汇总表</w:t>
      </w:r>
    </w:p>
    <w:p w14:paraId="32B2BEFA">
      <w:pPr>
        <w:pStyle w:val="35"/>
        <w:rPr>
          <w:rFonts w:hint="eastAsia" w:ascii="仿宋_GB2312" w:hAnsi="仿宋_GB2312" w:eastAsia="仿宋_GB2312" w:cs="仿宋_GB2312"/>
          <w:color w:val="000000"/>
          <w:sz w:val="32"/>
          <w:szCs w:val="32"/>
          <w:shd w:val="clear" w:color="auto" w:fill="FFFFFF"/>
        </w:rPr>
        <w:sectPr>
          <w:pgSz w:w="11906" w:h="16838" w:orient="landscape"/>
          <w:pgMar w:top="2098" w:right="1587" w:bottom="1984" w:left="1587" w:header="851" w:footer="992" w:gutter="0"/>
          <w:cols w:space="1701" w:num="1"/>
        </w:sectPr>
      </w:pPr>
      <w:r>
        <w:rPr>
          <w:rFonts w:hint="eastAsia" w:ascii="仿宋_GB2312" w:hAnsi="仿宋_GB2312" w:eastAsia="仿宋_GB2312" w:cs="仿宋_GB2312"/>
          <w:color w:val="000000"/>
          <w:sz w:val="32"/>
          <w:szCs w:val="32"/>
          <w:shd w:val="clear" w:color="auto" w:fill="FFFFFF"/>
        </w:rPr>
        <w:t>注：以上部门预算报表中，空表表示本部门无相关收支情况。</w:t>
      </w:r>
    </w:p>
    <w:p w14:paraId="07FCD343">
      <w:pPr>
        <w:widowControl/>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第一部分 202</w:t>
      </w:r>
      <w:r>
        <w:rPr>
          <w:rFonts w:hint="eastAsia" w:ascii="方正小标宋_GBK" w:hAnsi="方正小标宋_GBK" w:eastAsia="方正小标宋_GBK" w:cs="方正小标宋_GBK"/>
          <w:b/>
          <w:bCs/>
          <w:sz w:val="36"/>
          <w:szCs w:val="36"/>
          <w:lang w:val="en-US" w:eastAsia="zh-CN"/>
        </w:rPr>
        <w:t>6</w:t>
      </w:r>
      <w:r>
        <w:rPr>
          <w:rFonts w:hint="eastAsia" w:ascii="方正小标宋_GBK" w:hAnsi="方正小标宋_GBK" w:eastAsia="方正小标宋_GBK" w:cs="方正小标宋_GBK"/>
          <w:b/>
          <w:bCs/>
          <w:sz w:val="36"/>
          <w:szCs w:val="36"/>
        </w:rPr>
        <w:t>年部门预算公开说明</w:t>
      </w:r>
    </w:p>
    <w:p w14:paraId="29701DFF">
      <w:pPr>
        <w:widowControl/>
        <w:jc w:val="left"/>
        <w:rPr>
          <w:rFonts w:hint="eastAsia" w:ascii="仿宋_GB2312" w:hAnsi="宋体" w:eastAsia="仿宋_GB2312" w:cs="宋体"/>
          <w:b/>
          <w:bCs/>
          <w:color w:val="000000"/>
          <w:sz w:val="30"/>
          <w:szCs w:val="30"/>
        </w:rPr>
      </w:pPr>
    </w:p>
    <w:p w14:paraId="25EC7C1D">
      <w:pPr>
        <w:widowControl/>
        <w:numPr>
          <w:ilvl w:val="0"/>
          <w:numId w:val="1"/>
        </w:numPr>
        <w:spacing w:line="570" w:lineRule="atLeast"/>
        <w:ind w:firstLine="643"/>
        <w:rPr>
          <w:rFonts w:eastAsia="黑体"/>
          <w:b/>
          <w:bCs/>
          <w:sz w:val="32"/>
          <w:szCs w:val="32"/>
        </w:rPr>
      </w:pPr>
      <w:r>
        <w:rPr>
          <w:rFonts w:hint="eastAsia" w:eastAsia="黑体"/>
          <w:b/>
          <w:bCs/>
          <w:sz w:val="32"/>
          <w:szCs w:val="32"/>
        </w:rPr>
        <w:t>部门</w:t>
      </w:r>
      <w:r>
        <w:rPr>
          <w:rFonts w:eastAsia="黑体"/>
          <w:b/>
          <w:bCs/>
          <w:sz w:val="32"/>
          <w:szCs w:val="32"/>
        </w:rPr>
        <w:t>基本概况</w:t>
      </w:r>
    </w:p>
    <w:p w14:paraId="4D092913">
      <w:pPr>
        <w:spacing w:line="570" w:lineRule="atLeas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职能职责</w:t>
      </w:r>
    </w:p>
    <w:p w14:paraId="0337ED87">
      <w:pPr>
        <w:ind w:firstLine="640" w:firstLineChars="20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（一）拟订并组织实施全县国民经济和社会发展战略、中长期规划和年度计划。统筹协调相关总体规划、区域规划与专项规划,牵头组织统一规划体系建设,负责全县专项规划、区域规划</w:t>
      </w:r>
      <w:r>
        <w:rPr>
          <w:rFonts w:hint="eastAsia" w:ascii="Times New Roman" w:hAnsi="Times New Roman" w:eastAsia="仿宋_GB2312" w:cs="仿宋_GB2312"/>
          <w:sz w:val="32"/>
          <w:szCs w:val="32"/>
          <w:lang w:eastAsia="zh-CN"/>
        </w:rPr>
        <w:t>、空间规划与全市发展规划的统筹衔接。研究拟订全县国民经济和社会发展、经济体制改革和对外开放的有关制度，协调解决有关重大问题。受县人民政府委托负责向县人民代表大会提交国民经济和社会发展计划的报告。</w:t>
      </w:r>
    </w:p>
    <w:p w14:paraId="41248F3C">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提出加快建设现代化经济体系、推动高质量发展的总体目标、重大任务以及相关政策措施。组织开展重大战略规划、重大政策、重大工程等评估督导，提出相关调整建议。协调促进民营经济发展，推动现代产业体系建设。</w:t>
      </w:r>
    </w:p>
    <w:p w14:paraId="293401C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统筹提出全县国民经济和社会发展主要目标，监测预测预警宏观经济和社会发展态势趋势，提出宏观调控政策建议。综合协调宏观经济政策，牵头研究宏观经济应对措施。调节经济运行,协调解决经济运行中的重大问题。参与拟订财政政策措施、土地政策措施等。</w:t>
      </w:r>
    </w:p>
    <w:p w14:paraId="2D73C86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负责推进和综合协调全县经济体制改革有关工作，提出相关改革建议，牵头推进供给侧结构性改革，协调推进产权制度和要素市场化配置改革。推动完善基本经济制度和现代市场体系建设，会同相关部门组织实施市场准入负面清单制度。</w:t>
      </w:r>
    </w:p>
    <w:p w14:paraId="7C87E98A">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(五)提出全县利用外资和境外投资的战略、规划、总量平衡和结构优化的政策措施。牵头推进实施“一带一路”建设。统筹协调走出去有关工作。负责全县全口径外债的总量控制、结构优化和监测工作。</w:t>
      </w:r>
    </w:p>
    <w:p w14:paraId="47FF2DD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负责投资综合管理，拟订全县固定资产投资总规模、结构调控目标、政策措施，会同有关部门拟订政府投资项目审批权限和政府核准的固定资产投资项目目录。统筹安排中央、省、市、县预算内基本建设资金，按规定权限审批、核准、审核、备案重大项目。规划全县重大建设项目和生产力布局。拟订并推动落实鼓励民间投资政策措施。负责政府投资项目代建制实施的指导、协调和监督管理。指导工程咨询业发展。</w:t>
      </w:r>
    </w:p>
    <w:p w14:paraId="0821288B">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推进落实区域协调发展战略和重大政策，组织拟订相关区域规划和政策措施。统筹推进实施国家和省市县重大区域发展战略。贯彻落实国家西部开发、中部崛起、长江经济带发展的相关政策措施，统筹推进“一带一部”区域发展。协调推进两型社会建设。组织拟订和实施特殊困难地区发展规划和政策措施，组织实施易地扶贫搬迁等。组织编制并推动实施新型城镇化规划。参与研究拟订全县新型城镇化发展战略和重大政策措施，协调配合做好相关工作。制定开发区发展规划和政策措施。统筹协调区域合作和对口支援工作。</w:t>
      </w:r>
    </w:p>
    <w:p w14:paraId="4AAEC983">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组织拟订综合性产业政策措施。负责协调一二三产业发展的重大问题并统筹衔接相关发展规划和重大政策。协调推进重大基础设施建设,组织拟订并推动实施服务业及现代物流业发展规划和重大政策措施。综合研判消费变动趋势，拟订实施促进消费的综合性政策措施。</w:t>
      </w:r>
    </w:p>
    <w:p w14:paraId="580A8F8C">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推动实施创新驱动发展战略。会同相关部门拟订推进创新创业的规划和政策措施，提出创新发展和培育经济发展新动能的政策措施。研究提出产业集群发展相关政策措施。会同相关部门规划布局全县重大科技基础设施。组织拟订并推动实施高新技术产业和战略性新兴产业发展规划政策措施，协调产业升级、重大技术装备推广应用等方面的重大问题。协调促进民营经济发展，推动现代化产业体系建设。</w:t>
      </w:r>
    </w:p>
    <w:p w14:paraId="1BC5E00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跟踪研判涉及经济安全、生态安全、资源安全、科技安全、社会安全等各类风险隐患，提出相关工作建议。承担经济、生态、资源等重点领域国家安全工作协调机制相关工作。负责重要商品总量平衡和宏观调控，提出重要工业品、原材料和重要农产品进出口调控建议并做好相关工作。会同有关部门拟订县级储备物资品种目录、总体发展规划。</w:t>
      </w:r>
    </w:p>
    <w:p w14:paraId="7594C00F">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负责社会发展与国民经济发展的政策衔接，协调有关重大问题。组织拟订社会发展战略、总体规划，统筹推进基本公共服务体系建设和收入分配制度改革，提出促进就业、完善社会保障与经济协调发展的政策建议。</w:t>
      </w:r>
    </w:p>
    <w:p w14:paraId="162CBD49">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推进实施可持续发展战略，推动生态文明建设和改革，协调生态环境保护与修复、能源资源节约和综合利用等工作。提出健全生态保护补偿机制的政策措施，综合协调节能环保产业和清洁生产促进有关工作。提出能源消费控制目标、任务并组织实施。</w:t>
      </w:r>
    </w:p>
    <w:p w14:paraId="765AC5D6">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拟订并组织实施有关价格政策措施，组织制定少数由县级管理的重要商品、服务价格和重要收费标准意见。监测、分析市场价格形势，组织实施价格总水平控制;管理国家、省、市、县列名管理的商品和服务价格。负责价格成本调查和监审。</w:t>
      </w:r>
    </w:p>
    <w:p w14:paraId="577CE99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(十四)牵头组织监督公共资源交易活动。</w:t>
      </w:r>
    </w:p>
    <w:p w14:paraId="0651F7E7">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(十五)会同有关部门拟订推进全县经济建设与国防建设协调发展的战略和规划，协调有关重大问题。推动实施军民融合发展战略，组织编制全县国民经济动员规划，协调和组织实施全县国民经济动员有关工作。</w:t>
      </w:r>
    </w:p>
    <w:p w14:paraId="0F89C2B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六)起草全县能源发展和有关监督管理的规范性文件草案，拟订并组织实施全县能源发展战略、规划和政策措施，推进全县能源体制改革，协调相关重大问题。负责全县能源行业节能和资源综合利用，参与研究全县能源消费总量控制目标建议，指导、监督能源消费总量控制工作,衔接能源生产建设和供需平衡。组织实施煤炭、石油、天然气、电力、新能源和可再生能源等能源，以及炼油、煤制燃料、燃料乙醇的产业政策措施及相关标准意见，实施对煤电油气等能源和新能源的管理。按照规定权限审批、核准、备案、审核、上报全县能源固定资产投资项目。指导协调农村能源发展工作。拟定并组织实施煤炭发展战略。负责能源预测预警，发布能源信息，参与能源运行调节和应急保障，负责县内石油和天然气储备管理工作。负责石油、天然气管道保护相关工作。组织推进全县能源重大设备研发及相关重大科技项目，指导能源科技进步和引进消化创新，组织协调相关重大示范工程和推广应用新产品、新技术、新设备。负责核电的规划、布局、审核、救援、管理等工作。组织推进全县能源对外合作，负责起草县政府对外能源战略合作政策的协议，协调能源合作中的重大问题。研究提出电力普遍服务政策的建议并监督实施，参与制定与能源相关的资源、财税、环保等政策措施，提出能源价格调整建议，参与能源有关价格执行情况监督检查。承担县能源委员会具体工作，负责全县能源发展战略决策的综合协调和服务保障，推动建立健全协调联动机制。</w:t>
      </w:r>
    </w:p>
    <w:p w14:paraId="2AEB0D82">
      <w:pPr>
        <w:ind w:firstLine="1120" w:firstLineChars="3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七)拟订粮食流通和物资储备管理有关规定并监督执行。拟订全县粮食市场体系建设与发展规划，承担全县粮食流通宏观调控的具体工作。拟订粮食流通和物资储备体制改革方案并组织实施。研究提出全县战略物资储备规划、全县储备品种目录的建议。根据全县储备总体发展规划和品种目录，组织实施全县战略和应急储备物资的收储、轮换和日常管理，落实有关动用计划和指令。管理全县粮食、棉花和食糖储备，负责县级储备粮棉行政管理。监测粮食和战略物资供求变化并预测预警。指导协调政策性粮食购销和粮食产销合作，保障军队粮食供应，组织实施粮食和物资储备仓储管理有关技术标准和规范。负责全县粮食流通、加工行业安全生产工作的监督管理，承担所属物资储备承储单位安全生产的监管责任。根据国家、省、市与县储备总体发展规划，统一负责储备基础设施建设和管理。拟订全县储备基础设施、粮食流通设施建设规划并组织实施，管理有关储备基础设施和粮食流通设施投资项目。负责对管理的政府储备、企业储备以及储备政策落实情况进行监督检查。负责粮食流通监督检查，负责粮食收购、储存、运输环节粮食质量安全和原粮卫生的监督管理，组织实施粮食库存检查工作。负责粮食流通行业管理，制定行业发展规划、政策措施，组织实施粮食流通和物资储备及粮食质量等有关标准意见，监督执行有关技术规范。负责实施粮食收购行政许可的有关行政管理，负责协调推进粮食产业发展有关工作。负责粮食和物资储备的对外合作与交流。</w:t>
      </w:r>
    </w:p>
    <w:p w14:paraId="4A83FC73">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(十八)履行深化国防动员体制改革明确的工作职责。</w:t>
      </w:r>
    </w:p>
    <w:p w14:paraId="6CA1AA8E">
      <w:pPr>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Times New Roman" w:hAnsi="Times New Roman" w:eastAsia="仿宋_GB2312" w:cs="仿宋_GB2312"/>
          <w:sz w:val="32"/>
          <w:szCs w:val="32"/>
        </w:rPr>
        <w:t>(十九)完成县委和县政府交办的其他任务。</w:t>
      </w:r>
    </w:p>
    <w:p w14:paraId="50CB3C6B">
      <w:pPr>
        <w:spacing w:line="570" w:lineRule="atLeast"/>
        <w:ind w:left="64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机构设置</w:t>
      </w:r>
    </w:p>
    <w:p w14:paraId="2188B46A">
      <w:pPr>
        <w:snapToGrid w:val="0"/>
        <w:spacing w:line="579"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Times New Roman" w:hAnsi="Times New Roman" w:eastAsia="仿宋_GB2312" w:cs="仿宋_GB2312"/>
          <w:bCs/>
          <w:kern w:val="0"/>
          <w:sz w:val="32"/>
          <w:szCs w:val="32"/>
          <w:lang w:eastAsia="zh-CN"/>
        </w:rPr>
        <w:t>道县发展和改革局</w:t>
      </w:r>
      <w:r>
        <w:rPr>
          <w:rFonts w:hint="eastAsia" w:ascii="Times New Roman" w:hAnsi="Times New Roman" w:eastAsia="仿宋_GB2312" w:cs="仿宋_GB2312"/>
          <w:bCs/>
          <w:kern w:val="0"/>
          <w:sz w:val="32"/>
          <w:szCs w:val="32"/>
        </w:rPr>
        <w:t>单位内设机构包括：</w:t>
      </w:r>
      <w:r>
        <w:rPr>
          <w:rFonts w:hint="eastAsia" w:eastAsia="仿宋_GB2312"/>
          <w:sz w:val="32"/>
          <w:szCs w:val="32"/>
        </w:rPr>
        <w:t>办公室、综合规划和社会发展股、法规股、固定资产投资</w:t>
      </w:r>
      <w:r>
        <w:rPr>
          <w:rFonts w:hint="eastAsia" w:eastAsia="仿宋_GB2312"/>
          <w:sz w:val="32"/>
          <w:szCs w:val="32"/>
          <w:lang w:eastAsia="zh-CN"/>
        </w:rPr>
        <w:t>股</w:t>
      </w:r>
      <w:r>
        <w:rPr>
          <w:rFonts w:hint="eastAsia" w:eastAsia="仿宋_GB2312"/>
          <w:sz w:val="32"/>
          <w:szCs w:val="32"/>
        </w:rPr>
        <w:t>、</w:t>
      </w:r>
      <w:r>
        <w:rPr>
          <w:rFonts w:hint="eastAsia" w:eastAsia="仿宋_GB2312"/>
          <w:sz w:val="32"/>
          <w:szCs w:val="32"/>
          <w:lang w:eastAsia="zh-CN"/>
        </w:rPr>
        <w:t>工业和高技术发展</w:t>
      </w:r>
      <w:r>
        <w:rPr>
          <w:rFonts w:hint="eastAsia" w:eastAsia="仿宋_GB2312"/>
          <w:sz w:val="32"/>
          <w:szCs w:val="32"/>
        </w:rPr>
        <w:t>股、</w:t>
      </w:r>
      <w:r>
        <w:rPr>
          <w:rFonts w:hint="eastAsia" w:eastAsia="仿宋_GB2312"/>
          <w:sz w:val="32"/>
          <w:szCs w:val="32"/>
          <w:lang w:eastAsia="zh-CN"/>
        </w:rPr>
        <w:t>基础设施发展股</w:t>
      </w:r>
      <w:r>
        <w:rPr>
          <w:rFonts w:hint="eastAsia" w:eastAsia="仿宋_GB2312"/>
          <w:sz w:val="32"/>
          <w:szCs w:val="32"/>
        </w:rPr>
        <w:t>、</w:t>
      </w:r>
      <w:r>
        <w:rPr>
          <w:rFonts w:hint="eastAsia" w:eastAsia="仿宋_GB2312"/>
          <w:sz w:val="32"/>
          <w:szCs w:val="32"/>
          <w:lang w:eastAsia="zh-CN"/>
        </w:rPr>
        <w:t>农村经济股</w:t>
      </w:r>
      <w:r>
        <w:rPr>
          <w:rFonts w:hint="eastAsia" w:eastAsia="仿宋_GB2312"/>
          <w:sz w:val="32"/>
          <w:szCs w:val="32"/>
        </w:rPr>
        <w:t>、资源节约和环境保护股、价格管理股</w:t>
      </w:r>
      <w:r>
        <w:rPr>
          <w:rFonts w:hint="eastAsia" w:eastAsia="仿宋_GB2312"/>
          <w:sz w:val="32"/>
          <w:szCs w:val="32"/>
          <w:lang w:eastAsia="zh-CN"/>
        </w:rPr>
        <w:t>、行政审批服务股、能源股、粮食发展调控与物质储备股、国防建设管理股。行政编制</w:t>
      </w:r>
      <w:r>
        <w:rPr>
          <w:rFonts w:hint="eastAsia" w:eastAsia="仿宋_GB2312"/>
          <w:sz w:val="32"/>
          <w:szCs w:val="32"/>
          <w:lang w:val="en-US" w:eastAsia="zh-CN"/>
        </w:rPr>
        <w:t>17</w:t>
      </w:r>
      <w:r>
        <w:rPr>
          <w:rFonts w:hint="eastAsia" w:eastAsia="仿宋_GB2312"/>
          <w:sz w:val="32"/>
          <w:szCs w:val="32"/>
          <w:lang w:eastAsia="zh-CN"/>
        </w:rPr>
        <w:t>人，事业编制</w:t>
      </w:r>
      <w:r>
        <w:rPr>
          <w:rFonts w:hint="eastAsia" w:eastAsia="仿宋_GB2312"/>
          <w:sz w:val="32"/>
          <w:szCs w:val="32"/>
          <w:lang w:val="en-US" w:eastAsia="zh-CN"/>
        </w:rPr>
        <w:t>30</w:t>
      </w:r>
      <w:r>
        <w:rPr>
          <w:rFonts w:hint="eastAsia" w:eastAsia="仿宋_GB2312"/>
          <w:sz w:val="32"/>
          <w:szCs w:val="32"/>
          <w:lang w:eastAsia="zh-CN"/>
        </w:rPr>
        <w:t>人，机关后勤编制</w:t>
      </w:r>
      <w:r>
        <w:rPr>
          <w:rFonts w:hint="eastAsia" w:eastAsia="仿宋_GB2312"/>
          <w:sz w:val="32"/>
          <w:szCs w:val="32"/>
          <w:lang w:val="en-US" w:eastAsia="zh-CN"/>
        </w:rPr>
        <w:t>3人，</w:t>
      </w:r>
      <w:r>
        <w:rPr>
          <w:rFonts w:hint="eastAsia" w:eastAsia="仿宋_GB2312"/>
          <w:sz w:val="32"/>
          <w:szCs w:val="32"/>
          <w:lang w:eastAsia="zh-CN"/>
        </w:rPr>
        <w:t>实有人员</w:t>
      </w:r>
      <w:r>
        <w:rPr>
          <w:rFonts w:hint="eastAsia" w:eastAsia="仿宋_GB2312"/>
          <w:sz w:val="32"/>
          <w:szCs w:val="32"/>
          <w:lang w:val="en-US" w:eastAsia="zh-CN"/>
        </w:rPr>
        <w:t>50</w:t>
      </w:r>
      <w:r>
        <w:rPr>
          <w:rFonts w:hint="eastAsia" w:eastAsia="仿宋_GB2312"/>
          <w:sz w:val="32"/>
          <w:szCs w:val="32"/>
          <w:lang w:eastAsia="zh-CN"/>
        </w:rPr>
        <w:t>人。</w:t>
      </w:r>
      <w:r>
        <w:rPr>
          <w:rFonts w:hint="eastAsia" w:eastAsia="仿宋_GB2312"/>
          <w:sz w:val="32"/>
          <w:szCs w:val="32"/>
          <w:lang w:val="en-US" w:eastAsia="zh-CN"/>
        </w:rPr>
        <w:t>人防执法</w:t>
      </w:r>
      <w:r>
        <w:rPr>
          <w:rFonts w:hint="eastAsia" w:eastAsia="仿宋_GB2312"/>
          <w:sz w:val="32"/>
          <w:szCs w:val="32"/>
          <w:lang w:eastAsia="zh-CN"/>
        </w:rPr>
        <w:t>用车</w:t>
      </w:r>
      <w:r>
        <w:rPr>
          <w:rFonts w:hint="eastAsia" w:eastAsia="仿宋_GB2312"/>
          <w:sz w:val="32"/>
          <w:szCs w:val="32"/>
          <w:lang w:val="en-US" w:eastAsia="zh-CN"/>
        </w:rPr>
        <w:t>1辆。</w:t>
      </w:r>
    </w:p>
    <w:p w14:paraId="68469CF8">
      <w:pPr>
        <w:widowControl/>
        <w:spacing w:line="570" w:lineRule="atLeast"/>
        <w:ind w:firstLine="643"/>
        <w:rPr>
          <w:rFonts w:ascii="黑体" w:hAnsi="黑体" w:eastAsia="黑体" w:cs="黑体"/>
          <w:b/>
          <w:color w:val="000000"/>
          <w:sz w:val="32"/>
          <w:szCs w:val="32"/>
        </w:rPr>
      </w:pPr>
      <w:r>
        <w:rPr>
          <w:rFonts w:hint="eastAsia" w:ascii="黑体" w:hAnsi="黑体" w:eastAsia="黑体" w:cs="黑体"/>
          <w:b/>
          <w:color w:val="000000"/>
          <w:sz w:val="32"/>
          <w:szCs w:val="32"/>
        </w:rPr>
        <w:t>二、部门预算单位构成</w:t>
      </w:r>
    </w:p>
    <w:p w14:paraId="41ED52D3">
      <w:pPr>
        <w:spacing w:line="570" w:lineRule="atLeast"/>
        <w:ind w:firstLine="640"/>
        <w:rPr>
          <w:rFonts w:hint="eastAsia" w:ascii="仿宋_GB2312" w:hAnsi="仿宋_GB2312" w:eastAsia="仿宋_GB2312" w:cs="仿宋_GB2312"/>
          <w:color w:val="000000"/>
          <w:sz w:val="32"/>
          <w:szCs w:val="32"/>
          <w:shd w:val="clear" w:color="auto" w:fill="FFFFFF"/>
        </w:rPr>
      </w:pPr>
      <w:bookmarkStart w:id="1" w:name="DEPT_COMPOSE"/>
      <w:r>
        <w:rPr>
          <w:rFonts w:hint="eastAsia" w:ascii="仿宋_GB2312" w:hAnsi="仿宋_GB2312" w:eastAsia="仿宋_GB2312" w:cs="仿宋_GB2312"/>
          <w:color w:val="000000"/>
          <w:sz w:val="32"/>
          <w:szCs w:val="32"/>
          <w:shd w:val="clear" w:color="auto" w:fill="FFFFFF"/>
        </w:rPr>
        <w:t>道县发展和改革局部门只有本级，没有其他二级预算单位，因此，纳入202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年部门预算编制范围的只有道县发展和改革局本级。</w:t>
      </w:r>
      <w:bookmarkEnd w:id="1"/>
    </w:p>
    <w:p w14:paraId="1135D52A">
      <w:pPr>
        <w:widowControl/>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三、</w:t>
      </w:r>
      <w:r>
        <w:rPr>
          <w:rFonts w:hint="eastAsia" w:eastAsia="黑体"/>
          <w:b/>
          <w:bCs/>
          <w:sz w:val="32"/>
          <w:szCs w:val="32"/>
        </w:rPr>
        <w:t>部门</w:t>
      </w:r>
      <w:r>
        <w:rPr>
          <w:rFonts w:hint="eastAsia" w:ascii="黑体" w:hAnsi="黑体" w:eastAsia="黑体" w:cs="黑体"/>
          <w:b/>
          <w:color w:val="000000"/>
          <w:sz w:val="32"/>
          <w:szCs w:val="32"/>
        </w:rPr>
        <w:t>收支总体情况</w:t>
      </w:r>
    </w:p>
    <w:p w14:paraId="5A29DC00">
      <w:pPr>
        <w:numPr>
          <w:ilvl w:val="0"/>
          <w:numId w:val="2"/>
        </w:numPr>
        <w:spacing w:line="570" w:lineRule="atLeast"/>
        <w:ind w:firstLine="643"/>
        <w:rPr>
          <w:rFonts w:hint="eastAsia" w:ascii="仿宋_GB2312" w:hAnsi="仿宋" w:eastAsia="仿宋_GB2312" w:cs="宋体"/>
          <w:color w:val="000000"/>
          <w:sz w:val="30"/>
          <w:szCs w:val="30"/>
        </w:rPr>
      </w:pPr>
      <w:r>
        <w:rPr>
          <w:rFonts w:hint="eastAsia" w:eastAsia="仿宋_GB2312"/>
          <w:b/>
          <w:sz w:val="32"/>
          <w:szCs w:val="32"/>
        </w:rPr>
        <w:t>收入预算</w:t>
      </w:r>
      <w:r>
        <w:rPr>
          <w:rFonts w:eastAsia="仿宋_GB2312"/>
          <w:b/>
          <w:sz w:val="32"/>
          <w:szCs w:val="32"/>
        </w:rPr>
        <w:t>：</w:t>
      </w:r>
      <w:r>
        <w:rPr>
          <w:rFonts w:eastAsia="仿宋_GB2312"/>
          <w:sz w:val="32"/>
          <w:szCs w:val="32"/>
        </w:rPr>
        <w:t>包括一般公共预算、政府性基金、国有资本经营预算等财政拨款收入，以及经营收入、事业收入等单位资金。</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eastAsia="仿宋_GB2312"/>
          <w:sz w:val="32"/>
          <w:szCs w:val="32"/>
        </w:rPr>
        <w:t>年本</w:t>
      </w:r>
      <w:r>
        <w:rPr>
          <w:rFonts w:hint="eastAsia" w:ascii="仿宋_GB2312" w:hAnsi="仿宋_GB2312" w:eastAsia="仿宋_GB2312" w:cs="仿宋_GB2312"/>
          <w:color w:val="000000"/>
          <w:sz w:val="32"/>
          <w:szCs w:val="32"/>
          <w:shd w:val="clear" w:color="auto" w:fill="FFFFFF"/>
        </w:rPr>
        <w:t>部门</w:t>
      </w:r>
      <w:r>
        <w:rPr>
          <w:rFonts w:eastAsia="仿宋_GB2312"/>
          <w:sz w:val="32"/>
          <w:szCs w:val="32"/>
        </w:rPr>
        <w:t>收入预算</w:t>
      </w:r>
      <w:r>
        <w:rPr>
          <w:rFonts w:hint="eastAsia" w:ascii="仿宋_GB2312" w:hAnsi="仿宋_GB2312" w:eastAsia="仿宋_GB2312" w:cs="仿宋_GB2312"/>
          <w:color w:val="000000"/>
          <w:sz w:val="32"/>
          <w:szCs w:val="32"/>
          <w:shd w:val="clear" w:color="auto" w:fill="FFFFFF"/>
          <w:lang w:val="en-US" w:eastAsia="zh-CN"/>
        </w:rPr>
        <w:t>1436.19</w:t>
      </w:r>
      <w:r>
        <w:rPr>
          <w:rFonts w:hint="eastAsia" w:ascii="仿宋_GB2312" w:hAnsi="仿宋_GB2312" w:eastAsia="仿宋_GB2312" w:cs="仿宋_GB2312"/>
          <w:color w:val="000000"/>
          <w:sz w:val="32"/>
          <w:szCs w:val="32"/>
          <w:shd w:val="clear" w:color="auto" w:fill="FFFFFF"/>
        </w:rPr>
        <w:t>万元，其中：一般公共预算拨</w:t>
      </w:r>
      <w:bookmarkStart w:id="2" w:name="OLE_LINK1"/>
      <w:r>
        <w:rPr>
          <w:rFonts w:hint="eastAsia" w:ascii="仿宋_GB2312" w:hAnsi="仿宋_GB2312" w:eastAsia="仿宋_GB2312" w:cs="仿宋_GB2312"/>
          <w:color w:val="000000"/>
          <w:sz w:val="32"/>
          <w:szCs w:val="32"/>
          <w:shd w:val="clear" w:color="auto" w:fill="FFFFFF"/>
        </w:rPr>
        <w:t>款</w:t>
      </w:r>
      <w:bookmarkEnd w:id="2"/>
      <w:r>
        <w:rPr>
          <w:rFonts w:hint="eastAsia" w:ascii="仿宋_GB2312" w:hAnsi="仿宋_GB2312" w:eastAsia="仿宋_GB2312" w:cs="仿宋_GB2312"/>
          <w:color w:val="000000"/>
          <w:sz w:val="32"/>
          <w:szCs w:val="32"/>
          <w:shd w:val="clear" w:color="auto" w:fill="FFFFFF"/>
          <w:lang w:val="en-US" w:eastAsia="zh-CN"/>
        </w:rPr>
        <w:t>1436.19</w:t>
      </w:r>
      <w:r>
        <w:rPr>
          <w:rFonts w:hint="eastAsia" w:ascii="仿宋_GB2312" w:hAnsi="仿宋_GB2312" w:eastAsia="仿宋_GB2312" w:cs="仿宋_GB2312"/>
          <w:color w:val="000000"/>
          <w:sz w:val="32"/>
          <w:szCs w:val="32"/>
          <w:shd w:val="clear" w:color="auto" w:fill="FFFFFF"/>
        </w:rPr>
        <w:t>万元，政府性基金预算拨款</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万元</w:t>
      </w:r>
      <w:r>
        <w:rPr>
          <w:rFonts w:eastAsia="仿宋_GB2312"/>
          <w:sz w:val="32"/>
          <w:szCs w:val="32"/>
        </w:rPr>
        <w:t>。</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eastAsia="仿宋_GB2312"/>
          <w:sz w:val="32"/>
          <w:szCs w:val="32"/>
        </w:rPr>
        <w:t>年</w:t>
      </w:r>
      <w:bookmarkStart w:id="3" w:name="IS_ZERO_04"/>
      <w:bookmarkEnd w:id="3"/>
      <w:bookmarkStart w:id="4" w:name="START_IS_ZERO_04_1"/>
      <w:bookmarkEnd w:id="4"/>
      <w:bookmarkStart w:id="5" w:name="DIS_MARK_IS_ZERO_04_1"/>
      <w:r>
        <w:rPr>
          <w:rFonts w:hint="eastAsia" w:eastAsia="仿宋_GB2312"/>
          <w:sz w:val="32"/>
          <w:szCs w:val="32"/>
        </w:rPr>
        <w:t>收入较去年</w:t>
      </w:r>
      <w:r>
        <w:rPr>
          <w:rFonts w:hint="eastAsia" w:eastAsia="仿宋_GB2312"/>
          <w:sz w:val="32"/>
          <w:szCs w:val="32"/>
          <w:lang w:val="en-US" w:eastAsia="zh-CN"/>
        </w:rPr>
        <w:t>增加65.44</w:t>
      </w:r>
      <w:r>
        <w:rPr>
          <w:rFonts w:hint="eastAsia" w:eastAsia="仿宋_GB2312"/>
          <w:sz w:val="32"/>
          <w:szCs w:val="32"/>
        </w:rPr>
        <w:t>万元</w:t>
      </w:r>
      <w:bookmarkEnd w:id="5"/>
      <w:bookmarkStart w:id="6" w:name="IS_ZERO_05"/>
      <w:bookmarkEnd w:id="6"/>
      <w:bookmarkStart w:id="7" w:name="DIS_MARK_IS_ZERO_05"/>
      <w:bookmarkStart w:id="8" w:name="START_IS_ZERO_05"/>
      <w:r>
        <w:rPr>
          <w:rFonts w:hint="eastAsia" w:eastAsia="仿宋_GB2312"/>
          <w:sz w:val="32"/>
          <w:szCs w:val="32"/>
        </w:rPr>
        <w:t>，</w:t>
      </w:r>
      <w:bookmarkStart w:id="9" w:name="INCOME_BJBD_AMT_BL"/>
      <w:r>
        <w:rPr>
          <w:rFonts w:hint="eastAsia" w:eastAsia="仿宋_GB2312"/>
          <w:sz w:val="32"/>
          <w:szCs w:val="32"/>
          <w:lang w:val="en-US" w:eastAsia="zh-CN"/>
        </w:rPr>
        <w:t>增加4.8</w:t>
      </w:r>
      <w:r>
        <w:rPr>
          <w:rFonts w:hint="eastAsia" w:eastAsia="仿宋_GB2312"/>
          <w:sz w:val="32"/>
          <w:szCs w:val="32"/>
        </w:rPr>
        <w:t>%</w:t>
      </w:r>
      <w:bookmarkEnd w:id="7"/>
      <w:bookmarkEnd w:id="8"/>
      <w:bookmarkEnd w:id="9"/>
      <w:bookmarkStart w:id="10" w:name="END_IS_ZERO_05"/>
      <w:r>
        <w:rPr>
          <w:rFonts w:hint="eastAsia" w:eastAsia="仿宋_GB2312"/>
          <w:sz w:val="32"/>
          <w:szCs w:val="32"/>
        </w:rPr>
        <w:t>，主要是</w:t>
      </w:r>
      <w:bookmarkStart w:id="11" w:name="INCOME_BJBD_MAIN"/>
      <w:r>
        <w:rPr>
          <w:rFonts w:hint="eastAsia" w:eastAsia="仿宋_GB2312"/>
          <w:sz w:val="32"/>
          <w:szCs w:val="32"/>
          <w:lang w:val="en-US" w:eastAsia="zh-CN"/>
        </w:rPr>
        <w:t>职责职能划转，优化办人员及相关工作划入我局，增加了人员及相关工作经费</w:t>
      </w:r>
      <w:r>
        <w:rPr>
          <w:rFonts w:hint="eastAsia" w:eastAsia="仿宋_GB2312"/>
          <w:sz w:val="32"/>
          <w:szCs w:val="32"/>
        </w:rPr>
        <w:t>。主要</w:t>
      </w:r>
      <w:r>
        <w:rPr>
          <w:rFonts w:hint="eastAsia" w:eastAsia="仿宋_GB2312"/>
          <w:sz w:val="32"/>
          <w:szCs w:val="32"/>
          <w:lang w:val="en-US" w:eastAsia="zh-CN"/>
        </w:rPr>
        <w:t>任务</w:t>
      </w:r>
      <w:r>
        <w:rPr>
          <w:rFonts w:hint="eastAsia" w:eastAsia="仿宋_GB2312"/>
          <w:sz w:val="32"/>
          <w:szCs w:val="32"/>
        </w:rPr>
        <w:t>有：完成全县县级储备粮轮换工作任务；完成全县入统粮食企业监管监测工作任务；完成全县收购的县临储粮储存及销售处置工作任务，给予承储企业保管费、价差亏损、轮换费用</w:t>
      </w:r>
      <w:r>
        <w:rPr>
          <w:rFonts w:hint="eastAsia" w:eastAsia="仿宋_GB2312"/>
          <w:sz w:val="32"/>
          <w:szCs w:val="32"/>
          <w:lang w:eastAsia="zh-CN"/>
        </w:rPr>
        <w:t>、管理差价及人员社保问题处理</w:t>
      </w:r>
      <w:r>
        <w:rPr>
          <w:rFonts w:hint="eastAsia" w:eastAsia="仿宋_GB2312"/>
          <w:sz w:val="32"/>
          <w:szCs w:val="32"/>
        </w:rPr>
        <w:t>；完成全县县级储备粮储备及轮换工作任务；政策性粮食挂账利息</w:t>
      </w:r>
      <w:bookmarkEnd w:id="10"/>
      <w:r>
        <w:rPr>
          <w:rFonts w:hint="eastAsia" w:eastAsia="仿宋_GB2312"/>
          <w:sz w:val="32"/>
          <w:szCs w:val="32"/>
          <w:lang w:eastAsia="zh-CN"/>
        </w:rPr>
        <w:t>；国防人防相关工作任务</w:t>
      </w:r>
      <w:bookmarkEnd w:id="11"/>
      <w:bookmarkStart w:id="12" w:name="START_IS_ZERO_04_2"/>
      <w:bookmarkEnd w:id="12"/>
      <w:bookmarkStart w:id="13" w:name="END_IS_ZERO_04_2"/>
      <w:bookmarkEnd w:id="13"/>
      <w:bookmarkStart w:id="14" w:name="DIS_MARK_IS_ZERO_04_2"/>
      <w:bookmarkEnd w:id="14"/>
      <w:bookmarkStart w:id="15" w:name="END_IS_ZERO_04_1"/>
      <w:bookmarkEnd w:id="15"/>
      <w:r>
        <w:rPr>
          <w:rFonts w:hint="eastAsia" w:eastAsia="仿宋_GB2312"/>
          <w:sz w:val="32"/>
          <w:szCs w:val="32"/>
          <w:lang w:eastAsia="zh-CN"/>
        </w:rPr>
        <w:t>；</w:t>
      </w:r>
      <w:r>
        <w:rPr>
          <w:rFonts w:hint="eastAsia" w:eastAsia="仿宋_GB2312"/>
          <w:sz w:val="32"/>
          <w:szCs w:val="32"/>
          <w:lang w:val="en-US" w:eastAsia="zh-CN"/>
        </w:rPr>
        <w:t>价格认证、监测、监督等工作任务</w:t>
      </w:r>
      <w:r>
        <w:rPr>
          <w:rFonts w:hint="eastAsia" w:eastAsia="仿宋_GB2312"/>
          <w:sz w:val="32"/>
          <w:szCs w:val="32"/>
          <w:lang w:eastAsia="zh-CN"/>
        </w:rPr>
        <w:t>。</w:t>
      </w:r>
    </w:p>
    <w:p w14:paraId="0FA33F45">
      <w:pPr>
        <w:numPr>
          <w:ilvl w:val="0"/>
          <w:numId w:val="2"/>
        </w:numPr>
        <w:spacing w:line="570" w:lineRule="atLeast"/>
        <w:ind w:firstLine="643"/>
        <w:rPr>
          <w:rFonts w:hint="eastAsia" w:ascii="仿宋_GB2312" w:hAnsi="仿宋" w:eastAsia="仿宋_GB2312" w:cs="宋体"/>
          <w:color w:val="000000"/>
          <w:sz w:val="30"/>
          <w:szCs w:val="30"/>
        </w:rPr>
      </w:pPr>
      <w:r>
        <w:rPr>
          <w:rFonts w:hint="eastAsia" w:eastAsia="仿宋_GB2312"/>
          <w:b/>
          <w:sz w:val="32"/>
          <w:szCs w:val="32"/>
        </w:rPr>
        <w:t>支出预算：</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年本部门支出预算</w:t>
      </w:r>
      <w:r>
        <w:rPr>
          <w:rFonts w:hint="eastAsia" w:ascii="仿宋_GB2312" w:hAnsi="仿宋_GB2312" w:eastAsia="仿宋_GB2312" w:cs="仿宋_GB2312"/>
          <w:color w:val="000000"/>
          <w:sz w:val="32"/>
          <w:szCs w:val="32"/>
          <w:shd w:val="clear" w:color="auto" w:fill="FFFFFF"/>
          <w:lang w:val="en-US" w:eastAsia="zh-CN"/>
        </w:rPr>
        <w:t>1436.19</w:t>
      </w:r>
      <w:r>
        <w:rPr>
          <w:rFonts w:hint="eastAsia" w:ascii="仿宋_GB2312" w:hAnsi="仿宋_GB2312" w:eastAsia="仿宋_GB2312" w:cs="仿宋_GB2312"/>
          <w:color w:val="000000"/>
          <w:sz w:val="32"/>
          <w:szCs w:val="32"/>
          <w:shd w:val="clear" w:color="auto" w:fill="FFFFFF"/>
        </w:rPr>
        <w:t>万元，</w:t>
      </w:r>
      <w:bookmarkStart w:id="16" w:name="START_PAY_BGT_AMT"/>
      <w:bookmarkEnd w:id="16"/>
      <w:bookmarkStart w:id="17" w:name="DIS_MARK_PAY_BGT_AMT"/>
      <w:r>
        <w:rPr>
          <w:rFonts w:hint="eastAsia" w:ascii="仿宋_GB2312" w:hAnsi="仿宋_GB2312" w:eastAsia="仿宋_GB2312" w:cs="仿宋_GB2312"/>
          <w:color w:val="000000"/>
          <w:sz w:val="32"/>
          <w:szCs w:val="32"/>
          <w:shd w:val="clear" w:color="auto" w:fill="FFFFFF"/>
        </w:rPr>
        <w:t>其中：一般公共服务支出</w:t>
      </w:r>
      <w:r>
        <w:rPr>
          <w:rFonts w:hint="eastAsia" w:ascii="仿宋_GB2312" w:hAnsi="仿宋_GB2312" w:eastAsia="仿宋_GB2312" w:cs="仿宋_GB2312"/>
          <w:color w:val="000000"/>
          <w:sz w:val="32"/>
          <w:szCs w:val="32"/>
          <w:shd w:val="clear" w:color="auto" w:fill="FFFFFF"/>
          <w:lang w:val="en-US" w:eastAsia="zh-CN"/>
        </w:rPr>
        <w:t>1436.19</w:t>
      </w:r>
      <w:r>
        <w:rPr>
          <w:rFonts w:hint="eastAsia" w:ascii="仿宋_GB2312" w:hAnsi="仿宋_GB2312" w:eastAsia="仿宋_GB2312" w:cs="仿宋_GB2312"/>
          <w:color w:val="000000"/>
          <w:sz w:val="32"/>
          <w:szCs w:val="32"/>
          <w:shd w:val="clear" w:color="auto" w:fill="FFFFFF"/>
        </w:rPr>
        <w:t>万元。</w:t>
      </w:r>
      <w:bookmarkEnd w:id="17"/>
      <w:bookmarkStart w:id="18" w:name="IS_ZERO_01"/>
      <w:bookmarkEnd w:id="18"/>
      <w:bookmarkStart w:id="19" w:name="END_PAY_ZWFXZC_AMT"/>
      <w:bookmarkEnd w:id="19"/>
      <w:bookmarkStart w:id="20" w:name="DIS_MARK_PAY_ZHFZJYJGLZC_AMT"/>
      <w:bookmarkEnd w:id="20"/>
      <w:bookmarkStart w:id="21" w:name="START_PAY_ZYXZC_AMT"/>
      <w:bookmarkEnd w:id="21"/>
      <w:bookmarkStart w:id="22" w:name="END_PAY_GYZBJYYSZC_AMT"/>
      <w:bookmarkEnd w:id="22"/>
      <w:bookmarkStart w:id="23" w:name="DIS_MARK_PAY_KYTBGZAPDZC_AMT"/>
      <w:bookmarkEnd w:id="23"/>
      <w:bookmarkStart w:id="24" w:name="START_PAY_QTZC_AMT"/>
      <w:bookmarkEnd w:id="24"/>
      <w:bookmarkStart w:id="25" w:name="END_PAY_QTZC_AMT"/>
      <w:bookmarkEnd w:id="25"/>
      <w:bookmarkStart w:id="26" w:name="START_PAY_GYZBJYYSZC_AMT"/>
      <w:bookmarkEnd w:id="26"/>
      <w:bookmarkStart w:id="27" w:name="DIS_MARK_PAY_QTZC_AMT"/>
      <w:bookmarkEnd w:id="27"/>
      <w:bookmarkStart w:id="28" w:name="END_PAY_ZHFZJYJGLZC_AMT"/>
      <w:bookmarkEnd w:id="28"/>
      <w:bookmarkStart w:id="29" w:name="END_PAY_ZYXZC_AMT"/>
      <w:bookmarkEnd w:id="29"/>
      <w:bookmarkStart w:id="30" w:name="END_PAY_YBF_AMT"/>
      <w:bookmarkEnd w:id="30"/>
      <w:bookmarkStart w:id="31" w:name="START_PAY_ZWFXFYZC_AMT"/>
      <w:bookmarkEnd w:id="31"/>
      <w:bookmarkStart w:id="32" w:name="DIS_MARK_PAY_YBF_AMT"/>
      <w:bookmarkEnd w:id="32"/>
      <w:bookmarkStart w:id="33" w:name="END_PAY_ZWFXFYZC_AMT"/>
      <w:bookmarkEnd w:id="33"/>
      <w:bookmarkStart w:id="34" w:name="DIS_MARK_PAY_GYZBJYYSZC_AMT"/>
      <w:bookmarkEnd w:id="34"/>
      <w:bookmarkStart w:id="35" w:name="END_PAY_KYTBGZAPDZC_AMT"/>
      <w:bookmarkEnd w:id="35"/>
      <w:bookmarkStart w:id="36" w:name="DIS_MARK_PAY_ZYXZC_AMT"/>
      <w:bookmarkEnd w:id="36"/>
      <w:bookmarkStart w:id="37" w:name="END_PAY_ZWHBZC_AMT"/>
      <w:bookmarkEnd w:id="37"/>
      <w:bookmarkStart w:id="38" w:name="START_PAY_KYTBGZAPDZC_AMT"/>
      <w:bookmarkEnd w:id="38"/>
      <w:bookmarkStart w:id="39" w:name="START_PAY_ZWHBZC_AMT"/>
      <w:bookmarkEnd w:id="39"/>
      <w:bookmarkStart w:id="40" w:name="START_PAY_YBF_AMT"/>
      <w:bookmarkEnd w:id="40"/>
      <w:bookmarkStart w:id="41" w:name="DIS_MARK_PAY_ZWHBZC_AMT"/>
      <w:bookmarkEnd w:id="41"/>
      <w:bookmarkStart w:id="42" w:name="DIS_MARK_PAY_ZWFXZC_AMT"/>
      <w:bookmarkEnd w:id="42"/>
      <w:bookmarkStart w:id="43" w:name="START_IS_ZERO_01_1"/>
      <w:bookmarkEnd w:id="43"/>
      <w:bookmarkStart w:id="44" w:name="START_PAY_ZWFXZC_AMT"/>
      <w:bookmarkEnd w:id="44"/>
      <w:bookmarkStart w:id="45" w:name="END_PAY_BGT_AMT"/>
      <w:bookmarkEnd w:id="45"/>
      <w:bookmarkStart w:id="46" w:name="START_PAY_ZHFZJYJGLZC_AMT"/>
      <w:bookmarkEnd w:id="46"/>
      <w:bookmarkStart w:id="47" w:name="DIS_MARK_PAY_ZWFXFYZC_AMT"/>
      <w:bookmarkEnd w:id="47"/>
      <w:bookmarkStart w:id="48" w:name="END_PAY_LYWZCBZC_AMT"/>
      <w:bookmarkEnd w:id="48"/>
      <w:bookmarkStart w:id="49" w:name="DIS_MARK_IS_ZERO_01_1"/>
      <w:r>
        <w:rPr>
          <w:rFonts w:hint="eastAsia" w:ascii="仿宋_GB2312" w:hAnsi="仿宋_GB2312" w:eastAsia="仿宋_GB2312" w:cs="仿宋_GB2312"/>
          <w:color w:val="000000"/>
          <w:sz w:val="32"/>
          <w:szCs w:val="32"/>
          <w:shd w:val="clear" w:color="auto" w:fill="FFFFFF"/>
        </w:rPr>
        <w:t>支出较去年</w:t>
      </w:r>
      <w:bookmarkEnd w:id="49"/>
      <w:bookmarkStart w:id="50" w:name="END_IS_ZERO_00"/>
      <w:r>
        <w:rPr>
          <w:rFonts w:hint="eastAsia" w:eastAsia="仿宋_GB2312"/>
          <w:sz w:val="32"/>
          <w:szCs w:val="32"/>
          <w:lang w:val="en-US" w:eastAsia="zh-CN"/>
        </w:rPr>
        <w:t>增加65.44</w:t>
      </w:r>
      <w:r>
        <w:rPr>
          <w:rFonts w:hint="eastAsia" w:eastAsia="仿宋_GB2312"/>
          <w:sz w:val="32"/>
          <w:szCs w:val="32"/>
        </w:rPr>
        <w:t>万元，</w:t>
      </w:r>
      <w:r>
        <w:rPr>
          <w:rFonts w:hint="eastAsia" w:eastAsia="仿宋_GB2312"/>
          <w:sz w:val="32"/>
          <w:szCs w:val="32"/>
          <w:lang w:val="en-US" w:eastAsia="zh-CN"/>
        </w:rPr>
        <w:t>增加4.8</w:t>
      </w:r>
      <w:r>
        <w:rPr>
          <w:rFonts w:hint="eastAsia" w:eastAsia="仿宋_GB2312"/>
          <w:sz w:val="32"/>
          <w:szCs w:val="32"/>
        </w:rPr>
        <w:t>%</w:t>
      </w:r>
      <w:r>
        <w:rPr>
          <w:rFonts w:hint="eastAsia" w:ascii="仿宋_GB2312" w:hAnsi="仿宋_GB2312" w:eastAsia="仿宋_GB2312" w:cs="仿宋_GB2312"/>
          <w:color w:val="000000"/>
          <w:sz w:val="32"/>
          <w:szCs w:val="32"/>
          <w:shd w:val="clear" w:color="auto" w:fill="FFFFFF"/>
        </w:rPr>
        <w:t>，</w:t>
      </w:r>
      <w:bookmarkEnd w:id="50"/>
      <w:bookmarkStart w:id="51" w:name="END_IS_ZERO_01_2"/>
      <w:bookmarkEnd w:id="51"/>
      <w:bookmarkStart w:id="52" w:name="START_IS_ZERO_01_2"/>
      <w:bookmarkEnd w:id="52"/>
      <w:bookmarkStart w:id="53" w:name="DIS_MARK_IS_ZERO_01_2"/>
      <w:bookmarkEnd w:id="53"/>
      <w:bookmarkStart w:id="54" w:name="END_IS_ZERO_01_1"/>
      <w:bookmarkEnd w:id="54"/>
      <w:r>
        <w:rPr>
          <w:rFonts w:hint="eastAsia" w:eastAsia="仿宋_GB2312"/>
          <w:sz w:val="32"/>
          <w:szCs w:val="32"/>
        </w:rPr>
        <w:t>主要是</w:t>
      </w:r>
      <w:r>
        <w:rPr>
          <w:rFonts w:hint="eastAsia" w:eastAsia="仿宋_GB2312"/>
          <w:sz w:val="32"/>
          <w:szCs w:val="32"/>
          <w:lang w:val="en-US" w:eastAsia="zh-CN"/>
        </w:rPr>
        <w:t>职责职能划转，优化办人员及相关工作划入我局，增加了人员及相关工作经费</w:t>
      </w:r>
      <w:r>
        <w:rPr>
          <w:rFonts w:hint="eastAsia" w:eastAsia="仿宋_GB2312"/>
          <w:sz w:val="32"/>
          <w:szCs w:val="32"/>
        </w:rPr>
        <w:t>。主要有：完成全县县级储备粮轮换工作任务；完成全县入统粮食企业监管监测工作任务；完成全县收购的县临储粮储存及销售处置工作任务，给予承储企业保管费、价差亏损、轮换费用</w:t>
      </w:r>
      <w:r>
        <w:rPr>
          <w:rFonts w:hint="eastAsia" w:eastAsia="仿宋_GB2312"/>
          <w:sz w:val="32"/>
          <w:szCs w:val="32"/>
          <w:lang w:eastAsia="zh-CN"/>
        </w:rPr>
        <w:t>、管理差价及人员社保问题处理</w:t>
      </w:r>
      <w:r>
        <w:rPr>
          <w:rFonts w:hint="eastAsia" w:eastAsia="仿宋_GB2312"/>
          <w:sz w:val="32"/>
          <w:szCs w:val="32"/>
        </w:rPr>
        <w:t>；完成全县县级储备粮储备及轮换工作任务；政策性粮食挂账利息</w:t>
      </w:r>
      <w:r>
        <w:rPr>
          <w:rFonts w:hint="eastAsia" w:eastAsia="仿宋_GB2312"/>
          <w:sz w:val="32"/>
          <w:szCs w:val="32"/>
          <w:lang w:eastAsia="zh-CN"/>
        </w:rPr>
        <w:t>；国防人防相关工作任务；</w:t>
      </w:r>
      <w:r>
        <w:rPr>
          <w:rFonts w:hint="eastAsia" w:eastAsia="仿宋_GB2312"/>
          <w:sz w:val="32"/>
          <w:szCs w:val="32"/>
          <w:lang w:val="en-US" w:eastAsia="zh-CN"/>
        </w:rPr>
        <w:t>价格认证、监测、监督等工作任务</w:t>
      </w:r>
      <w:r>
        <w:rPr>
          <w:rFonts w:hint="eastAsia" w:eastAsia="仿宋_GB2312"/>
          <w:sz w:val="32"/>
          <w:szCs w:val="32"/>
          <w:lang w:eastAsia="zh-CN"/>
        </w:rPr>
        <w:t>。</w:t>
      </w:r>
    </w:p>
    <w:p w14:paraId="5F31A54F">
      <w:pPr>
        <w:widowControl/>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四、一般公共预算拨款支出</w:t>
      </w:r>
    </w:p>
    <w:p w14:paraId="14D25592">
      <w:pPr>
        <w:spacing w:line="570" w:lineRule="atLeas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ascii="仿宋_GB2312" w:hAnsi="仿宋_GB2312" w:eastAsia="仿宋_GB2312" w:cs="仿宋_GB2312"/>
          <w:color w:val="000000"/>
          <w:sz w:val="32"/>
          <w:szCs w:val="32"/>
          <w:shd w:val="clear" w:color="auto" w:fill="FFFFFF"/>
        </w:rPr>
        <w:t>年本</w:t>
      </w:r>
      <w:r>
        <w:rPr>
          <w:rFonts w:hint="eastAsia" w:ascii="仿宋_GB2312" w:hAnsi="仿宋_GB2312" w:eastAsia="仿宋_GB2312" w:cs="仿宋_GB2312"/>
          <w:color w:val="000000"/>
          <w:sz w:val="32"/>
          <w:szCs w:val="32"/>
          <w:shd w:val="clear" w:color="auto" w:fill="FFFFFF"/>
        </w:rPr>
        <w:t>部门</w:t>
      </w:r>
      <w:r>
        <w:rPr>
          <w:rFonts w:ascii="仿宋_GB2312" w:hAnsi="仿宋_GB2312" w:eastAsia="仿宋_GB2312" w:cs="仿宋_GB2312"/>
          <w:color w:val="000000"/>
          <w:sz w:val="32"/>
          <w:szCs w:val="32"/>
          <w:shd w:val="clear" w:color="auto" w:fill="FFFFFF"/>
        </w:rPr>
        <w:t>一般公共预算拨款支出</w:t>
      </w:r>
      <w:r>
        <w:rPr>
          <w:rFonts w:hint="eastAsia" w:ascii="仿宋_GB2312" w:hAnsi="仿宋_GB2312" w:eastAsia="仿宋_GB2312" w:cs="仿宋_GB2312"/>
          <w:color w:val="000000"/>
          <w:sz w:val="32"/>
          <w:szCs w:val="32"/>
          <w:shd w:val="clear" w:color="auto" w:fill="FFFFFF"/>
          <w:lang w:val="en-US" w:eastAsia="zh-CN"/>
        </w:rPr>
        <w:t>1436.19</w:t>
      </w:r>
      <w:r>
        <w:rPr>
          <w:rFonts w:hint="eastAsia" w:ascii="仿宋_GB2312" w:hAnsi="仿宋_GB2312" w:eastAsia="仿宋_GB2312" w:cs="仿宋_GB2312"/>
          <w:color w:val="000000"/>
          <w:sz w:val="32"/>
          <w:szCs w:val="32"/>
          <w:shd w:val="clear" w:color="auto" w:fill="FFFFFF"/>
        </w:rPr>
        <w:t>万元</w:t>
      </w:r>
      <w:r>
        <w:rPr>
          <w:rFonts w:ascii="仿宋_GB2312" w:hAnsi="仿宋_GB2312" w:eastAsia="仿宋_GB2312" w:cs="仿宋_GB2312"/>
          <w:color w:val="000000"/>
          <w:sz w:val="32"/>
          <w:szCs w:val="32"/>
          <w:shd w:val="clear" w:color="auto" w:fill="FFFFFF"/>
        </w:rPr>
        <w:t>（含上级财政补助</w:t>
      </w:r>
      <w:bookmarkStart w:id="55" w:name="PAY_SJCZBZZC_AMT"/>
      <w:r>
        <w:rPr>
          <w:rFonts w:ascii="仿宋_GB2312" w:hAnsi="仿宋_GB2312" w:eastAsia="仿宋_GB2312" w:cs="仿宋_GB2312"/>
          <w:color w:val="000000"/>
          <w:sz w:val="32"/>
          <w:szCs w:val="32"/>
          <w:shd w:val="clear" w:color="auto" w:fill="FFFFFF"/>
        </w:rPr>
        <w:t>0.00</w:t>
      </w:r>
      <w:bookmarkEnd w:id="55"/>
      <w:r>
        <w:rPr>
          <w:rFonts w:hint="eastAsia" w:ascii="仿宋_GB2312" w:hAnsi="仿宋_GB2312" w:eastAsia="仿宋_GB2312" w:cs="仿宋_GB2312"/>
          <w:color w:val="000000"/>
          <w:sz w:val="32"/>
          <w:szCs w:val="32"/>
          <w:shd w:val="clear" w:color="auto" w:fill="FFFFFF"/>
        </w:rPr>
        <w:t>万元</w:t>
      </w:r>
      <w:r>
        <w:rPr>
          <w:rFonts w:ascii="仿宋_GB2312" w:hAnsi="仿宋_GB2312" w:eastAsia="仿宋_GB2312" w:cs="仿宋_GB2312"/>
          <w:color w:val="000000"/>
          <w:sz w:val="32"/>
          <w:szCs w:val="32"/>
          <w:shd w:val="clear" w:color="auto" w:fill="FFFFFF"/>
        </w:rPr>
        <w:t>），</w:t>
      </w:r>
      <w:bookmarkStart w:id="56" w:name="START_PAY_YBGGYSBKZC"/>
      <w:bookmarkEnd w:id="56"/>
      <w:bookmarkStart w:id="57" w:name="DIS_MARK_PAY_YBGGYSBKZC"/>
      <w:r>
        <w:rPr>
          <w:rFonts w:ascii="仿宋_GB2312" w:hAnsi="仿宋_GB2312" w:eastAsia="仿宋_GB2312" w:cs="仿宋_GB2312"/>
          <w:color w:val="000000"/>
          <w:sz w:val="32"/>
          <w:szCs w:val="32"/>
          <w:shd w:val="clear" w:color="auto" w:fill="FFFFFF"/>
        </w:rPr>
        <w:t>其中：一般公共服务支出</w:t>
      </w:r>
      <w:r>
        <w:rPr>
          <w:rFonts w:hint="eastAsia" w:ascii="仿宋_GB2312" w:hAnsi="仿宋_GB2312" w:eastAsia="仿宋_GB2312" w:cs="仿宋_GB2312"/>
          <w:color w:val="000000"/>
          <w:sz w:val="32"/>
          <w:szCs w:val="32"/>
          <w:shd w:val="clear" w:color="auto" w:fill="FFFFFF"/>
          <w:lang w:val="en-US" w:eastAsia="zh-CN"/>
        </w:rPr>
        <w:t>1436.19</w:t>
      </w:r>
      <w:r>
        <w:rPr>
          <w:rFonts w:ascii="仿宋_GB2312" w:hAnsi="仿宋_GB2312" w:eastAsia="仿宋_GB2312" w:cs="仿宋_GB2312"/>
          <w:color w:val="000000"/>
          <w:sz w:val="32"/>
          <w:szCs w:val="32"/>
          <w:shd w:val="clear" w:color="auto" w:fill="FFFFFF"/>
        </w:rPr>
        <w:t>万元，占</w:t>
      </w:r>
      <w:r>
        <w:rPr>
          <w:rFonts w:hint="eastAsia" w:ascii="仿宋_GB2312" w:hAnsi="仿宋_GB2312" w:eastAsia="仿宋_GB2312" w:cs="仿宋_GB2312"/>
          <w:color w:val="000000"/>
          <w:sz w:val="32"/>
          <w:szCs w:val="32"/>
          <w:shd w:val="clear" w:color="auto" w:fill="FFFFFF"/>
          <w:lang w:val="en-US" w:eastAsia="zh-CN"/>
        </w:rPr>
        <w:t>100</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社会保障和就业支出</w:t>
      </w:r>
      <w:r>
        <w:rPr>
          <w:rFonts w:hint="eastAsia" w:ascii="仿宋_GB2312" w:hAnsi="仿宋_GB2312" w:eastAsia="仿宋_GB2312" w:cs="仿宋_GB2312"/>
          <w:color w:val="000000"/>
          <w:sz w:val="32"/>
          <w:szCs w:val="32"/>
          <w:shd w:val="clear" w:color="auto" w:fill="FFFFFF"/>
          <w:lang w:val="en-US" w:eastAsia="zh-CN"/>
        </w:rPr>
        <w:t>0万元，占0%；卫生健康支出0万元，占0%；住房保障支出0</w:t>
      </w:r>
      <w:r>
        <w:rPr>
          <w:rFonts w:ascii="仿宋_GB2312" w:hAnsi="仿宋_GB2312" w:eastAsia="仿宋_GB2312" w:cs="仿宋_GB2312"/>
          <w:color w:val="000000"/>
          <w:sz w:val="32"/>
          <w:szCs w:val="32"/>
          <w:shd w:val="clear" w:color="auto" w:fill="FFFFFF"/>
        </w:rPr>
        <w:t>万元，占</w:t>
      </w:r>
      <w:r>
        <w:rPr>
          <w:rFonts w:hint="eastAsia" w:ascii="仿宋_GB2312" w:hAnsi="仿宋_GB2312" w:eastAsia="仿宋_GB2312" w:cs="仿宋_GB2312"/>
          <w:color w:val="000000"/>
          <w:sz w:val="32"/>
          <w:szCs w:val="32"/>
          <w:shd w:val="clear" w:color="auto" w:fill="FFFFFF"/>
          <w:lang w:val="en-US" w:eastAsia="zh-CN"/>
        </w:rPr>
        <w:t>0</w:t>
      </w:r>
      <w:r>
        <w:rPr>
          <w:rFonts w:ascii="仿宋_GB2312" w:hAnsi="仿宋_GB2312" w:eastAsia="仿宋_GB2312" w:cs="仿宋_GB2312"/>
          <w:color w:val="000000"/>
          <w:sz w:val="32"/>
          <w:szCs w:val="32"/>
          <w:shd w:val="clear" w:color="auto" w:fill="FFFFFF"/>
        </w:rPr>
        <w:t>%。</w:t>
      </w:r>
      <w:bookmarkEnd w:id="57"/>
      <w:bookmarkStart w:id="58" w:name="DIS_MARK_PAY_ZHFZJYJGLZC_AMT_1"/>
      <w:bookmarkEnd w:id="58"/>
      <w:bookmarkStart w:id="59" w:name="END_PAY_YBF_AMT_1"/>
      <w:bookmarkEnd w:id="59"/>
      <w:bookmarkStart w:id="60" w:name="END_PAY_ZWFXFZC_AMT_1"/>
      <w:bookmarkEnd w:id="60"/>
      <w:bookmarkStart w:id="61" w:name="END_PAY_ZWHBZC_AMT_1"/>
      <w:bookmarkEnd w:id="61"/>
      <w:bookmarkStart w:id="62" w:name="END_PAY_ZWFXZC_AMT_1"/>
      <w:bookmarkEnd w:id="62"/>
      <w:bookmarkStart w:id="63" w:name="END_PAY_ZHFZJYJGLZC_AMT_1"/>
      <w:bookmarkEnd w:id="63"/>
      <w:bookmarkStart w:id="64" w:name="START_PAY_ZWFXFZC_AMT_1"/>
      <w:bookmarkEnd w:id="64"/>
      <w:bookmarkStart w:id="65" w:name="DIS_MARK_PAY_ZWFXFZC_AMT_1"/>
      <w:bookmarkEnd w:id="65"/>
      <w:bookmarkStart w:id="66" w:name="END_PAY_LYWZCBZC_AMT_1"/>
      <w:bookmarkEnd w:id="66"/>
      <w:bookmarkStart w:id="67" w:name="START_PAY_QTZC_AMT_1"/>
      <w:bookmarkEnd w:id="67"/>
      <w:bookmarkStart w:id="68" w:name="DIS_MARK_PAY_QTZC_AMT_1"/>
      <w:bookmarkEnd w:id="68"/>
      <w:bookmarkStart w:id="69" w:name="DIS_MARK_PAY_ZWFXZC_AMT_1"/>
      <w:bookmarkEnd w:id="69"/>
      <w:bookmarkStart w:id="70" w:name="DIS_MARK_PAY_YBF_AMT_1"/>
      <w:bookmarkEnd w:id="70"/>
      <w:bookmarkStart w:id="71" w:name="DIS_MARK_PAY_ZWHBZC_AMT_1"/>
      <w:bookmarkEnd w:id="71"/>
      <w:bookmarkStart w:id="72" w:name="START_PAY_ZYXZCZC_AMT_1"/>
      <w:bookmarkEnd w:id="72"/>
      <w:bookmarkStart w:id="73" w:name="START_PAY_ZHFZJYJGLZC_AMT_1"/>
      <w:bookmarkEnd w:id="73"/>
      <w:bookmarkStart w:id="74" w:name="END_PAY_QTZC_AMT_1"/>
      <w:bookmarkEnd w:id="74"/>
      <w:bookmarkStart w:id="75" w:name="DIS_MARK_PAY_ZYXZCZC_AMT_1"/>
      <w:bookmarkEnd w:id="75"/>
      <w:bookmarkStart w:id="76" w:name="END_PAY_YBGGYSBKZC"/>
      <w:bookmarkEnd w:id="76"/>
      <w:bookmarkStart w:id="77" w:name="END_PAY_ZYXZCZC_AMT_1"/>
      <w:bookmarkEnd w:id="77"/>
      <w:bookmarkStart w:id="78" w:name="START_PAY_ZWHBZC_AMT_1"/>
      <w:bookmarkEnd w:id="78"/>
      <w:bookmarkStart w:id="79" w:name="START_PAY_ZWFXZC_AMT_1"/>
      <w:bookmarkEnd w:id="79"/>
      <w:bookmarkStart w:id="80" w:name="START_PAY_YBF_AMT_1"/>
      <w:bookmarkEnd w:id="80"/>
      <w:r>
        <w:rPr>
          <w:rFonts w:ascii="仿宋_GB2312" w:hAnsi="仿宋_GB2312" w:eastAsia="仿宋_GB2312" w:cs="仿宋_GB2312"/>
          <w:color w:val="000000"/>
          <w:sz w:val="32"/>
          <w:szCs w:val="32"/>
          <w:shd w:val="clear" w:color="auto" w:fill="FFFFFF"/>
        </w:rPr>
        <w:t>具体安排情况如下：</w:t>
      </w:r>
    </w:p>
    <w:p w14:paraId="26C38C86">
      <w:pPr>
        <w:spacing w:line="570" w:lineRule="atLeast"/>
        <w:ind w:firstLine="643"/>
        <w:rPr>
          <w:rFonts w:ascii="仿宋_GB2312" w:hAnsi="仿宋_GB2312" w:eastAsia="仿宋_GB2312" w:cs="仿宋_GB2312"/>
          <w:color w:val="000000"/>
          <w:sz w:val="32"/>
          <w:szCs w:val="32"/>
          <w:shd w:val="clear" w:color="auto" w:fill="FFFFFF"/>
        </w:rPr>
      </w:pPr>
      <w:r>
        <w:rPr>
          <w:rFonts w:eastAsia="仿宋_GB2312"/>
          <w:b/>
          <w:sz w:val="32"/>
          <w:szCs w:val="32"/>
        </w:rPr>
        <w:t>（一）基本支出：</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年本部门基本支出预算数</w:t>
      </w:r>
      <w:r>
        <w:rPr>
          <w:rFonts w:hint="eastAsia" w:ascii="仿宋_GB2312" w:hAnsi="仿宋_GB2312" w:eastAsia="仿宋_GB2312" w:cs="仿宋_GB2312"/>
          <w:color w:val="000000"/>
          <w:sz w:val="32"/>
          <w:szCs w:val="32"/>
          <w:shd w:val="clear" w:color="auto" w:fill="FFFFFF"/>
          <w:lang w:val="en-US" w:eastAsia="zh-CN"/>
        </w:rPr>
        <w:t>598.38</w:t>
      </w:r>
      <w:r>
        <w:rPr>
          <w:rFonts w:hint="eastAsia" w:ascii="仿宋_GB2312" w:hAnsi="仿宋_GB2312" w:eastAsia="仿宋_GB2312" w:cs="仿宋_GB2312"/>
          <w:color w:val="000000"/>
          <w:sz w:val="32"/>
          <w:szCs w:val="32"/>
          <w:shd w:val="clear" w:color="auto" w:fill="FFFFFF"/>
        </w:rPr>
        <w:t>万元，主要是为保障部门正常运转、完成日常工作任务而发生的各项支出，包括用于基本工资、津贴补贴等人员经费以及办公费、印刷费、水电费、办公设备</w:t>
      </w:r>
      <w:r>
        <w:rPr>
          <w:rFonts w:hint="eastAsia" w:ascii="仿宋_GB2312" w:hAnsi="仿宋_GB2312" w:eastAsia="仿宋_GB2312" w:cs="仿宋_GB2312"/>
          <w:color w:val="000000"/>
          <w:sz w:val="32"/>
          <w:szCs w:val="32"/>
          <w:shd w:val="clear" w:color="auto" w:fill="FFFFFF"/>
          <w:lang w:val="en-US" w:eastAsia="zh-CN"/>
        </w:rPr>
        <w:t>维修</w:t>
      </w:r>
      <w:r>
        <w:rPr>
          <w:rFonts w:hint="eastAsia" w:ascii="仿宋_GB2312" w:hAnsi="仿宋_GB2312" w:eastAsia="仿宋_GB2312" w:cs="仿宋_GB2312"/>
          <w:color w:val="000000"/>
          <w:sz w:val="32"/>
          <w:szCs w:val="32"/>
          <w:shd w:val="clear" w:color="auto" w:fill="FFFFFF"/>
        </w:rPr>
        <w:t>等公用经费。</w:t>
      </w:r>
    </w:p>
    <w:p w14:paraId="64867AB8">
      <w:pPr>
        <w:spacing w:line="570" w:lineRule="atLeast"/>
        <w:ind w:firstLine="643"/>
        <w:rPr>
          <w:rFonts w:ascii="仿宋_GB2312" w:hAnsi="仿宋_GB2312" w:eastAsia="仿宋_GB2312" w:cs="仿宋_GB2312"/>
          <w:color w:val="000000"/>
          <w:sz w:val="32"/>
          <w:szCs w:val="32"/>
          <w:shd w:val="clear" w:color="auto" w:fill="FFFFFF"/>
        </w:rPr>
      </w:pPr>
      <w:r>
        <w:rPr>
          <w:rFonts w:eastAsia="仿宋_GB2312"/>
          <w:b/>
          <w:sz w:val="32"/>
          <w:szCs w:val="32"/>
        </w:rPr>
        <w:t>（二）项目支出：</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年本部门项目支出预算</w:t>
      </w:r>
      <w:r>
        <w:rPr>
          <w:rFonts w:hint="eastAsia" w:ascii="仿宋_GB2312" w:hAnsi="仿宋_GB2312" w:eastAsia="仿宋_GB2312" w:cs="仿宋_GB2312"/>
          <w:color w:val="000000"/>
          <w:sz w:val="32"/>
          <w:szCs w:val="32"/>
          <w:shd w:val="clear" w:color="auto" w:fill="FFFFFF"/>
          <w:lang w:val="en-US" w:eastAsia="zh-CN"/>
        </w:rPr>
        <w:t>837.81</w:t>
      </w:r>
      <w:r>
        <w:rPr>
          <w:rFonts w:hint="eastAsia" w:ascii="仿宋_GB2312" w:hAnsi="仿宋_GB2312" w:eastAsia="仿宋_GB2312" w:cs="仿宋_GB2312"/>
          <w:color w:val="000000"/>
          <w:sz w:val="32"/>
          <w:szCs w:val="32"/>
          <w:shd w:val="clear" w:color="auto" w:fill="FFFFFF"/>
        </w:rPr>
        <w:t>万元，主要是</w:t>
      </w:r>
      <w:r>
        <w:rPr>
          <w:rFonts w:hint="eastAsia" w:ascii="仿宋_GB2312" w:hAnsi="仿宋_GB2312" w:eastAsia="仿宋_GB2312" w:cs="仿宋_GB2312"/>
          <w:bCs/>
          <w:sz w:val="32"/>
          <w:szCs w:val="32"/>
        </w:rPr>
        <w:t>部门</w:t>
      </w:r>
      <w:r>
        <w:rPr>
          <w:rFonts w:hint="eastAsia" w:ascii="仿宋_GB2312" w:hAnsi="仿宋_GB2312" w:eastAsia="仿宋_GB2312" w:cs="仿宋_GB2312"/>
          <w:color w:val="000000"/>
          <w:sz w:val="32"/>
          <w:szCs w:val="32"/>
          <w:shd w:val="clear" w:color="auto" w:fill="FFFFFF"/>
        </w:rPr>
        <w:t>为完成特定行政工作任务或事业发展目标而发生的支出</w:t>
      </w:r>
      <w:r>
        <w:rPr>
          <w:rFonts w:hint="eastAsia" w:ascii="仿宋_GB2312" w:hAnsi="仿宋_GB2312" w:eastAsia="仿宋_GB2312" w:cs="仿宋_GB2312"/>
          <w:bCs/>
          <w:sz w:val="32"/>
          <w:szCs w:val="32"/>
        </w:rPr>
        <w:t>，包括有关事业发展专项、专项业务费、基本建设支出等</w:t>
      </w:r>
      <w:bookmarkStart w:id="81" w:name="START_PUNCTUATION_MARK"/>
      <w:bookmarkEnd w:id="81"/>
      <w:bookmarkStart w:id="82" w:name="END_PUNCTUATION_MARK"/>
      <w:bookmarkEnd w:id="82"/>
      <w:bookmarkStart w:id="83" w:name="DIS_MARK_PUNCTUATION_MARK"/>
      <w:bookmarkEnd w:id="83"/>
      <w:bookmarkStart w:id="84" w:name="START_PAY_YBGGFWXMZC"/>
      <w:bookmarkEnd w:id="84"/>
      <w:bookmarkStart w:id="85" w:name="DIS_MARK_PAY_YBGGFWXMZC"/>
      <w:r>
        <w:rPr>
          <w:rFonts w:hint="eastAsia" w:ascii="仿宋_GB2312" w:hAnsi="仿宋_GB2312" w:eastAsia="仿宋_GB2312" w:cs="仿宋_GB2312"/>
          <w:bCs/>
          <w:sz w:val="32"/>
          <w:szCs w:val="32"/>
        </w:rPr>
        <w:t>，其中：</w:t>
      </w:r>
      <w:r>
        <w:rPr>
          <w:rFonts w:hint="eastAsia" w:ascii="仿宋_GB2312" w:hAnsi="仿宋_GB2312" w:eastAsia="仿宋_GB2312" w:cs="仿宋_GB2312"/>
          <w:bCs/>
          <w:sz w:val="32"/>
          <w:szCs w:val="32"/>
          <w:lang w:eastAsia="zh-CN"/>
        </w:rPr>
        <w:t>宏天公司其他</w:t>
      </w:r>
      <w:r>
        <w:rPr>
          <w:rFonts w:hint="eastAsia" w:ascii="仿宋_GB2312" w:hAnsi="仿宋_GB2312" w:eastAsia="仿宋_GB2312" w:cs="仿宋_GB2312"/>
          <w:bCs/>
          <w:sz w:val="32"/>
          <w:szCs w:val="32"/>
          <w:lang w:val="en-US" w:eastAsia="zh-CN"/>
        </w:rPr>
        <w:t>管理</w:t>
      </w:r>
      <w:r>
        <w:rPr>
          <w:rFonts w:hint="eastAsia" w:ascii="仿宋_GB2312" w:hAnsi="仿宋_GB2312" w:eastAsia="仿宋_GB2312" w:cs="仿宋_GB2312"/>
          <w:bCs/>
          <w:sz w:val="32"/>
          <w:szCs w:val="32"/>
          <w:lang w:eastAsia="zh-CN"/>
        </w:rPr>
        <w:t>费用缺口</w:t>
      </w:r>
      <w:r>
        <w:rPr>
          <w:rFonts w:hint="eastAsia" w:ascii="仿宋_GB2312" w:hAnsi="仿宋_GB2312" w:eastAsia="仿宋_GB2312" w:cs="仿宋_GB2312"/>
          <w:bCs/>
          <w:sz w:val="32"/>
          <w:szCs w:val="32"/>
          <w:lang w:val="en-US" w:eastAsia="zh-CN"/>
        </w:rPr>
        <w:t>201.2万元，</w:t>
      </w:r>
      <w:r>
        <w:rPr>
          <w:rFonts w:hint="eastAsia" w:ascii="仿宋_GB2312" w:hAnsi="仿宋_GB2312" w:eastAsia="仿宋_GB2312" w:cs="仿宋_GB2312"/>
          <w:bCs/>
          <w:sz w:val="32"/>
          <w:szCs w:val="32"/>
        </w:rPr>
        <w:t>主要解决人员的保险缴费问题</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公开招聘合同工1人</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万元，主要用于用于聘请1人的人员劳务费开支； 重点项目建设日常工作经费（含风能</w:t>
      </w:r>
      <w:r>
        <w:rPr>
          <w:rFonts w:hint="eastAsia" w:ascii="仿宋_GB2312" w:hAnsi="仿宋_GB2312" w:eastAsia="仿宋_GB2312" w:cs="仿宋_GB2312"/>
          <w:bCs/>
          <w:sz w:val="32"/>
          <w:szCs w:val="32"/>
          <w:lang w:eastAsia="zh-CN"/>
        </w:rPr>
        <w:t>、光伏</w:t>
      </w:r>
      <w:r>
        <w:rPr>
          <w:rFonts w:hint="eastAsia" w:ascii="仿宋_GB2312" w:hAnsi="仿宋_GB2312" w:eastAsia="仿宋_GB2312" w:cs="仿宋_GB2312"/>
          <w:bCs/>
          <w:sz w:val="32"/>
          <w:szCs w:val="32"/>
        </w:rPr>
        <w:t>开发）</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万元，主要用于重点项目建设日常工作经费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大力推进重点项目建设。今年来，深入推进产业发展“百十亿”工程和产业项目建设年、“项目大比武、献礼二十大”等活动，取得较好成效，项目建设一直保持良好势头；县临储粮费用</w:t>
      </w:r>
      <w:r>
        <w:rPr>
          <w:rFonts w:hint="eastAsia" w:ascii="仿宋_GB2312" w:hAnsi="仿宋_GB2312" w:eastAsia="仿宋_GB2312" w:cs="仿宋_GB2312"/>
          <w:bCs/>
          <w:sz w:val="32"/>
          <w:szCs w:val="32"/>
          <w:lang w:val="en-US" w:eastAsia="zh-CN"/>
        </w:rPr>
        <w:t>127.3</w:t>
      </w:r>
      <w:r>
        <w:rPr>
          <w:rFonts w:hint="eastAsia" w:ascii="仿宋_GB2312" w:hAnsi="仿宋_GB2312" w:eastAsia="仿宋_GB2312" w:cs="仿宋_GB2312"/>
          <w:bCs/>
          <w:sz w:val="32"/>
          <w:szCs w:val="32"/>
        </w:rPr>
        <w:t>万元，主要用于完成全县202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年收购的县临储粮储存及销售处置工作任务，给予承储企业保管费、价差亏损、轮换费用；粮食体制放99.00万元，主要用于原粮食体制改革人员的工资、津补贴等开支；</w:t>
      </w:r>
      <w:r>
        <w:rPr>
          <w:rFonts w:hint="eastAsia" w:ascii="仿宋_GB2312" w:hAnsi="仿宋_GB2312" w:eastAsia="仿宋_GB2312" w:cs="仿宋_GB2312"/>
          <w:bCs/>
          <w:sz w:val="32"/>
          <w:szCs w:val="32"/>
          <w:lang w:eastAsia="zh-CN"/>
        </w:rPr>
        <w:t>道县人民防空警报演练工作经费</w:t>
      </w:r>
      <w:r>
        <w:rPr>
          <w:rFonts w:hint="eastAsia" w:ascii="仿宋_GB2312" w:hAnsi="仿宋_GB2312" w:eastAsia="仿宋_GB2312" w:cs="仿宋_GB2312"/>
          <w:bCs/>
          <w:sz w:val="32"/>
          <w:szCs w:val="32"/>
          <w:lang w:val="en-US" w:eastAsia="zh-CN"/>
        </w:rPr>
        <w:t>5万元，主要用于人防演练等相关工作的开展；耕地保护和粮食安全责任考核工作经费3.5万元；应急能力项目建设资金46.38万元；智能粮库运行维护费3.5万元；招投标专项整治工作经费3.5万元；道县跑项目增资“双学双比”大竞赛活动领导小组日常工资经费14万元；价格认证、价格监督专项经费10万元；优化营商环境工作经费10万元</w:t>
      </w:r>
      <w:r>
        <w:rPr>
          <w:rFonts w:hint="eastAsia" w:ascii="仿宋_GB2312" w:hAnsi="仿宋_GB2312" w:eastAsia="仿宋_GB2312" w:cs="仿宋_GB2312"/>
          <w:bCs/>
          <w:sz w:val="32"/>
          <w:szCs w:val="32"/>
        </w:rPr>
        <w:t>。</w:t>
      </w:r>
      <w:bookmarkEnd w:id="85"/>
      <w:bookmarkStart w:id="86" w:name="DIS_MARK_PAY_XMMC_14_AMT"/>
      <w:bookmarkEnd w:id="86"/>
      <w:bookmarkStart w:id="87" w:name="START_PAY_XMMC_17_AMT"/>
      <w:bookmarkEnd w:id="87"/>
      <w:bookmarkStart w:id="88" w:name="DIS_MARK_PAY_XMMC_18_AMT"/>
      <w:bookmarkEnd w:id="88"/>
      <w:bookmarkStart w:id="89" w:name="END_PAY_XMMC_19_AMT"/>
      <w:bookmarkEnd w:id="89"/>
      <w:bookmarkStart w:id="90" w:name="DIS_MARK_PAY_XMMC_12_AMT"/>
      <w:bookmarkEnd w:id="90"/>
      <w:bookmarkStart w:id="91" w:name="DIS_MARK_PAY_XMMC_16_AMT"/>
      <w:bookmarkEnd w:id="91"/>
      <w:bookmarkStart w:id="92" w:name="END_PAY_XMMC_15_AMT"/>
      <w:bookmarkEnd w:id="92"/>
      <w:bookmarkStart w:id="93" w:name="END_PAY_XMMC_17_AMT"/>
      <w:bookmarkEnd w:id="93"/>
      <w:bookmarkStart w:id="94" w:name="END_PAY_XMMC_12_AMT"/>
      <w:bookmarkEnd w:id="94"/>
      <w:bookmarkStart w:id="95" w:name="END_PAY_XMMC_18_AMT"/>
      <w:bookmarkEnd w:id="95"/>
      <w:bookmarkStart w:id="96" w:name="START_PAY_XMMC_19_AMT"/>
      <w:bookmarkEnd w:id="96"/>
      <w:bookmarkStart w:id="97" w:name="START_PAY_XMMC_18_AMT"/>
      <w:bookmarkEnd w:id="97"/>
      <w:bookmarkStart w:id="98" w:name="DIS_MARK_PAY_XMMC_19_AMT"/>
      <w:bookmarkEnd w:id="98"/>
      <w:bookmarkStart w:id="99" w:name="END_PAY_XMMC_14_AMT"/>
      <w:bookmarkEnd w:id="99"/>
      <w:bookmarkStart w:id="100" w:name="START_PAY_XMMC_15_AMT"/>
      <w:bookmarkEnd w:id="100"/>
      <w:bookmarkStart w:id="101" w:name="END_PAY_XMMC_13_AMT"/>
      <w:bookmarkEnd w:id="101"/>
      <w:bookmarkStart w:id="102" w:name="END_PAY_XMMC_16_AMT"/>
      <w:bookmarkEnd w:id="102"/>
      <w:bookmarkStart w:id="103" w:name="DIS_MARK_PAY_XMMC_17_AMT"/>
      <w:bookmarkEnd w:id="103"/>
      <w:bookmarkStart w:id="104" w:name="DIS_MARK_PAY_XMMC_15_AMT"/>
      <w:bookmarkEnd w:id="104"/>
      <w:bookmarkStart w:id="105" w:name="START_PAY_XMMC_10_AMT"/>
      <w:bookmarkEnd w:id="105"/>
      <w:bookmarkStart w:id="106" w:name="END_PAY_XMMC_10_AMT"/>
      <w:bookmarkEnd w:id="106"/>
      <w:bookmarkStart w:id="107" w:name="DIS_MARK_PAY_XMMC_11_AMT"/>
      <w:bookmarkEnd w:id="107"/>
      <w:bookmarkStart w:id="108" w:name="START_PAY_XMMC_14_AMT"/>
      <w:bookmarkEnd w:id="108"/>
      <w:bookmarkStart w:id="109" w:name="DIS_MARK_PAY_XMMC_13_AMT"/>
      <w:bookmarkEnd w:id="109"/>
      <w:bookmarkStart w:id="110" w:name="END_PAY_XMMC_07_AMT"/>
      <w:bookmarkEnd w:id="110"/>
      <w:bookmarkStart w:id="111" w:name="START_PAY_XMMC_09_AMT"/>
      <w:bookmarkEnd w:id="111"/>
      <w:bookmarkStart w:id="112" w:name="START_PAY_XMMC_12_AMT"/>
      <w:bookmarkEnd w:id="112"/>
      <w:bookmarkStart w:id="113" w:name="END_PAY_XMMC_08_AMT"/>
      <w:bookmarkEnd w:id="113"/>
      <w:bookmarkStart w:id="114" w:name="START_PAY_XMMC_13_AMT"/>
      <w:bookmarkEnd w:id="114"/>
      <w:bookmarkStart w:id="115" w:name="START_PAY_XMMC_07_AMT"/>
      <w:bookmarkEnd w:id="115"/>
      <w:bookmarkStart w:id="116" w:name="END_PAY_XMMC_06_AMT"/>
      <w:bookmarkEnd w:id="116"/>
      <w:bookmarkStart w:id="117" w:name="START_PAY_XMMC_16_AMT"/>
      <w:bookmarkEnd w:id="117"/>
      <w:bookmarkStart w:id="118" w:name="START_PAY_XMMC_08_AMT"/>
      <w:bookmarkEnd w:id="118"/>
      <w:bookmarkStart w:id="119" w:name="DIS_MARK_PAY_XMMC_07_AMT"/>
      <w:bookmarkEnd w:id="119"/>
      <w:bookmarkStart w:id="120" w:name="END_PAY_XMMC_09_AMT"/>
      <w:bookmarkEnd w:id="120"/>
      <w:bookmarkStart w:id="121" w:name="DIS_MARK_PAY_XMMC_04_AMT"/>
      <w:bookmarkEnd w:id="121"/>
      <w:bookmarkStart w:id="122" w:name="DIS_MARK_PAY_XMMC_10_AMT"/>
      <w:bookmarkEnd w:id="122"/>
      <w:bookmarkStart w:id="123" w:name="DIS_MARK_PAY_XMMC_08_AMT"/>
      <w:bookmarkEnd w:id="123"/>
      <w:bookmarkStart w:id="124" w:name="END_PAY_XMMC_11_AMT"/>
      <w:bookmarkEnd w:id="124"/>
      <w:bookmarkStart w:id="125" w:name="START_PAY_XMMC_11_AMT"/>
      <w:bookmarkEnd w:id="125"/>
      <w:bookmarkStart w:id="126" w:name="END_PAY_XMMC_02_AMT"/>
      <w:bookmarkEnd w:id="126"/>
      <w:bookmarkStart w:id="127" w:name="DIS_MARK_PAY_XMMC_01_AMT"/>
      <w:bookmarkEnd w:id="127"/>
      <w:bookmarkStart w:id="128" w:name="END_PAY_ZWFXFZC_AMT_2"/>
      <w:bookmarkEnd w:id="128"/>
      <w:bookmarkStart w:id="129" w:name="DIS_MARK_PAY_XMMC_09_AMT"/>
      <w:bookmarkEnd w:id="129"/>
      <w:bookmarkStart w:id="130" w:name="START_PAY_XMMC_01_AMT"/>
      <w:bookmarkEnd w:id="130"/>
      <w:bookmarkStart w:id="131" w:name="START_PAY_XMMC_06_AMT"/>
      <w:bookmarkEnd w:id="131"/>
      <w:bookmarkStart w:id="132" w:name="START_PAY_XMMC_03_AMT"/>
      <w:bookmarkEnd w:id="132"/>
      <w:bookmarkStart w:id="133" w:name="END_PAY_YBGGFWXMZC"/>
      <w:bookmarkEnd w:id="133"/>
      <w:bookmarkStart w:id="134" w:name="DIS_MARK_PAY_XMMC_05_AMT"/>
      <w:bookmarkEnd w:id="134"/>
      <w:bookmarkStart w:id="135" w:name="DIS_MARK_PAY_XMMC_27_AMT"/>
      <w:bookmarkEnd w:id="135"/>
      <w:bookmarkStart w:id="136" w:name="START_PAY_XMMC_28_AMT"/>
      <w:bookmarkEnd w:id="136"/>
      <w:bookmarkStart w:id="137" w:name="START_PAY_XMMC_27_AMT"/>
      <w:bookmarkEnd w:id="137"/>
      <w:bookmarkStart w:id="138" w:name="DIS_MARK_PAY_XMMC_06_AMT"/>
      <w:bookmarkEnd w:id="138"/>
      <w:bookmarkStart w:id="139" w:name="END_PAY_XMMC_03_AMT"/>
      <w:bookmarkEnd w:id="139"/>
      <w:bookmarkStart w:id="140" w:name="START_PAY_XMMC_02_AMT"/>
      <w:bookmarkEnd w:id="140"/>
      <w:bookmarkStart w:id="141" w:name="DIS_MARK_PAY_XMMC_30_AMT"/>
      <w:bookmarkEnd w:id="141"/>
      <w:bookmarkStart w:id="142" w:name="DIS_MARK_PAY_XMMC_03_AMT"/>
      <w:bookmarkEnd w:id="142"/>
      <w:bookmarkStart w:id="143" w:name="START_PAY_XMMC_04_AMT"/>
      <w:bookmarkEnd w:id="143"/>
      <w:bookmarkStart w:id="144" w:name="END_PAY_XMMC_05_AMT"/>
      <w:bookmarkEnd w:id="144"/>
      <w:bookmarkStart w:id="145" w:name="START_PAY_XMMC_30_AMT"/>
      <w:bookmarkEnd w:id="145"/>
      <w:bookmarkStart w:id="146" w:name="END_PAY_XMMC_27_AMT"/>
      <w:bookmarkEnd w:id="146"/>
      <w:bookmarkStart w:id="147" w:name="END_PAY_XMMC_28_AMT"/>
      <w:bookmarkEnd w:id="147"/>
      <w:bookmarkStart w:id="148" w:name="START_PAY_ZFBZZC_AMT_2"/>
      <w:bookmarkEnd w:id="148"/>
      <w:bookmarkStart w:id="149" w:name="START_PAY_XMMC_26_AMT"/>
      <w:bookmarkEnd w:id="149"/>
      <w:bookmarkStart w:id="150" w:name="START_PAY_XMMC_29_AMT"/>
      <w:bookmarkEnd w:id="150"/>
      <w:bookmarkStart w:id="151" w:name="DIS_MARK_PAY_XMMC_29_AMT"/>
      <w:bookmarkEnd w:id="151"/>
      <w:bookmarkStart w:id="152" w:name="START_PAY_LYWZCBZC_AMT_2"/>
      <w:bookmarkEnd w:id="152"/>
      <w:bookmarkStart w:id="153" w:name="DIS_MARK_PAY_LYWZCBZC_AMT_2"/>
      <w:bookmarkEnd w:id="153"/>
      <w:bookmarkStart w:id="154" w:name="DIS_MARK_PAY_XMMC_28_AMT"/>
      <w:bookmarkEnd w:id="154"/>
      <w:bookmarkStart w:id="155" w:name="START_PAY_XMMC_05_AMT"/>
      <w:bookmarkEnd w:id="155"/>
      <w:bookmarkStart w:id="156" w:name="END_PAY_LYWZCBZC_AMT_2"/>
      <w:bookmarkEnd w:id="156"/>
      <w:bookmarkStart w:id="157" w:name="END_PAY_XMMC_29_AMT"/>
      <w:bookmarkEnd w:id="157"/>
      <w:bookmarkStart w:id="158" w:name="END_PAY_XMMC_30_AMT"/>
      <w:bookmarkEnd w:id="158"/>
      <w:bookmarkStart w:id="159" w:name="DIS_MARK_PAY_ZFBZZC_AMT_2"/>
      <w:bookmarkEnd w:id="159"/>
      <w:bookmarkStart w:id="160" w:name="DIS_MARK_PAY_XMMC_02_AMT"/>
      <w:bookmarkEnd w:id="160"/>
      <w:bookmarkStart w:id="161" w:name="END_PAY_ZFBZZC_AMT_2"/>
      <w:bookmarkEnd w:id="161"/>
      <w:bookmarkStart w:id="162" w:name="END_PAY_XMMC_01_AMT"/>
      <w:bookmarkEnd w:id="162"/>
      <w:bookmarkStart w:id="163" w:name="START_PAY_YBFZC_AMT_2"/>
      <w:bookmarkEnd w:id="163"/>
      <w:bookmarkStart w:id="164" w:name="DIS_MARK_PAY_YBFZC_AMT_2"/>
      <w:bookmarkEnd w:id="164"/>
      <w:bookmarkStart w:id="165" w:name="END_PAY_XMMC_04_AMT"/>
      <w:bookmarkEnd w:id="165"/>
      <w:bookmarkStart w:id="166" w:name="START_PAY_ZWHBZC_AMT_2"/>
      <w:bookmarkEnd w:id="166"/>
      <w:bookmarkStart w:id="167" w:name="DIS_MARK_PAY_ZRZYHYQXZC_AMT_2"/>
      <w:bookmarkEnd w:id="167"/>
      <w:bookmarkStart w:id="168" w:name="START_PAY_ZRZYHYQXZC_AMT_2"/>
      <w:bookmarkEnd w:id="168"/>
      <w:bookmarkStart w:id="169" w:name="DIS_MARK_PAY_QTZC_AMT_2"/>
      <w:bookmarkEnd w:id="169"/>
      <w:bookmarkStart w:id="170" w:name="START_PAY_YZQTDQZC_AMT_2"/>
      <w:bookmarkEnd w:id="170"/>
      <w:bookmarkStart w:id="171" w:name="DIS_MARK_PAY_ZHFZJYJGLZC_AMT_2"/>
      <w:bookmarkEnd w:id="171"/>
      <w:bookmarkStart w:id="172" w:name="DIS_MARK_PAY_YZQTDQZC_AMT_2"/>
      <w:bookmarkEnd w:id="172"/>
      <w:bookmarkStart w:id="173" w:name="END_PAY_ZRZYHYQXZC_AMT_2"/>
      <w:bookmarkEnd w:id="173"/>
      <w:bookmarkStart w:id="174" w:name="END_PAY_ZHFZJYJGLZC_AMT_2"/>
      <w:bookmarkEnd w:id="174"/>
      <w:bookmarkStart w:id="175" w:name="END_PAY_YBFZC_AMT_2"/>
      <w:bookmarkEnd w:id="175"/>
      <w:bookmarkStart w:id="176" w:name="START_PAY_ZHFZJYJGLZC_AMT_2"/>
      <w:bookmarkEnd w:id="176"/>
      <w:bookmarkStart w:id="177" w:name="END_PAY_XMMC_26_AMT"/>
      <w:bookmarkEnd w:id="177"/>
      <w:bookmarkStart w:id="178" w:name="END_PAY_YZQTDQZC_AMT_2"/>
      <w:bookmarkEnd w:id="178"/>
      <w:bookmarkStart w:id="179" w:name="END_PAY_ZYXZC_AMT_2"/>
      <w:bookmarkEnd w:id="179"/>
      <w:bookmarkStart w:id="180" w:name="DIS_MARK_PAY_ZWFXZC_AMT_2"/>
      <w:bookmarkEnd w:id="180"/>
      <w:bookmarkStart w:id="181" w:name="END_PAY_CXSQZC_AMT_2"/>
      <w:bookmarkEnd w:id="181"/>
      <w:bookmarkStart w:id="182" w:name="START_PAY_JTZC_AMT_2"/>
      <w:bookmarkEnd w:id="182"/>
      <w:bookmarkStart w:id="183" w:name="DIS_MARK_PAY_ZYXZC_AMT_2"/>
      <w:bookmarkEnd w:id="183"/>
      <w:bookmarkStart w:id="184" w:name="END_PAY_NLSZC_AMT_2"/>
      <w:bookmarkEnd w:id="184"/>
      <w:bookmarkStart w:id="185" w:name="DIS_MARK_PAY_JTZC_AMT_2"/>
      <w:bookmarkEnd w:id="185"/>
      <w:bookmarkStart w:id="186" w:name="DIS_MARK_PAY_ZWHBZC_AMT_2"/>
      <w:bookmarkEnd w:id="186"/>
      <w:bookmarkStart w:id="187" w:name="END_PAY_ZYKTZC_AMT_2"/>
      <w:bookmarkEnd w:id="187"/>
      <w:bookmarkStart w:id="188" w:name="END_PAY_QTZC_AMT_2"/>
      <w:bookmarkEnd w:id="188"/>
      <w:bookmarkStart w:id="189" w:name="END_PAY_ZWHBZC_AMT_2"/>
      <w:bookmarkEnd w:id="189"/>
      <w:bookmarkStart w:id="190" w:name="DIS_MARK_PAY_XMMC_26_AMT"/>
      <w:bookmarkEnd w:id="190"/>
      <w:bookmarkStart w:id="191" w:name="START_PAY_NLSZC_AMT_2"/>
      <w:bookmarkEnd w:id="191"/>
      <w:bookmarkStart w:id="192" w:name="START_PAY_ZWFXZC_AMT_2"/>
      <w:bookmarkEnd w:id="192"/>
      <w:bookmarkStart w:id="193" w:name="END_PAY_JTZC_AMT_2"/>
      <w:bookmarkEnd w:id="193"/>
      <w:bookmarkStart w:id="194" w:name="DIS_MARK_PAY_ZYKTZC_AMT_2"/>
      <w:bookmarkEnd w:id="194"/>
      <w:bookmarkStart w:id="195" w:name="DIS_MARK_PAY_JNHBZC_AMT_2"/>
      <w:bookmarkEnd w:id="195"/>
      <w:bookmarkStart w:id="196" w:name="DIS_MARK_PAY_CXSQZC_AMT_2"/>
      <w:bookmarkEnd w:id="196"/>
      <w:bookmarkStart w:id="197" w:name="END_PAY_JRZC_AMT_2"/>
      <w:bookmarkEnd w:id="197"/>
      <w:bookmarkStart w:id="198" w:name="DIS_MARK_PAY_ZWFXFZC_AMT_2"/>
      <w:bookmarkEnd w:id="198"/>
      <w:bookmarkStart w:id="199" w:name="START_PAY_WSJKZC_AMT_2"/>
      <w:bookmarkEnd w:id="199"/>
      <w:bookmarkStart w:id="200" w:name="END_PAY_WSJKZC_AMT_2"/>
      <w:bookmarkEnd w:id="200"/>
      <w:bookmarkStart w:id="201" w:name="DIS_MARK_PAY_SYFWZC_AMT_2"/>
      <w:bookmarkEnd w:id="201"/>
      <w:bookmarkStart w:id="202" w:name="END_PAY_ZWFXZC_AMT_2"/>
      <w:bookmarkEnd w:id="202"/>
      <w:bookmarkStart w:id="203" w:name="START_PAY_ZYKTZC_AMT_2"/>
      <w:bookmarkEnd w:id="203"/>
      <w:bookmarkStart w:id="204" w:name="END_PAY_JNHBZC_AMT_2"/>
      <w:bookmarkEnd w:id="204"/>
      <w:bookmarkStart w:id="205" w:name="END_PAY_SHBXJJZC_AMT_2"/>
      <w:bookmarkEnd w:id="205"/>
      <w:bookmarkStart w:id="206" w:name="START_PAY_ZYXZC_AMT_2"/>
      <w:bookmarkEnd w:id="206"/>
      <w:bookmarkStart w:id="207" w:name="START_PAY_ZWFXFZC_AMT_2"/>
      <w:bookmarkEnd w:id="207"/>
      <w:bookmarkStart w:id="208" w:name="DIS_MARK_PAY_WSJKZC_AMT_2"/>
      <w:bookmarkEnd w:id="208"/>
      <w:bookmarkStart w:id="209" w:name="START_PAY_SYFWZC_AMT_2"/>
      <w:bookmarkEnd w:id="209"/>
      <w:bookmarkStart w:id="210" w:name="START_PAY_QTZC_AMT_2"/>
      <w:bookmarkEnd w:id="210"/>
      <w:bookmarkStart w:id="211" w:name="END_PAY_SYFWZC_AMT_2"/>
      <w:bookmarkEnd w:id="211"/>
      <w:bookmarkStart w:id="212" w:name="START_PAY_CXSQZC_AMT_2"/>
      <w:bookmarkEnd w:id="212"/>
      <w:bookmarkStart w:id="213" w:name="DIS_MARK_PAY_JRZC_AMT_2"/>
      <w:bookmarkEnd w:id="213"/>
      <w:bookmarkStart w:id="214" w:name="START_PAY_JNHBZC_AMT_2"/>
      <w:bookmarkEnd w:id="214"/>
      <w:bookmarkStart w:id="215" w:name="START_PAY_JRZC_AMT_2"/>
      <w:bookmarkEnd w:id="215"/>
      <w:bookmarkStart w:id="216" w:name="START_PAY_SHBXJJZC_AMT_2"/>
      <w:bookmarkEnd w:id="216"/>
      <w:bookmarkStart w:id="217" w:name="END_PAY_XMMC_25_AMT"/>
      <w:bookmarkEnd w:id="217"/>
      <w:bookmarkStart w:id="218" w:name="END_PAY_XMMC_21_AMT"/>
      <w:bookmarkEnd w:id="218"/>
      <w:bookmarkStart w:id="219" w:name="DIS_MARK_PAY_NLSZC_AMT_2"/>
      <w:bookmarkEnd w:id="219"/>
      <w:bookmarkStart w:id="220" w:name="DIS_MARK_PAY_SHBXJJZC_AMT_2"/>
      <w:bookmarkEnd w:id="220"/>
      <w:bookmarkStart w:id="221" w:name="END_PAY_XMMC_24_AMT"/>
      <w:bookmarkEnd w:id="221"/>
      <w:bookmarkStart w:id="222" w:name="START_PAY_XMMC_24_AMT"/>
      <w:bookmarkEnd w:id="222"/>
      <w:bookmarkStart w:id="223" w:name="DIS_MARK_PAY_XMMC_22_AMT"/>
      <w:bookmarkEnd w:id="223"/>
      <w:bookmarkStart w:id="224" w:name="END_PAY_SHBZYJYZC_AMT_2"/>
      <w:bookmarkEnd w:id="224"/>
      <w:bookmarkStart w:id="225" w:name="DIS_MARK_PAY_XMMC_24_AMT"/>
      <w:bookmarkEnd w:id="225"/>
      <w:bookmarkStart w:id="226" w:name="DIS_MARK_PAY_XMMC_25_AMT"/>
      <w:bookmarkEnd w:id="226"/>
      <w:bookmarkStart w:id="227" w:name="START_PAY_XMMC_25_AMT"/>
      <w:bookmarkEnd w:id="227"/>
      <w:bookmarkStart w:id="228" w:name="START_PAY_XMMC_23_AMT"/>
      <w:bookmarkEnd w:id="228"/>
      <w:bookmarkStart w:id="229" w:name="START_PAY_XMMC_22_AMT"/>
      <w:bookmarkEnd w:id="229"/>
      <w:bookmarkStart w:id="230" w:name="END_PAY_XMMC_20_AMT"/>
      <w:bookmarkEnd w:id="230"/>
      <w:bookmarkStart w:id="231" w:name="DIS_MARK_PAY_XMMC_20_AMT"/>
      <w:bookmarkEnd w:id="231"/>
      <w:bookmarkStart w:id="232" w:name="END_PAY_XMMC_22_AMT"/>
      <w:bookmarkEnd w:id="232"/>
      <w:bookmarkStart w:id="233" w:name="START_PAY_XMMC_20_AMT"/>
      <w:bookmarkEnd w:id="233"/>
      <w:bookmarkStart w:id="234" w:name="START_PAY_XMMC_21_AMT"/>
      <w:bookmarkEnd w:id="234"/>
      <w:bookmarkStart w:id="235" w:name="DIS_MARK_PAY_XMMC_21_AMT"/>
      <w:bookmarkEnd w:id="235"/>
      <w:bookmarkStart w:id="236" w:name="END_PAY_XMMC_23_AMT"/>
      <w:bookmarkEnd w:id="236"/>
      <w:bookmarkStart w:id="237" w:name="DIS_MARK_PAY_XMMC_23_AMT"/>
      <w:bookmarkEnd w:id="237"/>
    </w:p>
    <w:p w14:paraId="589CCB58">
      <w:pPr>
        <w:widowControl/>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五、政府性基金预算支出</w:t>
      </w:r>
    </w:p>
    <w:p w14:paraId="24E49E3B">
      <w:pPr>
        <w:spacing w:line="570" w:lineRule="atLeast"/>
        <w:ind w:firstLine="640"/>
        <w:rPr>
          <w:rFonts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w:t>
      </w:r>
      <w:bookmarkStart w:id="238" w:name="START_PAY_ZFXJJZC"/>
      <w:bookmarkEnd w:id="238"/>
      <w:bookmarkStart w:id="239" w:name="DIS_MARK_PAY_ZFXJJZC_AMT"/>
      <w:bookmarkEnd w:id="239"/>
      <w:bookmarkStart w:id="240" w:name="START_PAY_ZFXJJZC_AMT"/>
      <w:bookmarkEnd w:id="240"/>
      <w:bookmarkStart w:id="241" w:name="END_PAY_ZFXJJZC_AMT"/>
      <w:bookmarkEnd w:id="241"/>
      <w:bookmarkStart w:id="242" w:name="DIS_MARK_PAY_ZFXJJZC"/>
      <w:r>
        <w:rPr>
          <w:rFonts w:hint="eastAsia" w:ascii="仿宋_GB2312" w:hAnsi="仿宋_GB2312" w:eastAsia="仿宋_GB2312" w:cs="仿宋_GB2312"/>
          <w:color w:val="000000"/>
          <w:sz w:val="32"/>
          <w:szCs w:val="32"/>
          <w:shd w:val="clear" w:color="auto" w:fill="FFFFFF"/>
          <w:lang w:val="en-US" w:eastAsia="zh-CN"/>
        </w:rPr>
        <w:t>无</w:t>
      </w:r>
      <w:r>
        <w:rPr>
          <w:rFonts w:hint="eastAsia" w:ascii="仿宋_GB2312" w:hAnsi="仿宋_GB2312" w:eastAsia="仿宋_GB2312" w:cs="仿宋_GB2312"/>
          <w:color w:val="000000"/>
          <w:sz w:val="32"/>
          <w:szCs w:val="32"/>
          <w:shd w:val="clear" w:color="auto" w:fill="FFFFFF"/>
        </w:rPr>
        <w:t>政府性基金</w:t>
      </w:r>
      <w:r>
        <w:rPr>
          <w:rFonts w:hint="eastAsia" w:ascii="仿宋_GB2312" w:hAnsi="仿宋_GB2312" w:eastAsia="仿宋_GB2312" w:cs="仿宋_GB2312"/>
          <w:color w:val="000000"/>
          <w:sz w:val="32"/>
          <w:szCs w:val="32"/>
          <w:shd w:val="clear" w:color="auto" w:fill="FFFFFF"/>
          <w:lang w:val="en-US" w:eastAsia="zh-CN"/>
        </w:rPr>
        <w:t>预算安排的</w:t>
      </w:r>
      <w:r>
        <w:rPr>
          <w:rFonts w:hint="eastAsia" w:ascii="仿宋_GB2312" w:hAnsi="仿宋_GB2312" w:eastAsia="仿宋_GB2312" w:cs="仿宋_GB2312"/>
          <w:color w:val="000000"/>
          <w:sz w:val="32"/>
          <w:szCs w:val="32"/>
          <w:shd w:val="clear" w:color="auto" w:fill="FFFFFF"/>
        </w:rPr>
        <w:t>支出</w:t>
      </w:r>
      <w:bookmarkEnd w:id="242"/>
      <w:bookmarkStart w:id="243" w:name="END_PAY_ZFXJJZC"/>
      <w:bookmarkEnd w:id="243"/>
      <w:r>
        <w:rPr>
          <w:rFonts w:hint="eastAsia" w:ascii="仿宋_GB2312" w:hAnsi="仿宋_GB2312" w:eastAsia="仿宋_GB2312" w:cs="仿宋_GB2312"/>
          <w:color w:val="000000"/>
          <w:sz w:val="32"/>
          <w:szCs w:val="32"/>
          <w:shd w:val="clear" w:color="auto" w:fill="FFFFFF"/>
          <w:lang w:val="en-US" w:eastAsia="zh-CN"/>
        </w:rPr>
        <w:t>。</w:t>
      </w:r>
    </w:p>
    <w:p w14:paraId="354FF459">
      <w:pPr>
        <w:widowControl/>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六、国有资本经营预算支出</w:t>
      </w:r>
    </w:p>
    <w:p w14:paraId="1FA9A0A4">
      <w:pP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w:t>
      </w:r>
      <w:bookmarkStart w:id="244" w:name="START_PAY_GYZBJYYSZC_AMT_ALL"/>
      <w:bookmarkEnd w:id="244"/>
      <w:bookmarkStart w:id="245" w:name="START_PAY_GYZBJYYSZC"/>
      <w:bookmarkEnd w:id="245"/>
      <w:bookmarkStart w:id="246" w:name="DIS_MARK_PAY_GYZBJYYSZC_AMT_ALL"/>
      <w:bookmarkEnd w:id="246"/>
      <w:bookmarkStart w:id="247" w:name="END_PAY_GYZBJYYSZC_AMT_ALL"/>
      <w:bookmarkEnd w:id="247"/>
      <w:bookmarkStart w:id="248" w:name="DIS_MARK_PAY_GYZBJYYSZC"/>
      <w:r>
        <w:rPr>
          <w:rFonts w:hint="eastAsia" w:ascii="仿宋_GB2312" w:hAnsi="仿宋_GB2312" w:eastAsia="仿宋_GB2312" w:cs="仿宋_GB2312"/>
          <w:color w:val="000000"/>
          <w:sz w:val="32"/>
          <w:szCs w:val="32"/>
          <w:shd w:val="clear" w:color="auto" w:fill="FFFFFF"/>
        </w:rPr>
        <w:t>无国有资本经营预算安排的支出。</w:t>
      </w:r>
      <w:bookmarkEnd w:id="248"/>
      <w:bookmarkStart w:id="249" w:name="END_PAY_GYZBJYYSZC"/>
      <w:bookmarkEnd w:id="249"/>
    </w:p>
    <w:p w14:paraId="0CCE1924">
      <w:pPr>
        <w:widowControl/>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七、其他重要事项的情况说明</w:t>
      </w:r>
    </w:p>
    <w:p w14:paraId="2F0F8641">
      <w:pPr>
        <w:spacing w:line="570" w:lineRule="atLeast"/>
        <w:ind w:firstLine="643"/>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（一）机关运行经费：</w:t>
      </w:r>
      <w:bookmarkStart w:id="250" w:name="START_NO_JGYXJF"/>
      <w:bookmarkEnd w:id="250"/>
      <w:bookmarkStart w:id="251" w:name="YES_NO_JGYXJF"/>
      <w:bookmarkEnd w:id="251"/>
      <w:bookmarkStart w:id="252" w:name="DIS_MARK_NO_JGYXJF"/>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年本部门机关运行经费</w:t>
      </w:r>
      <w:r>
        <w:rPr>
          <w:rFonts w:hint="eastAsia" w:ascii="仿宋_GB2312" w:hAnsi="仿宋_GB2312" w:eastAsia="仿宋_GB2312" w:cs="仿宋_GB2312"/>
          <w:color w:val="000000"/>
          <w:sz w:val="32"/>
          <w:szCs w:val="32"/>
          <w:shd w:val="clear" w:color="auto" w:fill="FFFFFF"/>
          <w:lang w:val="en-US" w:eastAsia="zh-CN"/>
        </w:rPr>
        <w:t>81</w:t>
      </w:r>
      <w:r>
        <w:rPr>
          <w:rFonts w:hint="eastAsia" w:ascii="仿宋_GB2312" w:hAnsi="仿宋_GB2312" w:eastAsia="仿宋_GB2312" w:cs="仿宋_GB2312"/>
          <w:color w:val="000000"/>
          <w:sz w:val="32"/>
          <w:szCs w:val="32"/>
          <w:shd w:val="clear" w:color="auto" w:fill="FFFFFF"/>
        </w:rPr>
        <w:t>万元，</w:t>
      </w:r>
      <w:bookmarkEnd w:id="252"/>
      <w:bookmarkStart w:id="253" w:name="START_IS_ZERO_03_1"/>
      <w:bookmarkEnd w:id="253"/>
      <w:bookmarkStart w:id="254" w:name="IS_ZERO_03"/>
      <w:bookmarkStart w:id="255" w:name="DIS_MARK_IS_ZERO_03_1"/>
      <w:r>
        <w:rPr>
          <w:rFonts w:hint="eastAsia" w:ascii="仿宋_GB2312" w:hAnsi="仿宋_GB2312" w:eastAsia="仿宋_GB2312" w:cs="仿宋_GB2312"/>
          <w:color w:val="000000"/>
          <w:sz w:val="32"/>
          <w:szCs w:val="32"/>
          <w:shd w:val="clear" w:color="auto" w:fill="FFFFFF"/>
        </w:rPr>
        <w:t>比上年预算</w:t>
      </w:r>
      <w:bookmarkEnd w:id="254"/>
      <w:bookmarkEnd w:id="255"/>
      <w:bookmarkStart w:id="256" w:name="END_IS_ZERO_02"/>
      <w:bookmarkStart w:id="257" w:name="JGYXJF_BD_AMT_BL"/>
      <w:r>
        <w:rPr>
          <w:rFonts w:hint="eastAsia" w:ascii="仿宋_GB2312" w:hAnsi="仿宋_GB2312" w:eastAsia="仿宋_GB2312" w:cs="仿宋_GB2312"/>
          <w:color w:val="000000"/>
          <w:sz w:val="32"/>
          <w:szCs w:val="32"/>
          <w:shd w:val="clear" w:color="auto" w:fill="FFFFFF"/>
          <w:lang w:val="en-US" w:eastAsia="zh-CN"/>
        </w:rPr>
        <w:t>持平</w:t>
      </w:r>
      <w:r>
        <w:rPr>
          <w:rFonts w:hint="eastAsia" w:ascii="仿宋_GB2312" w:hAnsi="仿宋_GB2312" w:eastAsia="仿宋_GB2312" w:cs="仿宋_GB2312"/>
          <w:color w:val="000000"/>
          <w:sz w:val="32"/>
          <w:szCs w:val="32"/>
          <w:shd w:val="clear" w:color="auto" w:fill="FFFFFF"/>
        </w:rPr>
        <w:t>。</w:t>
      </w:r>
      <w:bookmarkEnd w:id="256"/>
      <w:bookmarkEnd w:id="257"/>
      <w:bookmarkStart w:id="258" w:name="END_YES_JGYXJF"/>
      <w:bookmarkEnd w:id="258"/>
      <w:bookmarkStart w:id="259" w:name="END_PUNCTUATION_MARK2"/>
      <w:bookmarkEnd w:id="259"/>
    </w:p>
    <w:p w14:paraId="54734574">
      <w:pPr>
        <w:widowControl/>
        <w:spacing w:line="570" w:lineRule="atLeast"/>
        <w:ind w:firstLine="658"/>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（二）“三公”经费预算：</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年本部门“三公”经费预算数为</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万元，其中，公务接待费0万元，公务用车购置及运行费</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万元（其中，公务用车购置费0.00万元，公务用车运行费</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万元），因公出国（境）费0.00万元。202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年“三公”经费预算较202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年减少</w:t>
      </w:r>
      <w:r>
        <w:rPr>
          <w:rFonts w:hint="eastAsia" w:ascii="仿宋_GB2312" w:hAnsi="仿宋_GB2312" w:eastAsia="仿宋_GB2312" w:cs="仿宋_GB2312"/>
          <w:color w:val="000000"/>
          <w:sz w:val="32"/>
          <w:szCs w:val="32"/>
          <w:shd w:val="clear" w:color="auto" w:fill="FFFFFF"/>
          <w:lang w:val="en-US" w:eastAsia="zh-CN"/>
        </w:rPr>
        <w:t>14</w:t>
      </w:r>
      <w:r>
        <w:rPr>
          <w:rFonts w:hint="eastAsia"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lang w:eastAsia="zh-CN"/>
        </w:rPr>
        <w:t>主要是“</w:t>
      </w:r>
      <w:r>
        <w:rPr>
          <w:rFonts w:hint="eastAsia" w:ascii="仿宋_GB2312" w:hAnsi="仿宋_GB2312" w:eastAsia="仿宋_GB2312" w:cs="仿宋_GB2312"/>
          <w:color w:val="000000"/>
          <w:sz w:val="32"/>
          <w:szCs w:val="32"/>
          <w:shd w:val="clear" w:color="auto" w:fill="FFFFFF"/>
          <w:lang w:val="en-US" w:eastAsia="zh-CN"/>
        </w:rPr>
        <w:t>三公经费”没有列开支</w:t>
      </w:r>
      <w:r>
        <w:rPr>
          <w:rFonts w:eastAsia="仿宋_GB2312"/>
          <w:sz w:val="32"/>
          <w:szCs w:val="32"/>
        </w:rPr>
        <w:t>。</w:t>
      </w:r>
    </w:p>
    <w:p w14:paraId="337F4B78">
      <w:pPr>
        <w:spacing w:line="570" w:lineRule="atLeast"/>
        <w:ind w:firstLine="643"/>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（三）一般性支出情况：</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年本部门会议费预算0万元；培训费预算0万元；未举办节庆、晚会、论坛、赛事活动。</w:t>
      </w:r>
    </w:p>
    <w:p w14:paraId="28232462">
      <w:pPr>
        <w:spacing w:line="570" w:lineRule="atLeast"/>
        <w:ind w:firstLine="643"/>
        <w:rPr>
          <w:rFonts w:ascii="仿宋_GB2312" w:hAnsi="仿宋_GB2312" w:eastAsia="仿宋_GB2312" w:cs="仿宋_GB2312"/>
          <w:color w:val="000000"/>
          <w:sz w:val="32"/>
          <w:szCs w:val="32"/>
          <w:shd w:val="clear" w:color="auto" w:fill="FFFFFF"/>
        </w:rPr>
      </w:pPr>
      <w:r>
        <w:rPr>
          <w:rFonts w:hint="eastAsia" w:eastAsia="仿宋_GB2312"/>
          <w:b/>
          <w:sz w:val="32"/>
          <w:szCs w:val="32"/>
        </w:rPr>
        <w:t>（四）政府采购情况：</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年本部门政府采购预算总额0万元，其中，货物类采购预算0万元；工程类采购预算0万元；服务类采购预算0万元。</w:t>
      </w:r>
    </w:p>
    <w:p w14:paraId="2FD6EC98">
      <w:pPr>
        <w:spacing w:line="570" w:lineRule="atLeast"/>
        <w:ind w:firstLine="643"/>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（五）国有资产占用使用及新增资产配置情况：</w:t>
      </w:r>
      <w:r>
        <w:rPr>
          <w:rFonts w:hint="eastAsia" w:ascii="仿宋_GB2312" w:hAnsi="仿宋_GB2312" w:eastAsia="仿宋_GB2312" w:cs="仿宋_GB2312"/>
          <w:color w:val="000000"/>
          <w:sz w:val="32"/>
          <w:szCs w:val="32"/>
          <w:shd w:val="clear" w:color="auto" w:fill="FFFFFF"/>
        </w:rPr>
        <w:t>截至202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年1</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月底，本部门共有公务用车</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辆，其中，机要通信用车0辆，应急保障用车0辆，执法执勤用车0辆，特种专业技术用车</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辆，其他按照规定配备的公务用车0辆；单位价值50万元以上通用设备0台，单位价值100万元以上专用设备0台。202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14:paraId="5CE87D0F">
      <w:pPr>
        <w:spacing w:line="570" w:lineRule="atLeast"/>
        <w:ind w:firstLine="643"/>
        <w:rPr>
          <w:rFonts w:ascii="仿宋_GB2312" w:hAnsi="仿宋_GB2312" w:eastAsia="仿宋_GB2312" w:cs="仿宋_GB2312"/>
          <w:color w:val="000000"/>
          <w:sz w:val="32"/>
          <w:szCs w:val="32"/>
          <w:shd w:val="clear" w:color="auto" w:fill="FFFFFF"/>
        </w:rPr>
      </w:pPr>
      <w:r>
        <w:rPr>
          <w:rFonts w:hint="eastAsia" w:eastAsia="仿宋_GB2312"/>
          <w:b/>
          <w:sz w:val="32"/>
          <w:szCs w:val="32"/>
        </w:rPr>
        <w:t>（六）预算绩效目标说明：</w:t>
      </w:r>
      <w:r>
        <w:rPr>
          <w:rFonts w:hint="eastAsia" w:ascii="仿宋_GB2312" w:hAnsi="仿宋_GB2312" w:eastAsia="仿宋_GB2312" w:cs="仿宋_GB2312"/>
          <w:color w:val="000000"/>
          <w:sz w:val="32"/>
          <w:szCs w:val="32"/>
          <w:shd w:val="clear" w:color="auto" w:fill="FFFFFF"/>
        </w:rPr>
        <w:t>本部门所有支出实行绩效目标管理。纳入202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年部门整体支出绩效目标的金额为</w:t>
      </w:r>
      <w:r>
        <w:rPr>
          <w:rFonts w:hint="eastAsia" w:ascii="仿宋_GB2312" w:hAnsi="仿宋_GB2312" w:eastAsia="仿宋_GB2312" w:cs="仿宋_GB2312"/>
          <w:color w:val="000000"/>
          <w:sz w:val="32"/>
          <w:szCs w:val="32"/>
          <w:shd w:val="clear" w:color="auto" w:fill="FFFFFF"/>
          <w:lang w:val="en-US" w:eastAsia="zh-CN"/>
        </w:rPr>
        <w:t>1436.19</w:t>
      </w:r>
      <w:r>
        <w:rPr>
          <w:rFonts w:hint="eastAsia" w:ascii="仿宋_GB2312" w:hAnsi="仿宋_GB2312" w:eastAsia="仿宋_GB2312" w:cs="仿宋_GB2312"/>
          <w:color w:val="000000"/>
          <w:sz w:val="32"/>
          <w:szCs w:val="32"/>
          <w:shd w:val="clear" w:color="auto" w:fill="FFFFFF"/>
        </w:rPr>
        <w:t>万元，其中，基本支出</w:t>
      </w:r>
      <w:r>
        <w:rPr>
          <w:rFonts w:hint="eastAsia" w:ascii="仿宋_GB2312" w:hAnsi="仿宋_GB2312" w:eastAsia="仿宋_GB2312" w:cs="仿宋_GB2312"/>
          <w:color w:val="000000"/>
          <w:sz w:val="32"/>
          <w:szCs w:val="32"/>
          <w:shd w:val="clear" w:color="auto" w:fill="FFFFFF"/>
          <w:lang w:val="en-US" w:eastAsia="zh-CN"/>
        </w:rPr>
        <w:t>598.38</w:t>
      </w:r>
      <w:r>
        <w:rPr>
          <w:rFonts w:hint="eastAsia" w:ascii="仿宋_GB2312" w:hAnsi="仿宋_GB2312" w:eastAsia="仿宋_GB2312" w:cs="仿宋_GB2312"/>
          <w:color w:val="000000"/>
          <w:sz w:val="32"/>
          <w:szCs w:val="32"/>
          <w:shd w:val="clear" w:color="auto" w:fill="FFFFFF"/>
        </w:rPr>
        <w:t>万元，项目支出</w:t>
      </w:r>
      <w:r>
        <w:rPr>
          <w:rFonts w:hint="eastAsia" w:ascii="仿宋_GB2312" w:hAnsi="仿宋_GB2312" w:eastAsia="仿宋_GB2312" w:cs="仿宋_GB2312"/>
          <w:color w:val="000000"/>
          <w:sz w:val="32"/>
          <w:szCs w:val="32"/>
          <w:shd w:val="clear" w:color="auto" w:fill="FFFFFF"/>
          <w:lang w:val="en-US" w:eastAsia="zh-CN"/>
        </w:rPr>
        <w:t>837.8</w:t>
      </w:r>
      <w:bookmarkStart w:id="260" w:name="_GoBack"/>
      <w:bookmarkEnd w:id="260"/>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万元。</w:t>
      </w:r>
    </w:p>
    <w:p w14:paraId="43C00EBC">
      <w:pPr>
        <w:widowControl/>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八、名词解释</w:t>
      </w:r>
    </w:p>
    <w:p w14:paraId="5FFB5119">
      <w:pPr>
        <w:spacing w:line="570" w:lineRule="atLeas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0C108A21">
      <w:pPr>
        <w:spacing w:line="570" w:lineRule="atLeast"/>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r>
        <w:rPr>
          <w:rFonts w:hint="eastAsia" w:ascii="仿宋_GB2312" w:hAnsi="仿宋_GB2312" w:eastAsia="仿宋_GB2312" w:cs="仿宋_GB2312"/>
          <w:color w:val="000000"/>
          <w:sz w:val="32"/>
          <w:szCs w:val="32"/>
          <w:shd w:val="clear" w:color="auto" w:fill="FFFFFF"/>
          <w:lang w:eastAsia="zh-CN"/>
        </w:rPr>
        <w:t>。</w:t>
      </w:r>
    </w:p>
    <w:p w14:paraId="731D3939">
      <w:pPr>
        <w:pStyle w:val="35"/>
        <w:rPr>
          <w:rFonts w:hint="eastAsia" w:ascii="仿宋_GB2312" w:hAnsi="仿宋_GB2312" w:eastAsia="仿宋_GB2312" w:cs="仿宋_GB2312"/>
          <w:color w:val="000000"/>
          <w:sz w:val="32"/>
          <w:szCs w:val="32"/>
          <w:shd w:val="clear" w:color="auto" w:fill="FFFFFF"/>
          <w:lang w:eastAsia="zh-CN"/>
        </w:rPr>
      </w:pPr>
    </w:p>
    <w:p w14:paraId="3FCF5C2C">
      <w:pPr>
        <w:pStyle w:val="35"/>
        <w:rPr>
          <w:rFonts w:hint="eastAsia" w:ascii="仿宋_GB2312" w:hAnsi="仿宋_GB2312" w:eastAsia="仿宋_GB2312" w:cs="仿宋_GB2312"/>
          <w:color w:val="000000"/>
          <w:sz w:val="32"/>
          <w:szCs w:val="32"/>
          <w:shd w:val="clear" w:color="auto" w:fill="FFFFFF"/>
          <w:lang w:eastAsia="zh-CN"/>
        </w:rPr>
      </w:pPr>
    </w:p>
    <w:p w14:paraId="64BDB85F">
      <w:pPr>
        <w:pStyle w:val="35"/>
        <w:rPr>
          <w:rFonts w:hint="eastAsia" w:ascii="仿宋_GB2312" w:hAnsi="仿宋_GB2312" w:eastAsia="仿宋_GB2312" w:cs="仿宋_GB2312"/>
          <w:color w:val="000000"/>
          <w:sz w:val="32"/>
          <w:szCs w:val="32"/>
          <w:shd w:val="clear" w:color="auto" w:fill="FFFFFF"/>
          <w:lang w:eastAsia="zh-CN"/>
        </w:rPr>
      </w:pPr>
    </w:p>
    <w:p w14:paraId="30BE1400">
      <w:pPr>
        <w:pStyle w:val="35"/>
        <w:rPr>
          <w:rFonts w:hint="eastAsia" w:ascii="仿宋_GB2312" w:hAnsi="仿宋_GB2312" w:eastAsia="仿宋_GB2312" w:cs="仿宋_GB2312"/>
          <w:color w:val="000000"/>
          <w:sz w:val="32"/>
          <w:szCs w:val="32"/>
          <w:shd w:val="clear" w:color="auto" w:fill="FFFFFF"/>
          <w:lang w:eastAsia="zh-CN"/>
        </w:rPr>
      </w:pPr>
    </w:p>
    <w:p w14:paraId="65DB8246">
      <w:pPr>
        <w:pStyle w:val="35"/>
        <w:rPr>
          <w:rFonts w:hint="eastAsia" w:ascii="仿宋_GB2312" w:hAnsi="仿宋_GB2312" w:eastAsia="仿宋_GB2312" w:cs="仿宋_GB2312"/>
          <w:color w:val="000000"/>
          <w:sz w:val="32"/>
          <w:szCs w:val="32"/>
          <w:shd w:val="clear" w:color="auto" w:fill="FFFFFF"/>
          <w:lang w:eastAsia="zh-CN"/>
        </w:rPr>
      </w:pPr>
    </w:p>
    <w:p w14:paraId="23BE5EA7">
      <w:pPr>
        <w:pStyle w:val="35"/>
        <w:ind w:left="0" w:firstLine="0"/>
        <w:rPr>
          <w:rFonts w:hint="eastAsia" w:ascii="仿宋_GB2312" w:hAnsi="仿宋_GB2312" w:eastAsia="仿宋_GB2312" w:cs="仿宋_GB2312"/>
          <w:color w:val="000000"/>
          <w:sz w:val="32"/>
          <w:szCs w:val="32"/>
          <w:shd w:val="clear" w:color="auto" w:fill="FFFFFF"/>
          <w:lang w:eastAsia="zh-CN"/>
        </w:rPr>
      </w:pPr>
    </w:p>
    <w:p w14:paraId="1E0F80F4">
      <w:pPr>
        <w:pStyle w:val="35"/>
        <w:rPr>
          <w:rFonts w:hint="eastAsia" w:ascii="仿宋_GB2312" w:hAnsi="仿宋_GB2312" w:eastAsia="仿宋_GB2312" w:cs="仿宋_GB2312"/>
          <w:color w:val="000000"/>
          <w:sz w:val="32"/>
          <w:szCs w:val="32"/>
          <w:shd w:val="clear" w:color="auto" w:fill="FFFFFF"/>
          <w:lang w:eastAsia="zh-CN"/>
        </w:rPr>
      </w:pPr>
    </w:p>
    <w:p w14:paraId="44E1ADD2">
      <w:pPr>
        <w:pStyle w:val="35"/>
        <w:rPr>
          <w:rFonts w:hint="eastAsia" w:ascii="仿宋_GB2312" w:hAnsi="仿宋_GB2312" w:eastAsia="仿宋_GB2312" w:cs="仿宋_GB2312"/>
          <w:color w:val="000000"/>
          <w:sz w:val="32"/>
          <w:szCs w:val="32"/>
          <w:shd w:val="clear" w:color="auto" w:fill="FFFFFF"/>
          <w:lang w:eastAsia="zh-CN"/>
        </w:rPr>
      </w:pPr>
    </w:p>
    <w:p w14:paraId="606BB4FA">
      <w:pPr>
        <w:pStyle w:val="35"/>
        <w:rPr>
          <w:rFonts w:hint="eastAsia" w:ascii="仿宋_GB2312" w:hAnsi="仿宋_GB2312" w:eastAsia="仿宋_GB2312" w:cs="仿宋_GB2312"/>
          <w:color w:val="000000"/>
          <w:sz w:val="32"/>
          <w:szCs w:val="32"/>
          <w:shd w:val="clear" w:color="auto" w:fill="FFFFFF"/>
          <w:lang w:eastAsia="zh-CN"/>
        </w:rPr>
      </w:pPr>
    </w:p>
    <w:p w14:paraId="41D55611">
      <w:pPr>
        <w:pStyle w:val="35"/>
        <w:numPr>
          <w:ilvl w:val="0"/>
          <w:numId w:val="3"/>
        </w:numPr>
        <w:ind w:firstLine="0"/>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202</w:t>
      </w:r>
      <w:r>
        <w:rPr>
          <w:rFonts w:hint="eastAsia" w:ascii="方正小标宋_GBK" w:hAnsi="方正小标宋_GBK" w:eastAsia="方正小标宋_GBK" w:cs="方正小标宋_GBK"/>
          <w:b/>
          <w:bCs/>
          <w:sz w:val="36"/>
          <w:szCs w:val="36"/>
          <w:lang w:val="en-US" w:eastAsia="zh-CN"/>
        </w:rPr>
        <w:t>6</w:t>
      </w:r>
      <w:r>
        <w:rPr>
          <w:rFonts w:hint="eastAsia" w:ascii="方正小标宋_GBK" w:hAnsi="方正小标宋_GBK" w:eastAsia="方正小标宋_GBK" w:cs="方正小标宋_GBK"/>
          <w:b/>
          <w:bCs/>
          <w:sz w:val="36"/>
          <w:szCs w:val="36"/>
        </w:rPr>
        <w:t>年部门预算表</w:t>
      </w:r>
      <w:r>
        <w:rPr>
          <w:rFonts w:hint="eastAsia" w:ascii="方正小标宋_GBK" w:hAnsi="方正小标宋_GBK" w:eastAsia="方正小标宋_GBK" w:cs="方正小标宋_GBK"/>
          <w:b/>
          <w:bCs/>
          <w:sz w:val="36"/>
          <w:szCs w:val="36"/>
          <w:lang w:eastAsia="zh-CN"/>
        </w:rPr>
        <w:t>（见附件）</w:t>
      </w:r>
    </w:p>
    <w:p w14:paraId="5A5A7262">
      <w:pPr>
        <w:pStyle w:val="35"/>
        <w:numPr>
          <w:ilvl w:val="0"/>
          <w:numId w:val="0"/>
        </w:numPr>
        <w:jc w:val="both"/>
        <w:rPr>
          <w:rFonts w:hint="eastAsia" w:ascii="方正小标宋_GBK" w:hAnsi="方正小标宋_GBK" w:eastAsia="方正小标宋_GBK" w:cs="方正小标宋_GBK"/>
          <w:b/>
          <w:bCs/>
          <w:sz w:val="36"/>
          <w:szCs w:val="36"/>
        </w:rPr>
      </w:pPr>
    </w:p>
    <w:p w14:paraId="5E7AD82F">
      <w:pPr>
        <w:pStyle w:val="35"/>
        <w:jc w:val="center"/>
        <w:rPr>
          <w:rFonts w:hint="eastAsia" w:ascii="仿宋_GB2312" w:hAnsi="仿宋_GB2312" w:eastAsia="仿宋_GB2312" w:cs="仿宋_GB2312"/>
          <w:color w:val="000000"/>
          <w:sz w:val="32"/>
          <w:szCs w:val="32"/>
          <w:shd w:val="clear" w:color="auto" w:fill="FFFFFF"/>
          <w:lang w:val="en-US" w:eastAsia="zh-CN"/>
        </w:rPr>
        <w:sectPr>
          <w:pgSz w:w="11906" w:h="16838" w:orient="landscape"/>
          <w:pgMar w:top="2098" w:right="1587" w:bottom="1984" w:left="1587" w:header="851" w:footer="992" w:gutter="0"/>
          <w:cols w:space="1701" w:num="1"/>
        </w:sectPr>
      </w:pPr>
      <w:r>
        <w:rPr>
          <w:rFonts w:hint="eastAsia" w:ascii="仿宋_GB2312" w:hAnsi="仿宋_GB2312" w:eastAsia="仿宋_GB2312" w:cs="仿宋_GB2312"/>
          <w:color w:val="000000"/>
          <w:sz w:val="32"/>
          <w:szCs w:val="32"/>
          <w:shd w:val="clear" w:color="auto" w:fill="FFFFFF"/>
          <w:lang w:val="en-US" w:eastAsia="zh-CN" w:bidi="ar-SA"/>
        </w:rPr>
        <w:t>附件：道县发展和改革局2026年部门预算表</w:t>
      </w:r>
    </w:p>
    <w:p w14:paraId="7DAE1947"/>
    <w:sectPr>
      <w:pgSz w:w="18708" w:h="11905"/>
      <w:pgMar w:top="283" w:right="283" w:bottom="283" w:left="453" w:header="709" w:footer="709"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B0604020202020204"/>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rPr>
        <w:rFonts w:hint="eastAsia"/>
        <w:b/>
        <w:bCs/>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59ADCABA"/>
    <w:multiLevelType w:val="multilevel"/>
    <w:tmpl w:val="59ADCABA"/>
    <w:lvl w:ilvl="0" w:tentative="0">
      <w:start w:val="2"/>
      <w:numFmt w:val="chineseCounting"/>
      <w:lvlText w:val="第%1部分"/>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E37F5"/>
    <w:rsid w:val="1D300C7D"/>
    <w:rsid w:val="20971013"/>
    <w:rsid w:val="23FF13A9"/>
    <w:rsid w:val="39297956"/>
    <w:rsid w:val="40714F85"/>
    <w:rsid w:val="41074C5A"/>
    <w:rsid w:val="43A77473"/>
    <w:rsid w:val="53B612C0"/>
    <w:rsid w:val="59152618"/>
    <w:rsid w:val="77C15F5B"/>
    <w:rsid w:val="7A5C47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4"/>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toc 7"/>
    <w:basedOn w:val="1"/>
    <w:next w:val="1"/>
    <w:unhideWhenUsed/>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7"/>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unhideWhenUsed/>
    <w:qFormat/>
    <w:uiPriority w:val="99"/>
    <w:rPr>
      <w:vertAlign w:val="superscript"/>
    </w:rPr>
  </w:style>
  <w:style w:type="paragraph" w:customStyle="1" w:styleId="35">
    <w:name w:val="正文缩进1"/>
    <w:basedOn w:val="1"/>
    <w:qFormat/>
    <w:uiPriority w:val="0"/>
    <w:pPr>
      <w:ind w:firstLine="420"/>
    </w:pPr>
    <w:rPr>
      <w:szCs w:val="20"/>
    </w:rPr>
  </w:style>
  <w:style w:type="character" w:customStyle="1" w:styleId="36">
    <w:name w:val="Heading 1 Char"/>
    <w:link w:val="3"/>
    <w:qFormat/>
    <w:uiPriority w:val="9"/>
    <w:rPr>
      <w:rFonts w:ascii="等线" w:hAnsi="等线" w:eastAsia="等线" w:cs="等线"/>
      <w:sz w:val="40"/>
      <w:szCs w:val="40"/>
    </w:rPr>
  </w:style>
  <w:style w:type="character" w:customStyle="1" w:styleId="37">
    <w:name w:val="Heading 2 Char"/>
    <w:link w:val="4"/>
    <w:qFormat/>
    <w:uiPriority w:val="9"/>
    <w:rPr>
      <w:rFonts w:ascii="等线" w:hAnsi="等线" w:eastAsia="等线" w:cs="等线"/>
      <w:sz w:val="34"/>
    </w:rPr>
  </w:style>
  <w:style w:type="character" w:customStyle="1" w:styleId="38">
    <w:name w:val="Heading 3 Char"/>
    <w:link w:val="5"/>
    <w:qFormat/>
    <w:uiPriority w:val="9"/>
    <w:rPr>
      <w:rFonts w:ascii="等线" w:hAnsi="等线" w:eastAsia="等线" w:cs="等线"/>
      <w:sz w:val="30"/>
      <w:szCs w:val="30"/>
    </w:rPr>
  </w:style>
  <w:style w:type="character" w:customStyle="1" w:styleId="39">
    <w:name w:val="Heading 4 Char"/>
    <w:link w:val="6"/>
    <w:qFormat/>
    <w:uiPriority w:val="9"/>
    <w:rPr>
      <w:rFonts w:ascii="等线" w:hAnsi="等线" w:eastAsia="等线" w:cs="等线"/>
      <w:b/>
      <w:bCs/>
      <w:sz w:val="26"/>
      <w:szCs w:val="26"/>
    </w:rPr>
  </w:style>
  <w:style w:type="character" w:customStyle="1" w:styleId="40">
    <w:name w:val="Heading 5 Char"/>
    <w:link w:val="7"/>
    <w:qFormat/>
    <w:uiPriority w:val="9"/>
    <w:rPr>
      <w:rFonts w:ascii="等线" w:hAnsi="等线" w:eastAsia="等线" w:cs="等线"/>
      <w:b/>
      <w:bCs/>
      <w:sz w:val="24"/>
      <w:szCs w:val="24"/>
    </w:rPr>
  </w:style>
  <w:style w:type="character" w:customStyle="1" w:styleId="41">
    <w:name w:val="Heading 6 Char"/>
    <w:link w:val="8"/>
    <w:qFormat/>
    <w:uiPriority w:val="9"/>
    <w:rPr>
      <w:rFonts w:ascii="等线" w:hAnsi="等线" w:eastAsia="等线" w:cs="等线"/>
      <w:b/>
      <w:bCs/>
      <w:sz w:val="22"/>
      <w:szCs w:val="22"/>
    </w:rPr>
  </w:style>
  <w:style w:type="character" w:customStyle="1" w:styleId="42">
    <w:name w:val="Heading 7 Char"/>
    <w:link w:val="9"/>
    <w:qFormat/>
    <w:uiPriority w:val="9"/>
    <w:rPr>
      <w:rFonts w:ascii="等线" w:hAnsi="等线" w:eastAsia="等线" w:cs="等线"/>
      <w:b/>
      <w:bCs/>
      <w:i/>
      <w:iCs/>
      <w:sz w:val="22"/>
      <w:szCs w:val="22"/>
    </w:rPr>
  </w:style>
  <w:style w:type="character" w:customStyle="1" w:styleId="43">
    <w:name w:val="Heading 8 Char"/>
    <w:link w:val="10"/>
    <w:qFormat/>
    <w:uiPriority w:val="9"/>
    <w:rPr>
      <w:rFonts w:ascii="等线" w:hAnsi="等线" w:eastAsia="等线" w:cs="等线"/>
      <w:i/>
      <w:iCs/>
      <w:sz w:val="22"/>
      <w:szCs w:val="22"/>
    </w:rPr>
  </w:style>
  <w:style w:type="character" w:customStyle="1" w:styleId="44">
    <w:name w:val="Heading 9 Char"/>
    <w:link w:val="11"/>
    <w:qFormat/>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28"/>
    <w:qFormat/>
    <w:uiPriority w:val="10"/>
    <w:rPr>
      <w:sz w:val="48"/>
      <w:szCs w:val="48"/>
    </w:rPr>
  </w:style>
  <w:style w:type="character" w:customStyle="1" w:styleId="48">
    <w:name w:val="Subtitle Char"/>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link w:val="19"/>
    <w:qFormat/>
    <w:uiPriority w:val="99"/>
  </w:style>
  <w:style w:type="character" w:customStyle="1" w:styleId="54">
    <w:name w:val="Footer Char"/>
    <w:link w:val="18"/>
    <w:qFormat/>
    <w:uiPriority w:val="99"/>
  </w:style>
  <w:style w:type="character" w:customStyle="1" w:styleId="55">
    <w:name w:val="Caption Char"/>
    <w:link w:val="18"/>
    <w:qFormat/>
    <w:uiPriority w:val="99"/>
  </w:style>
  <w:style w:type="table" w:customStyle="1" w:styleId="56">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7">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9">
    <w:name w:val="Plain Table 3"/>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4"/>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5"/>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3">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4">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5">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6">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7">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8">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9">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1">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2">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3">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4">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5">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6">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7">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8">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9">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0">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1">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2">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3">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4">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5">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6">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7">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8">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9">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0">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1">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2">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3">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4">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5">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6">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7">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9">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0">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1">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2">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4">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6">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7">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8">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9">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0">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1">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2">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3">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4">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5">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6">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7">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8">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0">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1">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2">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3">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4">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5">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6">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7">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8">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9">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0">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1">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2">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3">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4">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5">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6">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7">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8">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9">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0">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1">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2">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3">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4">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5">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6">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7">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8">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9">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2">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3">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4">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5">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6">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9">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0">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1">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2">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3">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4">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5">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6">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7">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8">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9">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0">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1">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2">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3">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4">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5">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6">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7">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8">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9">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0">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 w:type="character" w:customStyle="1" w:styleId="184">
    <w:name w:val="默认段落字体1"/>
    <w:link w:val="1"/>
    <w:semiHidden/>
    <w:qFormat/>
    <w:uiPriority w:val="0"/>
  </w:style>
  <w:style w:type="table" w:customStyle="1" w:styleId="185">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6">
    <w:name w:val="页脚1"/>
    <w:basedOn w:val="1"/>
    <w:link w:val="187"/>
    <w:qFormat/>
    <w:uiPriority w:val="0"/>
    <w:pPr>
      <w:tabs>
        <w:tab w:val="center" w:pos="4153"/>
        <w:tab w:val="right" w:pos="8306"/>
      </w:tabs>
      <w:jc w:val="left"/>
    </w:pPr>
    <w:rPr>
      <w:sz w:val="18"/>
      <w:szCs w:val="18"/>
    </w:rPr>
  </w:style>
  <w:style w:type="character" w:customStyle="1" w:styleId="187">
    <w:name w:val="页脚 字符"/>
    <w:link w:val="186"/>
    <w:qFormat/>
    <w:uiPriority w:val="0"/>
    <w:rPr>
      <w:sz w:val="18"/>
      <w:szCs w:val="18"/>
    </w:rPr>
  </w:style>
  <w:style w:type="paragraph" w:customStyle="1" w:styleId="188">
    <w:name w:val="页眉1"/>
    <w:basedOn w:val="1"/>
    <w:link w:val="189"/>
    <w:qFormat/>
    <w:uiPriority w:val="0"/>
    <w:pPr>
      <w:pBdr>
        <w:bottom w:val="single" w:color="000000" w:sz="6" w:space="1"/>
      </w:pBdr>
      <w:tabs>
        <w:tab w:val="center" w:pos="4153"/>
        <w:tab w:val="right" w:pos="8306"/>
      </w:tabs>
      <w:jc w:val="center"/>
    </w:pPr>
    <w:rPr>
      <w:sz w:val="18"/>
      <w:szCs w:val="18"/>
    </w:rPr>
  </w:style>
  <w:style w:type="character" w:customStyle="1" w:styleId="189">
    <w:name w:val="页眉 字符"/>
    <w:link w:val="188"/>
    <w:qFormat/>
    <w:uiPriority w:val="0"/>
    <w:rPr>
      <w:sz w:val="18"/>
      <w:szCs w:val="18"/>
    </w:rPr>
  </w:style>
  <w:style w:type="paragraph" w:customStyle="1" w:styleId="190">
    <w:name w:val="普通(网站)1"/>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6392</Words>
  <Characters>6615</Characters>
  <TotalTime>0</TotalTime>
  <ScaleCrop>false</ScaleCrop>
  <LinksUpToDate>false</LinksUpToDate>
  <CharactersWithSpaces>6627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2021-10-29T09:36:00Z</dcterms:created>
  <dc:creator>H</dc:creator>
  <cp:lastModifiedBy>乐萍@</cp:lastModifiedBy>
  <dcterms:modified xsi:type="dcterms:W3CDTF">2026-03-13T08:06:00Z</dcterms:modified>
  <dc:title>汝城县预算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eyJoZGlkIjoiMmM4N2IwNjRlMmU3NGQ0MjAyNTk2OWVlN2U3NWEwZTYiLCJ1c2VySWQiOiIyNjAwMzY5ODYifQ==</vt:lpwstr>
  </property>
  <property fmtid="{D5CDD505-2E9C-101B-9397-08002B2CF9AE}" pid="3" name="KSOProductBuildVer">
    <vt:lpwstr>2052-12.1.0.25225</vt:lpwstr>
  </property>
  <property fmtid="{D5CDD505-2E9C-101B-9397-08002B2CF9AE}" pid="4" name="ICV">
    <vt:lpwstr>FD684E5B61144EDF96B3359552C035AB_12</vt:lpwstr>
  </property>
</Properties>
</file>