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sz w:val="36"/>
          <w:szCs w:val="36"/>
        </w:rPr>
      </w:pPr>
      <w:r>
        <w:rPr>
          <w:rFonts w:hint="eastAsia"/>
          <w:sz w:val="36"/>
          <w:szCs w:val="36"/>
        </w:rPr>
        <w:t>2025年道县种子技术推广服务站绩效自评报告</w:t>
      </w:r>
    </w:p>
    <w:p>
      <w:pPr>
        <w:pStyle w:val="2"/>
      </w:pPr>
    </w:p>
    <w:p>
      <w:pPr>
        <w:numPr>
          <w:ilvl w:val="0"/>
          <w:numId w:val="1"/>
        </w:numPr>
        <w:ind w:firstLine="1080" w:firstLineChars="300"/>
      </w:pPr>
      <w:r>
        <w:rPr>
          <w:rFonts w:hint="eastAsia"/>
          <w:sz w:val="36"/>
          <w:szCs w:val="36"/>
        </w:rPr>
        <w:t>基本情况</w:t>
      </w:r>
    </w:p>
    <w:p>
      <w:pPr>
        <w:ind w:firstLine="720" w:firstLineChars="200"/>
        <w:rPr>
          <w:sz w:val="36"/>
          <w:szCs w:val="36"/>
        </w:rPr>
      </w:pPr>
      <w:r>
        <w:rPr>
          <w:rFonts w:hint="eastAsia"/>
          <w:sz w:val="36"/>
          <w:szCs w:val="36"/>
        </w:rPr>
        <w:t>（一）部门（单位）基本情况:根据《中共道县县委办公室文件》（道办发[2019]43号）规定，道县种子技术推广服务站是由农业农村局领导，其主要职能是：</w:t>
      </w:r>
    </w:p>
    <w:p>
      <w:pPr>
        <w:rPr>
          <w:sz w:val="36"/>
          <w:szCs w:val="36"/>
        </w:rPr>
      </w:pPr>
      <w:r>
        <w:rPr>
          <w:rFonts w:hint="eastAsia"/>
          <w:sz w:val="36"/>
          <w:szCs w:val="36"/>
        </w:rPr>
        <w:t>1、负责全县农作物种子资源及农作新品种的保护和管理。</w:t>
      </w:r>
    </w:p>
    <w:p>
      <w:pPr>
        <w:ind w:firstLine="720" w:firstLineChars="200"/>
        <w:rPr>
          <w:sz w:val="36"/>
          <w:szCs w:val="36"/>
        </w:rPr>
      </w:pPr>
      <w:r>
        <w:rPr>
          <w:rFonts w:hint="eastAsia"/>
          <w:sz w:val="36"/>
          <w:szCs w:val="36"/>
        </w:rPr>
        <w:t>2、负责全县种业从业人员的技术培训工作组织农作物种子的选育、引进试验及推广应用。</w:t>
      </w:r>
    </w:p>
    <w:p>
      <w:pPr>
        <w:ind w:firstLine="720" w:firstLineChars="200"/>
        <w:rPr>
          <w:sz w:val="36"/>
          <w:szCs w:val="36"/>
        </w:rPr>
      </w:pPr>
      <w:r>
        <w:rPr>
          <w:rFonts w:hint="eastAsia"/>
          <w:sz w:val="36"/>
          <w:szCs w:val="36"/>
        </w:rPr>
        <w:t>3、负责全县农作物种子信息收集、整理与发布</w:t>
      </w:r>
    </w:p>
    <w:p>
      <w:pPr>
        <w:ind w:firstLine="720" w:firstLineChars="200"/>
        <w:rPr>
          <w:sz w:val="36"/>
          <w:szCs w:val="36"/>
        </w:rPr>
      </w:pPr>
      <w:r>
        <w:rPr>
          <w:rFonts w:hint="eastAsia"/>
          <w:sz w:val="36"/>
          <w:szCs w:val="36"/>
        </w:rPr>
        <w:t>（二）部门（单位）年度整体支出绩效目标：道县种子技术服务站内设办公室1个职能股室，下设蔬菜技术推广中心。事业编制25人。2025年末实有在编人数25人。2025年一般公共预算305.06万元，其中：基本支出：305.06万元。</w:t>
      </w:r>
    </w:p>
    <w:p>
      <w:pPr>
        <w:rPr>
          <w:sz w:val="36"/>
          <w:szCs w:val="36"/>
        </w:rPr>
      </w:pPr>
      <w:r>
        <w:rPr>
          <w:rFonts w:hint="eastAsia"/>
          <w:sz w:val="36"/>
          <w:szCs w:val="36"/>
        </w:rPr>
        <w:t>二、一般公共预算支出情况</w:t>
      </w:r>
    </w:p>
    <w:p>
      <w:pPr>
        <w:ind w:firstLine="360" w:firstLineChars="100"/>
        <w:rPr>
          <w:sz w:val="36"/>
          <w:szCs w:val="36"/>
        </w:rPr>
      </w:pPr>
      <w:r>
        <w:rPr>
          <w:rFonts w:hint="eastAsia"/>
          <w:sz w:val="36"/>
          <w:szCs w:val="36"/>
        </w:rPr>
        <w:t>（一）基本支出情况</w:t>
      </w:r>
    </w:p>
    <w:p>
      <w:pPr>
        <w:ind w:firstLine="720" w:firstLineChars="200"/>
        <w:rPr>
          <w:sz w:val="36"/>
          <w:szCs w:val="36"/>
        </w:rPr>
      </w:pPr>
      <w:r>
        <w:rPr>
          <w:rFonts w:hint="eastAsia"/>
          <w:sz w:val="36"/>
          <w:szCs w:val="36"/>
        </w:rPr>
        <w:t>1、部门整体资金来源情况</w:t>
      </w:r>
    </w:p>
    <w:p>
      <w:pPr>
        <w:ind w:firstLine="360" w:firstLineChars="100"/>
        <w:rPr>
          <w:sz w:val="36"/>
          <w:szCs w:val="36"/>
        </w:rPr>
      </w:pPr>
      <w:r>
        <w:rPr>
          <w:rFonts w:hint="eastAsia"/>
          <w:sz w:val="36"/>
          <w:szCs w:val="36"/>
        </w:rPr>
        <w:t>收入决算:2025年收入决算数312.95万元；其中：财政拨款312.95万元，上年结转0万元。比2024年311.94万元增加了1.01万元，原因是2025年工资调整上升。</w:t>
      </w:r>
    </w:p>
    <w:p>
      <w:pPr>
        <w:ind w:firstLine="360" w:firstLineChars="100"/>
        <w:rPr>
          <w:sz w:val="36"/>
          <w:szCs w:val="36"/>
        </w:rPr>
      </w:pPr>
      <w:r>
        <w:rPr>
          <w:rFonts w:hint="eastAsia"/>
          <w:sz w:val="36"/>
          <w:szCs w:val="36"/>
        </w:rPr>
        <w:t>支出决算：2025年支出决算数312.95万元；其中：基本支出312.95万元，项目支出0万。比2024年311.94万元增加了1.01万元，原因是2025年工资调整上升。</w:t>
      </w:r>
    </w:p>
    <w:p>
      <w:pPr>
        <w:ind w:firstLine="360" w:firstLineChars="100"/>
        <w:rPr>
          <w:sz w:val="36"/>
          <w:szCs w:val="36"/>
        </w:rPr>
      </w:pPr>
      <w:r>
        <w:rPr>
          <w:rFonts w:hint="eastAsia"/>
          <w:sz w:val="36"/>
          <w:szCs w:val="36"/>
        </w:rPr>
        <w:t>2、基本支出</w:t>
      </w:r>
    </w:p>
    <w:p>
      <w:pPr>
        <w:pStyle w:val="14"/>
        <w:spacing w:line="600" w:lineRule="exact"/>
        <w:ind w:firstLine="720" w:firstLineChars="200"/>
        <w:rPr>
          <w:rFonts w:ascii="仿宋" w:hAnsi="仿宋" w:eastAsia="仿宋" w:cs="仿宋"/>
          <w:sz w:val="32"/>
          <w:szCs w:val="32"/>
        </w:rPr>
      </w:pPr>
      <w:r>
        <w:rPr>
          <w:rFonts w:hint="eastAsia" w:ascii="Calibri" w:eastAsia="宋体" w:cs="宋体"/>
          <w:color w:val="auto"/>
          <w:kern w:val="2"/>
          <w:sz w:val="36"/>
          <w:szCs w:val="36"/>
        </w:rPr>
        <w:t>基本支出312.95万元，主要包括：基本工资143.44万元、绩效工资64.15万元，奖金（年终考核绩效）48.93万元、机关事业单位基本养老保险缴费30.11万元、职工基本医疗保险缴费15.63万元等，人员经费支出302.26万元，占基本支出的96.58%,；公用经费 10.69万元，占基本支出的 3.42%，主要包括：办公费0.4万元、印刷费0.05万元、手续费0.05万元、水费0.35万元、电费0.51万元、差旅费0.4万元、维修费0.4万元、会议费0.4万元、培训费0.4万元、公务接待费0.93万元、劳务费1.6万元、工会经费0.5万元、福利费2.5万元、其他交通费0.5万元、税金0.5万元、其他商品1.2万元等。</w:t>
      </w:r>
    </w:p>
    <w:p>
      <w:pPr>
        <w:ind w:firstLine="360" w:firstLineChars="100"/>
        <w:rPr>
          <w:sz w:val="36"/>
          <w:szCs w:val="36"/>
        </w:rPr>
      </w:pPr>
      <w:r>
        <w:rPr>
          <w:rFonts w:hint="eastAsia"/>
          <w:sz w:val="36"/>
          <w:szCs w:val="36"/>
        </w:rPr>
        <w:t>2025年“三公”经费决算0.93万元，其中：公务接待费0.9万元，国内公务接待18批次，接待人数108人，与2024年持平。</w:t>
      </w:r>
    </w:p>
    <w:p>
      <w:pPr>
        <w:numPr>
          <w:ilvl w:val="0"/>
          <w:numId w:val="2"/>
        </w:numPr>
        <w:ind w:firstLine="360" w:firstLineChars="100"/>
        <w:rPr>
          <w:sz w:val="36"/>
          <w:szCs w:val="36"/>
        </w:rPr>
      </w:pPr>
      <w:r>
        <w:rPr>
          <w:rFonts w:hint="eastAsia"/>
          <w:sz w:val="36"/>
          <w:szCs w:val="36"/>
        </w:rPr>
        <w:t>项目支出情况：无项目经费支出。</w:t>
      </w:r>
    </w:p>
    <w:p>
      <w:pPr>
        <w:numPr>
          <w:ilvl w:val="0"/>
          <w:numId w:val="3"/>
        </w:numPr>
        <w:ind w:firstLine="720" w:firstLineChars="200"/>
        <w:rPr>
          <w:sz w:val="36"/>
          <w:szCs w:val="36"/>
        </w:rPr>
      </w:pPr>
      <w:r>
        <w:rPr>
          <w:rFonts w:hint="eastAsia"/>
          <w:sz w:val="36"/>
          <w:szCs w:val="36"/>
        </w:rPr>
        <w:t>政府性基金预算支出情况：无</w:t>
      </w:r>
    </w:p>
    <w:p>
      <w:pPr>
        <w:numPr>
          <w:ilvl w:val="0"/>
          <w:numId w:val="3"/>
        </w:numPr>
        <w:ind w:firstLine="720" w:firstLineChars="200"/>
        <w:rPr>
          <w:sz w:val="36"/>
          <w:szCs w:val="36"/>
        </w:rPr>
      </w:pPr>
      <w:r>
        <w:rPr>
          <w:rFonts w:hint="eastAsia"/>
          <w:sz w:val="36"/>
          <w:szCs w:val="36"/>
        </w:rPr>
        <w:t>国有资本经营预算支出情况：无</w:t>
      </w:r>
    </w:p>
    <w:p>
      <w:pPr>
        <w:numPr>
          <w:ilvl w:val="0"/>
          <w:numId w:val="3"/>
        </w:numPr>
        <w:ind w:firstLine="720" w:firstLineChars="200"/>
        <w:rPr>
          <w:sz w:val="36"/>
          <w:szCs w:val="36"/>
        </w:rPr>
      </w:pPr>
      <w:r>
        <w:rPr>
          <w:rFonts w:hint="eastAsia"/>
          <w:sz w:val="36"/>
          <w:szCs w:val="36"/>
        </w:rPr>
        <w:t>社会保险基金预算支出情况：无</w:t>
      </w:r>
    </w:p>
    <w:p>
      <w:pPr>
        <w:numPr>
          <w:ilvl w:val="0"/>
          <w:numId w:val="3"/>
        </w:numPr>
        <w:ind w:firstLine="720" w:firstLineChars="200"/>
        <w:rPr>
          <w:sz w:val="36"/>
          <w:szCs w:val="36"/>
        </w:rPr>
      </w:pPr>
      <w:r>
        <w:rPr>
          <w:rFonts w:hint="eastAsia"/>
          <w:sz w:val="36"/>
          <w:szCs w:val="36"/>
        </w:rPr>
        <w:t>部门整体支出绩效情况</w:t>
      </w:r>
    </w:p>
    <w:p>
      <w:pPr>
        <w:ind w:firstLine="720" w:firstLineChars="200"/>
        <w:rPr>
          <w:sz w:val="36"/>
          <w:szCs w:val="36"/>
        </w:rPr>
      </w:pPr>
      <w:r>
        <w:rPr>
          <w:rFonts w:hint="eastAsia"/>
          <w:sz w:val="36"/>
          <w:szCs w:val="36"/>
        </w:rPr>
        <w:t>对2025年度部门整体支出数据进行核实，将2025年度和2024年度部门整体支出情况进行比较分析。查阅2025年度预算安排、相关文件资料和财务凭证。</w:t>
      </w:r>
    </w:p>
    <w:p>
      <w:pPr>
        <w:ind w:firstLine="720" w:firstLineChars="200"/>
        <w:rPr>
          <w:sz w:val="36"/>
          <w:szCs w:val="36"/>
        </w:rPr>
      </w:pPr>
      <w:r>
        <w:rPr>
          <w:rFonts w:hint="eastAsia"/>
          <w:sz w:val="36"/>
          <w:szCs w:val="36"/>
        </w:rPr>
        <w:t>我单位充分履行职责职能,严格按财经法规及制度使用管理资金,成效明显,主要体现在以下几个方面：</w:t>
      </w:r>
    </w:p>
    <w:p>
      <w:pPr>
        <w:ind w:firstLine="360" w:firstLineChars="100"/>
        <w:rPr>
          <w:sz w:val="36"/>
          <w:szCs w:val="36"/>
        </w:rPr>
      </w:pPr>
      <w:r>
        <w:rPr>
          <w:rFonts w:hint="eastAsia"/>
          <w:sz w:val="36"/>
          <w:szCs w:val="36"/>
        </w:rPr>
        <w:t>（一）是狠抓资金使用效益。表现在:1、保障了职工工资</w:t>
      </w:r>
      <w:r>
        <w:rPr>
          <w:rFonts w:hint="eastAsia"/>
          <w:sz w:val="36"/>
          <w:szCs w:val="36"/>
          <w:lang w:eastAsia="zh-CN"/>
        </w:rPr>
        <w:t>，</w:t>
      </w:r>
      <w:r>
        <w:rPr>
          <w:rFonts w:hint="eastAsia"/>
          <w:sz w:val="36"/>
          <w:szCs w:val="36"/>
        </w:rPr>
        <w:t>津补贴的及时足额发放</w:t>
      </w:r>
      <w:r>
        <w:rPr>
          <w:rFonts w:hint="eastAsia"/>
          <w:sz w:val="36"/>
          <w:szCs w:val="36"/>
          <w:lang w:eastAsia="zh-CN"/>
        </w:rPr>
        <w:t>，</w:t>
      </w:r>
      <w:r>
        <w:rPr>
          <w:rFonts w:hint="eastAsia"/>
          <w:sz w:val="36"/>
          <w:szCs w:val="36"/>
        </w:rPr>
        <w:t>没有出现拖欠职工工资,离退休费用等现象；2、保障了单位的正常运转</w:t>
      </w:r>
      <w:r>
        <w:rPr>
          <w:rFonts w:hint="eastAsia"/>
          <w:sz w:val="36"/>
          <w:szCs w:val="36"/>
          <w:lang w:eastAsia="zh-CN"/>
        </w:rPr>
        <w:t>，</w:t>
      </w:r>
      <w:r>
        <w:rPr>
          <w:rFonts w:hint="eastAsia"/>
          <w:sz w:val="36"/>
          <w:szCs w:val="36"/>
        </w:rPr>
        <w:t>各项工作开展顺利</w:t>
      </w:r>
      <w:r>
        <w:rPr>
          <w:rFonts w:hint="eastAsia"/>
          <w:sz w:val="36"/>
          <w:szCs w:val="36"/>
          <w:lang w:eastAsia="zh-CN"/>
        </w:rPr>
        <w:t>，</w:t>
      </w:r>
      <w:r>
        <w:rPr>
          <w:rFonts w:hint="eastAsia"/>
          <w:sz w:val="36"/>
          <w:szCs w:val="36"/>
        </w:rPr>
        <w:t>各项指标得到了增长</w:t>
      </w:r>
      <w:r>
        <w:rPr>
          <w:rFonts w:hint="eastAsia"/>
          <w:sz w:val="36"/>
          <w:szCs w:val="36"/>
          <w:lang w:eastAsia="zh-CN"/>
        </w:rPr>
        <w:t>，</w:t>
      </w:r>
      <w:r>
        <w:rPr>
          <w:rFonts w:hint="eastAsia"/>
          <w:sz w:val="36"/>
          <w:szCs w:val="36"/>
        </w:rPr>
        <w:t>农民收入得到了提高；3、财政供养人员控制较好；4、资金使用无虚列支出及随意使用现象</w:t>
      </w:r>
      <w:r>
        <w:rPr>
          <w:rFonts w:hint="eastAsia"/>
          <w:sz w:val="36"/>
          <w:szCs w:val="36"/>
          <w:lang w:eastAsia="zh-CN"/>
        </w:rPr>
        <w:t>，</w:t>
      </w:r>
      <w:bookmarkStart w:id="0" w:name="_GoBack"/>
      <w:bookmarkEnd w:id="0"/>
      <w:r>
        <w:rPr>
          <w:rFonts w:hint="eastAsia"/>
          <w:sz w:val="36"/>
          <w:szCs w:val="36"/>
        </w:rPr>
        <w:t>无大额现金支付现象。</w:t>
      </w:r>
    </w:p>
    <w:p>
      <w:pPr>
        <w:ind w:left="420" w:leftChars="200"/>
        <w:rPr>
          <w:sz w:val="36"/>
          <w:szCs w:val="36"/>
        </w:rPr>
      </w:pPr>
      <w:r>
        <w:rPr>
          <w:rFonts w:hint="eastAsia"/>
          <w:sz w:val="36"/>
          <w:szCs w:val="36"/>
        </w:rPr>
        <w:t>（ 二）是资金使用社会效益好。</w:t>
      </w:r>
    </w:p>
    <w:p>
      <w:pPr>
        <w:ind w:left="420" w:leftChars="200" w:firstLine="360" w:firstLineChars="100"/>
        <w:rPr>
          <w:sz w:val="36"/>
          <w:szCs w:val="36"/>
        </w:rPr>
      </w:pPr>
      <w:r>
        <w:rPr>
          <w:rFonts w:hint="eastAsia"/>
          <w:sz w:val="36"/>
          <w:szCs w:val="36"/>
        </w:rPr>
        <w:t>选育、培育10个优质常规稻和10个杂交稻品种；搞好全县800亩杂交水稻制种管理工作，确保水稻和其他农作品种供应；生产杂交水稻18万公斤，推广优质农作物种子180万公斤。确保水稻和其他农作品种供应；发布种子信息2.2万份。</w:t>
      </w:r>
    </w:p>
    <w:p>
      <w:pPr>
        <w:numPr>
          <w:ilvl w:val="0"/>
          <w:numId w:val="2"/>
        </w:numPr>
        <w:ind w:firstLine="360" w:firstLineChars="100"/>
        <w:rPr>
          <w:sz w:val="36"/>
          <w:szCs w:val="36"/>
        </w:rPr>
      </w:pPr>
      <w:r>
        <w:rPr>
          <w:rFonts w:hint="eastAsia"/>
          <w:sz w:val="36"/>
          <w:szCs w:val="36"/>
        </w:rPr>
        <w:t>是效率性高。用有限的资金全力保障了全县水稻种子的供应。农民收入得到了提高。单位生产生活稳定，职工安居乐业。</w:t>
      </w:r>
    </w:p>
    <w:p>
      <w:pPr>
        <w:numPr>
          <w:ilvl w:val="0"/>
          <w:numId w:val="3"/>
        </w:numPr>
        <w:ind w:firstLine="720" w:firstLineChars="200"/>
        <w:rPr>
          <w:sz w:val="36"/>
          <w:szCs w:val="36"/>
        </w:rPr>
      </w:pPr>
      <w:r>
        <w:rPr>
          <w:rFonts w:hint="eastAsia"/>
          <w:sz w:val="36"/>
          <w:szCs w:val="36"/>
        </w:rPr>
        <w:t>存在的问题及原因分析</w:t>
      </w:r>
    </w:p>
    <w:p>
      <w:pPr>
        <w:ind w:left="420" w:leftChars="200" w:firstLine="360" w:firstLineChars="100"/>
        <w:rPr>
          <w:sz w:val="36"/>
          <w:szCs w:val="36"/>
        </w:rPr>
      </w:pPr>
      <w:r>
        <w:rPr>
          <w:rFonts w:hint="eastAsia"/>
          <w:sz w:val="36"/>
          <w:szCs w:val="36"/>
        </w:rPr>
        <w:t>（一）预算资金安排不足；</w:t>
      </w:r>
    </w:p>
    <w:p>
      <w:pPr>
        <w:ind w:firstLine="720" w:firstLineChars="200"/>
        <w:rPr>
          <w:sz w:val="36"/>
          <w:szCs w:val="36"/>
        </w:rPr>
      </w:pPr>
      <w:r>
        <w:rPr>
          <w:rFonts w:hint="eastAsia"/>
          <w:sz w:val="36"/>
          <w:szCs w:val="36"/>
        </w:rPr>
        <w:t>（二）财管理人员缺乏，资产管理方面没有经验，财务人员业务水平不高。</w:t>
      </w:r>
    </w:p>
    <w:p>
      <w:pPr>
        <w:ind w:firstLine="720" w:firstLineChars="200"/>
        <w:rPr>
          <w:sz w:val="36"/>
          <w:szCs w:val="36"/>
        </w:rPr>
      </w:pPr>
      <w:r>
        <w:rPr>
          <w:rFonts w:hint="eastAsia"/>
          <w:sz w:val="36"/>
          <w:szCs w:val="36"/>
        </w:rPr>
        <w:t>八、下一步改进措施</w:t>
      </w:r>
    </w:p>
    <w:p>
      <w:pPr>
        <w:ind w:firstLine="720" w:firstLineChars="200"/>
        <w:rPr>
          <w:sz w:val="36"/>
          <w:szCs w:val="36"/>
        </w:rPr>
      </w:pPr>
      <w:r>
        <w:rPr>
          <w:rFonts w:hint="eastAsia"/>
          <w:sz w:val="36"/>
          <w:szCs w:val="36"/>
        </w:rPr>
        <w:t>（一)改进措施</w:t>
      </w:r>
    </w:p>
    <w:p>
      <w:pPr>
        <w:ind w:firstLine="720" w:firstLineChars="200"/>
        <w:rPr>
          <w:sz w:val="36"/>
          <w:szCs w:val="36"/>
        </w:rPr>
      </w:pPr>
      <w:r>
        <w:rPr>
          <w:rFonts w:hint="eastAsia"/>
          <w:sz w:val="36"/>
          <w:szCs w:val="36"/>
        </w:rPr>
        <w:t xml:space="preserve">  1、加强政策学习，提高思想认识。搞好人员培训，加强会计队伍建设。</w:t>
      </w:r>
    </w:p>
    <w:p>
      <w:pPr>
        <w:ind w:firstLine="720" w:firstLineChars="200"/>
        <w:rPr>
          <w:sz w:val="36"/>
          <w:szCs w:val="36"/>
        </w:rPr>
      </w:pPr>
      <w:r>
        <w:rPr>
          <w:rFonts w:hint="eastAsia"/>
          <w:sz w:val="36"/>
          <w:szCs w:val="36"/>
        </w:rPr>
        <w:t xml:space="preserve">  2、规范账务处理，提高财务信息质量。进一步建章立制，确保会计核算规范化。</w:t>
      </w:r>
    </w:p>
    <w:p>
      <w:pPr>
        <w:ind w:firstLine="720" w:firstLineChars="200"/>
        <w:rPr>
          <w:sz w:val="36"/>
          <w:szCs w:val="36"/>
        </w:rPr>
      </w:pPr>
      <w:r>
        <w:rPr>
          <w:rFonts w:hint="eastAsia"/>
          <w:sz w:val="36"/>
          <w:szCs w:val="36"/>
        </w:rPr>
        <w:t xml:space="preserve">  (二)建议</w:t>
      </w:r>
    </w:p>
    <w:p>
      <w:pPr>
        <w:ind w:firstLine="720" w:firstLineChars="200"/>
        <w:rPr>
          <w:sz w:val="36"/>
          <w:szCs w:val="36"/>
        </w:rPr>
      </w:pPr>
      <w:r>
        <w:rPr>
          <w:rFonts w:hint="eastAsia"/>
          <w:sz w:val="36"/>
          <w:szCs w:val="36"/>
        </w:rPr>
        <w:t xml:space="preserve">  1、希望财政部门按进度拨付各项资金，保障各项工作顺利开展。</w:t>
      </w:r>
    </w:p>
    <w:p>
      <w:pPr>
        <w:ind w:firstLine="720" w:firstLineChars="200"/>
        <w:rPr>
          <w:sz w:val="36"/>
          <w:szCs w:val="36"/>
        </w:rPr>
      </w:pPr>
      <w:r>
        <w:rPr>
          <w:rFonts w:hint="eastAsia"/>
          <w:sz w:val="36"/>
          <w:szCs w:val="36"/>
        </w:rPr>
        <w:t xml:space="preserve">  2、希望财政部门开展相关的业务工作培训，提高财务人员业务水平。</w:t>
      </w:r>
    </w:p>
    <w:p>
      <w:pPr>
        <w:ind w:firstLine="720" w:firstLineChars="200"/>
        <w:rPr>
          <w:sz w:val="36"/>
          <w:szCs w:val="36"/>
        </w:rPr>
      </w:pPr>
      <w:r>
        <w:rPr>
          <w:rFonts w:hint="eastAsia"/>
          <w:sz w:val="36"/>
          <w:szCs w:val="36"/>
        </w:rPr>
        <w:t>九、绩效自评结果拟应用和公开情况：绩效自评结果能及时准确地公开。</w:t>
      </w:r>
    </w:p>
    <w:p>
      <w:pPr>
        <w:jc w:val="left"/>
        <w:rPr>
          <w:rFonts w:ascii="宋体" w:hAnsi="宋体" w:cs="黑体"/>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singleLevel"/>
    <w:tmpl w:val="00000001"/>
    <w:lvl w:ilvl="0" w:tentative="0">
      <w:start w:val="3"/>
      <w:numFmt w:val="chineseCounting"/>
      <w:suff w:val="nothing"/>
      <w:lvlText w:val="%1、"/>
      <w:lvlJc w:val="left"/>
      <w:rPr>
        <w:rFonts w:hint="eastAsia"/>
      </w:rPr>
    </w:lvl>
  </w:abstractNum>
  <w:abstractNum w:abstractNumId="1">
    <w:nsid w:val="00000002"/>
    <w:multiLevelType w:val="singleLevel"/>
    <w:tmpl w:val="00000002"/>
    <w:lvl w:ilvl="0" w:tentative="0">
      <w:start w:val="2"/>
      <w:numFmt w:val="chineseCounting"/>
      <w:suff w:val="nothing"/>
      <w:lvlText w:val="（%1）"/>
      <w:lvlJc w:val="left"/>
      <w:rPr>
        <w:rFonts w:hint="eastAsia"/>
      </w:rPr>
    </w:lvl>
  </w:abstractNum>
  <w:abstractNum w:abstractNumId="2">
    <w:nsid w:val="303E544E"/>
    <w:multiLevelType w:val="singleLevel"/>
    <w:tmpl w:val="303E544E"/>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mU5ZWU0YzczYzJkMDE3YjZmMDc5NDdmMGMyNzhjNDYifQ=="/>
  </w:docVars>
  <w:rsids>
    <w:rsidRoot w:val="00CF1763"/>
    <w:rsid w:val="00A56967"/>
    <w:rsid w:val="00CF1763"/>
    <w:rsid w:val="0D927FE1"/>
    <w:rsid w:val="337C550B"/>
    <w:rsid w:val="649E018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Body Text Indent"/>
    <w:basedOn w:val="1"/>
    <w:next w:val="5"/>
    <w:qFormat/>
    <w:uiPriority w:val="99"/>
    <w:pPr>
      <w:widowControl/>
      <w:spacing w:after="120"/>
      <w:ind w:left="420" w:leftChars="200"/>
      <w:jc w:val="left"/>
    </w:pPr>
    <w:rPr>
      <w:rFonts w:ascii="宋体" w:hAnsi="宋体"/>
      <w:kern w:val="0"/>
      <w:sz w:val="24"/>
    </w:rPr>
  </w:style>
  <w:style w:type="paragraph" w:styleId="5">
    <w:name w:val="Body Text First Indent 2"/>
    <w:basedOn w:val="4"/>
    <w:next w:val="1"/>
    <w:qFormat/>
    <w:uiPriority w:val="99"/>
    <w:pPr>
      <w:ind w:firstLine="420" w:firstLineChars="200"/>
    </w:pPr>
  </w:style>
  <w:style w:type="paragraph" w:styleId="6">
    <w:name w:val="Balloon Text"/>
    <w:basedOn w:val="1"/>
    <w:link w:val="16"/>
    <w:qFormat/>
    <w:uiPriority w:val="99"/>
    <w:rPr>
      <w:sz w:val="18"/>
      <w:szCs w:val="18"/>
    </w:rPr>
  </w:style>
  <w:style w:type="paragraph" w:styleId="7">
    <w:name w:val="footer"/>
    <w:basedOn w:val="1"/>
    <w:link w:val="13"/>
    <w:qFormat/>
    <w:uiPriority w:val="99"/>
    <w:pPr>
      <w:tabs>
        <w:tab w:val="center" w:pos="4153"/>
        <w:tab w:val="right" w:pos="8306"/>
      </w:tabs>
      <w:snapToGrid w:val="0"/>
      <w:jc w:val="left"/>
    </w:pPr>
    <w:rPr>
      <w:sz w:val="18"/>
      <w:szCs w:val="18"/>
    </w:rPr>
  </w:style>
  <w:style w:type="paragraph" w:styleId="8">
    <w:name w:val="header"/>
    <w:basedOn w:val="1"/>
    <w:link w:val="12"/>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qFormat/>
    <w:uiPriority w:val="0"/>
    <w:pPr>
      <w:snapToGrid w:val="0"/>
      <w:jc w:val="left"/>
    </w:pPr>
    <w:rPr>
      <w:sz w:val="18"/>
      <w:szCs w:val="18"/>
    </w:rPr>
  </w:style>
  <w:style w:type="character" w:customStyle="1" w:styleId="12">
    <w:name w:val="页眉 Char"/>
    <w:basedOn w:val="11"/>
    <w:link w:val="8"/>
    <w:qFormat/>
    <w:uiPriority w:val="99"/>
    <w:rPr>
      <w:sz w:val="18"/>
      <w:szCs w:val="18"/>
    </w:rPr>
  </w:style>
  <w:style w:type="character" w:customStyle="1" w:styleId="13">
    <w:name w:val="页脚 Char"/>
    <w:basedOn w:val="11"/>
    <w:link w:val="7"/>
    <w:qFormat/>
    <w:uiPriority w:val="99"/>
    <w:rPr>
      <w:sz w:val="18"/>
      <w:szCs w:val="18"/>
    </w:rPr>
  </w:style>
  <w:style w:type="paragraph" w:customStyle="1" w:styleId="14">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6"/>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4</Pages>
  <Words>1429</Words>
  <Characters>1629</Characters>
  <Lines>1</Lines>
  <Paragraphs>3</Paragraphs>
  <TotalTime>0</TotalTime>
  <ScaleCrop>false</ScaleCrop>
  <LinksUpToDate>false</LinksUpToDate>
  <CharactersWithSpaces>1643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2026-09-09T07:56:00Z</dcterms:created>
  <dc:creator>李航 null</dc:creator>
  <cp:lastModifiedBy>水蜜桃</cp:lastModifiedBy>
  <cp:lastPrinted>2024-08-08T10:20:00Z</cp:lastPrinted>
  <dcterms:modified xsi:type="dcterms:W3CDTF">2026-09-14T00:40:56Z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e3b5b0afd36743948da2bbc1ec64959d_23</vt:lpwstr>
  </property>
</Properties>
</file>