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DD9E3">
      <w:pPr>
        <w:jc w:val="center"/>
        <w:rPr>
          <w:rFonts w:hint="eastAsia" w:ascii="黑体" w:hAnsi="黑体" w:eastAsia="黑体" w:cs="黑体"/>
          <w:sz w:val="36"/>
          <w:szCs w:val="36"/>
          <w:lang w:val="en-US" w:eastAsia="zh-CN"/>
        </w:rPr>
      </w:pPr>
      <w:r>
        <w:rPr>
          <w:rFonts w:hint="eastAsia" w:ascii="黑体" w:hAnsi="黑体" w:eastAsia="黑体" w:cs="黑体"/>
          <w:sz w:val="36"/>
          <w:szCs w:val="36"/>
          <w:lang w:eastAsia="zh-CN"/>
        </w:rPr>
        <w:t>202</w:t>
      </w:r>
      <w:r>
        <w:rPr>
          <w:rFonts w:hint="eastAsia" w:ascii="黑体" w:hAnsi="黑体" w:eastAsia="黑体" w:cs="黑体"/>
          <w:sz w:val="36"/>
          <w:szCs w:val="36"/>
          <w:lang w:val="en-US" w:eastAsia="zh-CN"/>
        </w:rPr>
        <w:t>5年度道县就业服务中心部门整体支出绩效自评报告</w:t>
      </w:r>
    </w:p>
    <w:p w14:paraId="2611A4D1">
      <w:pPr>
        <w:widowControl/>
        <w:spacing w:line="600" w:lineRule="exact"/>
        <w:jc w:val="left"/>
        <w:rPr>
          <w:rFonts w:eastAsia="仿宋_GB2312"/>
          <w:b/>
          <w:bCs/>
          <w:kern w:val="0"/>
          <w:sz w:val="32"/>
          <w:szCs w:val="32"/>
        </w:rPr>
      </w:pPr>
    </w:p>
    <w:p w14:paraId="07B49D00">
      <w:pPr>
        <w:widowControl/>
        <w:spacing w:line="700" w:lineRule="exact"/>
        <w:ind w:firstLine="630" w:firstLineChars="196"/>
        <w:jc w:val="left"/>
        <w:rPr>
          <w:rFonts w:hint="eastAsia" w:ascii="黑体" w:hAnsi="黑体" w:eastAsia="黑体" w:cs="黑体"/>
          <w:b/>
          <w:bCs/>
          <w:kern w:val="0"/>
          <w:sz w:val="32"/>
          <w:szCs w:val="32"/>
          <w:lang w:eastAsia="zh-CN"/>
        </w:rPr>
      </w:pPr>
      <w:r>
        <w:rPr>
          <w:rFonts w:hint="eastAsia" w:ascii="黑体" w:hAnsi="黑体" w:eastAsia="黑体" w:cs="黑体"/>
          <w:b/>
          <w:bCs/>
          <w:kern w:val="0"/>
          <w:sz w:val="32"/>
          <w:szCs w:val="32"/>
        </w:rPr>
        <w:t>一、基本</w:t>
      </w:r>
      <w:r>
        <w:rPr>
          <w:rFonts w:hint="eastAsia" w:ascii="黑体" w:hAnsi="黑体" w:eastAsia="黑体" w:cs="黑体"/>
          <w:b/>
          <w:bCs/>
          <w:kern w:val="0"/>
          <w:sz w:val="32"/>
          <w:szCs w:val="32"/>
          <w:lang w:eastAsia="zh-CN"/>
        </w:rPr>
        <w:t>情况</w:t>
      </w:r>
    </w:p>
    <w:p w14:paraId="2C3CE51C">
      <w:pPr>
        <w:widowControl/>
        <w:spacing w:line="700" w:lineRule="exact"/>
        <w:ind w:firstLine="627" w:firstLineChars="196"/>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部门基本情况</w:t>
      </w:r>
    </w:p>
    <w:p w14:paraId="7424CE81">
      <w:pPr>
        <w:widowControl/>
        <w:spacing w:line="700" w:lineRule="exact"/>
        <w:ind w:firstLine="627" w:firstLineChars="196"/>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职能职责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kern w:val="0"/>
          <w:sz w:val="32"/>
          <w:szCs w:val="32"/>
        </w:rPr>
        <w:t>根据就业失业有关规定，本单位主要工作职责是：实施并推进全县公共就业服务发展规划，落实促进就业各项政策措施，为高校毕业生、登记失业人员、农村劳动力及就业困难人员等群体提供政策咨询、岗位信息、就业失业与求职登记、就业培训、职业指导、就业援助等服务；落实就业创业政策措施，创建创业示范基地，开展创业担保贷款和创业指导等服务；落实全县职业技能培训工作，为培训机构和用人中心开展就业前培训、在职培训提供相关服务，推动社会化、市场化多形式的培训服务；承办失业保险稽核和管理服务，开展稳岗补贴、动态监测等服务</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国家规定由其履行的其它职责。</w:t>
      </w:r>
      <w:r>
        <w:rPr>
          <w:rFonts w:hint="eastAsia" w:eastAsia="仿宋_GB2312"/>
          <w:sz w:val="30"/>
          <w:szCs w:val="30"/>
        </w:rPr>
        <w:t xml:space="preserve"> </w:t>
      </w:r>
    </w:p>
    <w:p w14:paraId="69AB7433">
      <w:pPr>
        <w:widowControl w:val="0"/>
        <w:numPr>
          <w:ilvl w:val="0"/>
          <w:numId w:val="0"/>
        </w:numPr>
        <w:wordWrap/>
        <w:adjustRightInd/>
        <w:snapToGrid/>
        <w:spacing w:line="240" w:lineRule="auto"/>
        <w:ind w:right="0" w:firstLine="640" w:firstLineChars="200"/>
        <w:jc w:val="both"/>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机构设置</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本部门属于事业单位,内设办公室、失业保险股、城乡就业</w:t>
      </w:r>
      <w:r>
        <w:rPr>
          <w:rFonts w:hint="eastAsia" w:ascii="仿宋_GB2312" w:hAnsi="仿宋_GB2312" w:eastAsia="仿宋_GB2312" w:cs="仿宋_GB2312"/>
          <w:color w:val="000000"/>
          <w:kern w:val="0"/>
          <w:sz w:val="32"/>
          <w:szCs w:val="32"/>
          <w:lang w:eastAsia="zh-CN"/>
        </w:rPr>
        <w:t>股、就业培训股</w:t>
      </w:r>
      <w:r>
        <w:rPr>
          <w:rFonts w:hint="eastAsia" w:ascii="仿宋_GB2312" w:hAnsi="仿宋_GB2312" w:eastAsia="仿宋_GB2312" w:cs="仿宋_GB2312"/>
          <w:color w:val="000000"/>
          <w:kern w:val="0"/>
          <w:sz w:val="32"/>
          <w:szCs w:val="32"/>
        </w:rPr>
        <w:t>以及下属一级机购小额担保贷款中心。核定编制1</w:t>
      </w:r>
      <w:r>
        <w:rPr>
          <w:rFonts w:hint="eastAsia" w:ascii="仿宋_GB2312" w:hAnsi="仿宋_GB2312" w:eastAsia="仿宋_GB2312" w:cs="仿宋_GB2312"/>
          <w:color w:val="000000"/>
          <w:kern w:val="0"/>
          <w:sz w:val="32"/>
          <w:szCs w:val="32"/>
          <w:lang w:val="en-US" w:eastAsia="zh-CN"/>
        </w:rPr>
        <w:t>3</w:t>
      </w:r>
      <w:r>
        <w:rPr>
          <w:rFonts w:hint="eastAsia" w:ascii="仿宋_GB2312" w:hAnsi="仿宋_GB2312" w:eastAsia="仿宋_GB2312" w:cs="仿宋_GB2312"/>
          <w:color w:val="000000"/>
          <w:kern w:val="0"/>
          <w:sz w:val="32"/>
          <w:szCs w:val="32"/>
        </w:rPr>
        <w:t>人,实有人员</w:t>
      </w:r>
      <w:r>
        <w:rPr>
          <w:rFonts w:hint="eastAsia" w:ascii="仿宋_GB2312" w:hAnsi="仿宋_GB2312" w:eastAsia="仿宋_GB2312" w:cs="仿宋_GB2312"/>
          <w:color w:val="000000"/>
          <w:kern w:val="0"/>
          <w:sz w:val="32"/>
          <w:szCs w:val="32"/>
          <w:lang w:val="en-US" w:eastAsia="zh-CN"/>
        </w:rPr>
        <w:t>13</w:t>
      </w:r>
      <w:r>
        <w:rPr>
          <w:rFonts w:hint="eastAsia" w:ascii="仿宋_GB2312" w:hAnsi="仿宋_GB2312" w:eastAsia="仿宋_GB2312" w:cs="仿宋_GB2312"/>
          <w:color w:val="000000"/>
          <w:kern w:val="0"/>
          <w:sz w:val="32"/>
          <w:szCs w:val="32"/>
        </w:rPr>
        <w:t>人,其中财政全额拨款人员1</w:t>
      </w:r>
      <w:r>
        <w:rPr>
          <w:rFonts w:hint="eastAsia" w:ascii="仿宋_GB2312" w:hAnsi="仿宋_GB2312" w:eastAsia="仿宋_GB2312" w:cs="仿宋_GB2312"/>
          <w:color w:val="000000"/>
          <w:kern w:val="0"/>
          <w:sz w:val="32"/>
          <w:szCs w:val="32"/>
          <w:lang w:val="en-US" w:eastAsia="zh-CN"/>
        </w:rPr>
        <w:t>3</w:t>
      </w:r>
      <w:r>
        <w:rPr>
          <w:rFonts w:hint="eastAsia" w:ascii="仿宋_GB2312" w:hAnsi="仿宋_GB2312" w:eastAsia="仿宋_GB2312" w:cs="仿宋_GB2312"/>
          <w:color w:val="000000"/>
          <w:kern w:val="0"/>
          <w:sz w:val="32"/>
          <w:szCs w:val="32"/>
        </w:rPr>
        <w:t>人，退休人员</w:t>
      </w:r>
      <w:r>
        <w:rPr>
          <w:rFonts w:hint="eastAsia" w:ascii="仿宋_GB2312" w:hAnsi="仿宋_GB2312" w:eastAsia="仿宋_GB2312" w:cs="仿宋_GB2312"/>
          <w:color w:val="000000"/>
          <w:kern w:val="0"/>
          <w:sz w:val="32"/>
          <w:szCs w:val="32"/>
          <w:lang w:val="en-US" w:eastAsia="zh-CN"/>
        </w:rPr>
        <w:t>6</w:t>
      </w:r>
      <w:r>
        <w:rPr>
          <w:rFonts w:hint="eastAsia" w:ascii="仿宋_GB2312" w:hAnsi="仿宋_GB2312" w:eastAsia="仿宋_GB2312" w:cs="仿宋_GB2312"/>
          <w:color w:val="000000"/>
          <w:kern w:val="0"/>
          <w:sz w:val="32"/>
          <w:szCs w:val="32"/>
        </w:rPr>
        <w:t>人。</w:t>
      </w:r>
    </w:p>
    <w:p w14:paraId="47E2C74C">
      <w:pPr>
        <w:pStyle w:val="2"/>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（二）部门年度整体支出绩效目标</w:t>
      </w:r>
    </w:p>
    <w:p w14:paraId="09BAE01F">
      <w:pPr>
        <w:pStyle w:val="2"/>
        <w:widowControl w:val="0"/>
        <w:wordWrap/>
        <w:adjustRightInd/>
        <w:snapToGrid w:val="0"/>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1、总目标：保障工资支出和中心业务正常运转、圆满完成当年各项任务、指标。</w:t>
      </w:r>
    </w:p>
    <w:p w14:paraId="3BB622A8">
      <w:pPr>
        <w:widowControl/>
        <w:spacing w:before="0" w:beforeAutospacing="1" w:after="0" w:afterAutospacing="1"/>
        <w:ind w:left="0" w:right="0" w:firstLine="640" w:firstLineChars="200"/>
        <w:jc w:val="left"/>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2、整体目标：</w:t>
      </w:r>
    </w:p>
    <w:p w14:paraId="5A1DAD71">
      <w:pPr>
        <w:widowControl/>
        <w:spacing w:line="700" w:lineRule="exact"/>
        <w:ind w:firstLine="627" w:firstLineChars="196"/>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（1）职业培训工作方面：积极开展职业培训和职业技能鉴定工作。</w:t>
      </w:r>
    </w:p>
    <w:p w14:paraId="291C1BD6">
      <w:pPr>
        <w:widowControl/>
        <w:spacing w:line="700" w:lineRule="exact"/>
        <w:ind w:firstLine="627" w:firstLineChars="196"/>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（2）创新创业工作方面：加大发放创业担保贷款工作力度，深入推进创新创业带动就业工作，组织好创业培训，营造良好的创业就业环境，提升创业就业服务能力。</w:t>
      </w:r>
    </w:p>
    <w:p w14:paraId="3DFB3979">
      <w:pPr>
        <w:widowControl/>
        <w:spacing w:line="700" w:lineRule="exact"/>
        <w:ind w:firstLine="627" w:firstLineChars="196"/>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（3）就业帮扶工作方面：加大劳务协作脱贫力度，推动就业民生工作纵深发展。</w:t>
      </w:r>
    </w:p>
    <w:p w14:paraId="571D6D0B">
      <w:pPr>
        <w:widowControl/>
        <w:spacing w:line="700" w:lineRule="exact"/>
        <w:ind w:firstLine="627" w:firstLineChars="196"/>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（4）失业保险工作方面：加强失业保险政策宣传，有效发挥失业保险各项功能，扩大社会影响，多举措全力做好失业保险待遇发放工作,充分发挥失业保险在保民生促就业中的作用。</w:t>
      </w:r>
    </w:p>
    <w:p w14:paraId="2E8D1DBE">
      <w:pPr>
        <w:widowControl/>
        <w:spacing w:line="700" w:lineRule="exact"/>
        <w:ind w:firstLine="627" w:firstLineChars="196"/>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（5）人力资源和社区就业方面：加</w:t>
      </w:r>
      <w:r>
        <w:rPr>
          <w:rFonts w:hint="eastAsia" w:ascii="仿宋_GB2312" w:hAnsi="仿宋_GB2312" w:eastAsia="仿宋_GB2312" w:cs="仿宋_GB2312"/>
          <w:color w:val="000000"/>
          <w:kern w:val="0"/>
          <w:sz w:val="32"/>
          <w:szCs w:val="32"/>
        </w:rPr>
        <w:t>大劳务输出和职业介绍力度，积极深化就业服务工作改革，加强公共就业服务体系建设，加快就业信息网络和信息化建设，提高信息化服务水平，加大就业创业政策宣传力度。</w:t>
      </w:r>
    </w:p>
    <w:p w14:paraId="05FCC1A4">
      <w:pPr>
        <w:widowControl/>
        <w:spacing w:line="700" w:lineRule="exact"/>
        <w:ind w:firstLine="630" w:firstLineChars="196"/>
        <w:jc w:val="left"/>
        <w:rPr>
          <w:rFonts w:hint="eastAsia" w:ascii="黑体" w:hAnsi="黑体" w:eastAsia="黑体" w:cs="黑体"/>
          <w:b/>
          <w:bCs/>
          <w:kern w:val="0"/>
          <w:sz w:val="32"/>
          <w:szCs w:val="32"/>
          <w:lang w:eastAsia="zh-CN"/>
        </w:rPr>
      </w:pPr>
    </w:p>
    <w:p w14:paraId="30A7C203">
      <w:pPr>
        <w:widowControl/>
        <w:spacing w:line="700" w:lineRule="exact"/>
        <w:ind w:firstLine="630" w:firstLineChars="196"/>
        <w:jc w:val="left"/>
        <w:rPr>
          <w:rFonts w:hint="eastAsia" w:ascii="仿宋_GB2312" w:hAnsi="仿宋_GB2312" w:eastAsia="仿宋_GB2312" w:cs="仿宋_GB2312"/>
          <w:b/>
          <w:bCs/>
          <w:kern w:val="0"/>
          <w:sz w:val="32"/>
          <w:szCs w:val="32"/>
        </w:rPr>
      </w:pPr>
      <w:r>
        <w:rPr>
          <w:rFonts w:hint="eastAsia" w:ascii="黑体" w:hAnsi="黑体" w:eastAsia="黑体" w:cs="黑体"/>
          <w:b/>
          <w:bCs/>
          <w:kern w:val="0"/>
          <w:sz w:val="32"/>
          <w:szCs w:val="32"/>
          <w:lang w:eastAsia="zh-CN"/>
        </w:rPr>
        <w:t>二、一般公共预算支出情况</w:t>
      </w:r>
    </w:p>
    <w:p w14:paraId="67FBC31E">
      <w:pPr>
        <w:widowControl/>
        <w:ind w:right="10" w:rightChars="5"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基本支出情况</w:t>
      </w:r>
    </w:p>
    <w:p w14:paraId="639182EB">
      <w:pPr>
        <w:widowControl/>
        <w:spacing w:line="700" w:lineRule="exact"/>
        <w:ind w:firstLine="6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年本部门基本支出预算数</w:t>
      </w:r>
      <w:r>
        <w:rPr>
          <w:rFonts w:hint="eastAsia" w:ascii="仿宋_GB2312" w:hAnsi="仿宋_GB2312" w:eastAsia="仿宋_GB2312" w:cs="仿宋_GB2312"/>
          <w:sz w:val="32"/>
          <w:szCs w:val="32"/>
          <w:lang w:val="en-US" w:eastAsia="zh-CN"/>
        </w:rPr>
        <w:t>175.14</w:t>
      </w:r>
      <w:r>
        <w:rPr>
          <w:rFonts w:hint="eastAsia" w:ascii="仿宋_GB2312" w:hAnsi="仿宋_GB2312" w:eastAsia="仿宋_GB2312" w:cs="仿宋_GB2312"/>
          <w:sz w:val="32"/>
          <w:szCs w:val="32"/>
        </w:rPr>
        <w:t>万元，是指为保障部门正常运转、完成日常工作任务而发生的各项支出，包括用于基本工资、津贴补贴等人员经费以及办公费、印刷费、水电费、办公设备购置等公用经费。</w:t>
      </w:r>
    </w:p>
    <w:p w14:paraId="0B8FDB5F">
      <w:pPr>
        <w:spacing w:line="7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工资福利支出</w:t>
      </w:r>
      <w:r>
        <w:rPr>
          <w:rFonts w:hint="eastAsia" w:ascii="仿宋_GB2312" w:hAnsi="仿宋_GB2312" w:eastAsia="仿宋_GB2312" w:cs="仿宋_GB2312"/>
          <w:sz w:val="32"/>
          <w:szCs w:val="32"/>
        </w:rPr>
        <w:t>。工资福利支出共计</w:t>
      </w:r>
      <w:r>
        <w:rPr>
          <w:rFonts w:hint="eastAsia" w:ascii="仿宋_GB2312" w:hAnsi="仿宋_GB2312" w:eastAsia="仿宋_GB2312" w:cs="仿宋_GB2312"/>
          <w:sz w:val="32"/>
          <w:szCs w:val="32"/>
          <w:lang w:val="en-US" w:eastAsia="zh-CN"/>
        </w:rPr>
        <w:t>135.25</w:t>
      </w:r>
      <w:r>
        <w:rPr>
          <w:rFonts w:hint="eastAsia" w:ascii="仿宋_GB2312" w:hAnsi="仿宋_GB2312" w:eastAsia="仿宋_GB2312" w:cs="仿宋_GB2312"/>
          <w:sz w:val="32"/>
          <w:szCs w:val="32"/>
        </w:rPr>
        <w:t>万元，其中：基本工资</w:t>
      </w:r>
      <w:r>
        <w:rPr>
          <w:rFonts w:hint="eastAsia" w:ascii="仿宋_GB2312" w:hAnsi="仿宋_GB2312" w:eastAsia="仿宋_GB2312" w:cs="仿宋_GB2312"/>
          <w:sz w:val="32"/>
          <w:szCs w:val="32"/>
          <w:lang w:val="en-US" w:eastAsia="zh-CN"/>
        </w:rPr>
        <w:t>56.84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津贴补贴</w:t>
      </w:r>
      <w:r>
        <w:rPr>
          <w:rFonts w:hint="eastAsia" w:ascii="仿宋_GB2312" w:hAnsi="仿宋_GB2312" w:eastAsia="仿宋_GB2312" w:cs="仿宋_GB2312"/>
          <w:sz w:val="32"/>
          <w:szCs w:val="32"/>
          <w:lang w:val="en-US" w:eastAsia="zh-CN"/>
        </w:rPr>
        <w:t>2.67万元，奖金24.44万元，</w:t>
      </w:r>
      <w:r>
        <w:rPr>
          <w:rFonts w:hint="eastAsia" w:ascii="仿宋_GB2312" w:hAnsi="仿宋_GB2312" w:eastAsia="仿宋_GB2312" w:cs="仿宋_GB2312"/>
          <w:sz w:val="32"/>
          <w:szCs w:val="32"/>
          <w:lang w:eastAsia="zh-CN"/>
        </w:rPr>
        <w:t>绩效工资</w:t>
      </w:r>
      <w:r>
        <w:rPr>
          <w:rFonts w:hint="eastAsia" w:ascii="仿宋_GB2312" w:hAnsi="仿宋_GB2312" w:eastAsia="仿宋_GB2312" w:cs="仿宋_GB2312"/>
          <w:sz w:val="32"/>
          <w:szCs w:val="32"/>
          <w:lang w:val="en-US" w:eastAsia="zh-CN"/>
        </w:rPr>
        <w:t>28.54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，基本养老保险</w:t>
      </w:r>
      <w:r>
        <w:rPr>
          <w:rFonts w:hint="eastAsia" w:ascii="仿宋_GB2312" w:hAnsi="仿宋_GB2312" w:eastAsia="仿宋_GB2312" w:cs="仿宋_GB2312"/>
          <w:sz w:val="32"/>
          <w:szCs w:val="32"/>
          <w:lang w:val="en-US" w:eastAsia="zh-CN"/>
        </w:rPr>
        <w:t>14.91万元，基本医疗保险7.85万元</w:t>
      </w:r>
      <w:r>
        <w:rPr>
          <w:rFonts w:hint="eastAsia" w:ascii="仿宋_GB2312" w:hAnsi="仿宋_GB2312" w:eastAsia="仿宋_GB2312" w:cs="仿宋_GB2312"/>
          <w:sz w:val="32"/>
          <w:szCs w:val="32"/>
          <w:lang w:eastAsia="zh-CN"/>
        </w:rPr>
        <w:t>。</w:t>
      </w:r>
    </w:p>
    <w:p w14:paraId="15C6F5F5">
      <w:pPr>
        <w:spacing w:line="7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一般商品和服务支出</w:t>
      </w:r>
      <w:r>
        <w:rPr>
          <w:rFonts w:hint="eastAsia" w:ascii="仿宋_GB2312" w:hAnsi="仿宋_GB2312" w:eastAsia="仿宋_GB2312" w:cs="仿宋_GB2312"/>
          <w:sz w:val="32"/>
          <w:szCs w:val="32"/>
        </w:rPr>
        <w:t>。</w:t>
      </w:r>
      <w:r>
        <w:rPr>
          <w:rFonts w:hint="eastAsia" w:ascii="仿宋_GB2312" w:hAnsi="仿宋_GB2312" w:eastAsia="仿宋_GB2312" w:cs="仿宋_GB2312"/>
          <w:bCs/>
          <w:sz w:val="32"/>
          <w:szCs w:val="32"/>
        </w:rPr>
        <w:t>一般商品和服务支出</w:t>
      </w:r>
      <w:r>
        <w:rPr>
          <w:rFonts w:hint="eastAsia" w:ascii="仿宋_GB2312" w:hAnsi="仿宋_GB2312" w:eastAsia="仿宋_GB2312" w:cs="仿宋_GB2312"/>
          <w:sz w:val="32"/>
          <w:szCs w:val="32"/>
          <w:lang w:eastAsia="zh-CN"/>
        </w:rPr>
        <w:t>共计</w:t>
      </w:r>
      <w:r>
        <w:rPr>
          <w:rFonts w:hint="eastAsia" w:ascii="仿宋_GB2312" w:hAnsi="仿宋_GB2312" w:eastAsia="仿宋_GB2312" w:cs="仿宋_GB2312"/>
          <w:sz w:val="32"/>
          <w:szCs w:val="32"/>
          <w:lang w:val="en-US" w:eastAsia="zh-CN"/>
        </w:rPr>
        <w:t>37.89</w:t>
      </w:r>
      <w:r>
        <w:rPr>
          <w:rFonts w:hint="eastAsia" w:ascii="仿宋_GB2312" w:hAnsi="仿宋_GB2312" w:eastAsia="仿宋_GB2312" w:cs="仿宋_GB2312"/>
          <w:sz w:val="32"/>
          <w:szCs w:val="32"/>
        </w:rPr>
        <w:t>万元，用于</w:t>
      </w:r>
      <w:r>
        <w:rPr>
          <w:rFonts w:hint="eastAsia" w:ascii="仿宋_GB2312" w:hAnsi="仿宋_GB2312" w:eastAsia="仿宋_GB2312" w:cs="仿宋_GB2312"/>
          <w:sz w:val="32"/>
          <w:szCs w:val="32"/>
          <w:lang w:eastAsia="zh-CN"/>
        </w:rPr>
        <w:t>就业服务中心</w:t>
      </w:r>
      <w:r>
        <w:rPr>
          <w:rFonts w:hint="eastAsia" w:ascii="仿宋_GB2312" w:hAnsi="仿宋_GB2312" w:eastAsia="仿宋_GB2312" w:cs="仿宋_GB2312"/>
          <w:sz w:val="32"/>
          <w:szCs w:val="32"/>
        </w:rPr>
        <w:t>办公费、印刷费、</w:t>
      </w:r>
      <w:r>
        <w:rPr>
          <w:rFonts w:hint="eastAsia" w:ascii="仿宋_GB2312" w:hAnsi="仿宋_GB2312" w:eastAsia="仿宋_GB2312" w:cs="仿宋_GB2312"/>
          <w:sz w:val="32"/>
          <w:szCs w:val="32"/>
          <w:lang w:eastAsia="zh-CN"/>
        </w:rPr>
        <w:t>差旅费、</w:t>
      </w:r>
      <w:r>
        <w:rPr>
          <w:rFonts w:hint="eastAsia" w:ascii="仿宋_GB2312" w:hAnsi="仿宋_GB2312" w:eastAsia="仿宋_GB2312" w:cs="仿宋_GB2312"/>
          <w:sz w:val="32"/>
          <w:szCs w:val="32"/>
        </w:rPr>
        <w:t>水电费、办公设备购置</w:t>
      </w:r>
      <w:r>
        <w:rPr>
          <w:rFonts w:hint="eastAsia" w:ascii="仿宋_GB2312" w:hAnsi="仿宋_GB2312" w:eastAsia="仿宋_GB2312" w:cs="仿宋_GB2312"/>
          <w:sz w:val="32"/>
          <w:szCs w:val="32"/>
          <w:lang w:eastAsia="zh-CN"/>
        </w:rPr>
        <w:t>、其他交通费</w:t>
      </w:r>
      <w:r>
        <w:rPr>
          <w:rFonts w:hint="eastAsia" w:ascii="仿宋_GB2312" w:hAnsi="仿宋_GB2312" w:eastAsia="仿宋_GB2312" w:cs="仿宋_GB2312"/>
          <w:sz w:val="32"/>
          <w:szCs w:val="32"/>
        </w:rPr>
        <w:t>等日常工作开支</w:t>
      </w:r>
      <w:r>
        <w:rPr>
          <w:rFonts w:hint="eastAsia" w:ascii="仿宋_GB2312" w:hAnsi="仿宋_GB2312" w:eastAsia="仿宋_GB2312" w:cs="仿宋_GB2312"/>
          <w:sz w:val="32"/>
          <w:szCs w:val="32"/>
          <w:lang w:eastAsia="zh-CN"/>
        </w:rPr>
        <w:t>，其中：办公费</w:t>
      </w:r>
      <w:r>
        <w:rPr>
          <w:rFonts w:hint="eastAsia" w:ascii="仿宋_GB2312" w:hAnsi="仿宋_GB2312" w:eastAsia="仿宋_GB2312" w:cs="仿宋_GB2312"/>
          <w:sz w:val="32"/>
          <w:szCs w:val="32"/>
          <w:lang w:val="en-US" w:eastAsia="zh-CN"/>
        </w:rPr>
        <w:t>5.80万元，印刷费11.21万元，邮电费0.4万元，差旅费2.12万元，公务接待费0万元，维修（护）费4.12万元，工会经费3.62万元，福利费1.64万元，其他交通费用2.58万元，其他商品服务支出6.40万元</w:t>
      </w:r>
      <w:r>
        <w:rPr>
          <w:rFonts w:hint="eastAsia" w:ascii="仿宋_GB2312" w:hAnsi="仿宋_GB2312" w:eastAsia="仿宋_GB2312" w:cs="仿宋_GB2312"/>
          <w:sz w:val="32"/>
          <w:szCs w:val="32"/>
        </w:rPr>
        <w:t>。</w:t>
      </w:r>
    </w:p>
    <w:p w14:paraId="4ED0344D">
      <w:pPr>
        <w:pStyle w:val="7"/>
        <w:rPr>
          <w:rFonts w:hint="default" w:eastAsia="仿宋_GB2312"/>
          <w:lang w:val="en-US" w:eastAsia="zh-CN"/>
        </w:rPr>
      </w:pPr>
      <w:r>
        <w:rPr>
          <w:rFonts w:hint="eastAsia" w:ascii="仿宋_GB2312" w:hAnsi="仿宋_GB2312" w:eastAsia="仿宋_GB2312" w:cs="仿宋_GB2312"/>
          <w:sz w:val="32"/>
          <w:szCs w:val="32"/>
          <w:lang w:val="en-US" w:eastAsia="zh-CN"/>
        </w:rPr>
        <w:t xml:space="preserve">    3.对个人和家庭的补助。对个人和家庭的补助支出共计0万元。</w:t>
      </w:r>
    </w:p>
    <w:p w14:paraId="7A0F8B2D">
      <w:pPr>
        <w:widowControl/>
        <w:numPr>
          <w:ilvl w:val="0"/>
          <w:numId w:val="1"/>
        </w:numPr>
        <w:ind w:right="10" w:rightChars="5"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eastAsia="zh-CN"/>
        </w:rPr>
        <w:t>情况</w:t>
      </w:r>
    </w:p>
    <w:p w14:paraId="5CE57DA6">
      <w:pPr>
        <w:widowControl/>
        <w:numPr>
          <w:ilvl w:val="0"/>
          <w:numId w:val="0"/>
        </w:numPr>
        <w:ind w:right="10" w:rightChars="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年项目支出数为</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全部为</w:t>
      </w:r>
      <w:r>
        <w:rPr>
          <w:rFonts w:hint="eastAsia" w:ascii="仿宋_GB2312" w:hAnsi="仿宋" w:eastAsia="仿宋_GB2312" w:cs="仿宋"/>
          <w:sz w:val="32"/>
          <w:szCs w:val="32"/>
        </w:rPr>
        <w:t>一般公共预算拨款收入</w:t>
      </w:r>
      <w:r>
        <w:rPr>
          <w:rFonts w:hint="eastAsia" w:ascii="仿宋_GB2312" w:hAnsi="仿宋" w:eastAsia="仿宋_GB2312" w:cs="仿宋"/>
          <w:sz w:val="32"/>
          <w:szCs w:val="32"/>
          <w:lang w:eastAsia="zh-CN"/>
        </w:rPr>
        <w:t>，</w:t>
      </w:r>
      <w:r>
        <w:rPr>
          <w:rFonts w:hint="eastAsia" w:ascii="仿宋_GB2312" w:hAnsi="仿宋_GB2312" w:eastAsia="仿宋_GB2312" w:cs="仿宋_GB2312"/>
          <w:sz w:val="32"/>
          <w:szCs w:val="32"/>
        </w:rPr>
        <w:t>主要是部门为完成特定行政工作任务或事业发展目标而发生的支出，包括有关事业发展专项、专项业务费、基本建设支出等，其他就业</w:t>
      </w:r>
      <w:r>
        <w:rPr>
          <w:rFonts w:hint="eastAsia" w:ascii="仿宋_GB2312" w:hAnsi="仿宋_GB2312" w:eastAsia="仿宋_GB2312" w:cs="仿宋_GB2312"/>
          <w:sz w:val="32"/>
          <w:szCs w:val="32"/>
          <w:lang w:eastAsia="zh-CN"/>
        </w:rPr>
        <w:t>补助</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w:t>
      </w:r>
    </w:p>
    <w:p w14:paraId="7ECBF7B1">
      <w:pPr>
        <w:widowControl/>
        <w:numPr>
          <w:ilvl w:val="0"/>
          <w:numId w:val="2"/>
        </w:numPr>
        <w:spacing w:line="700" w:lineRule="exact"/>
        <w:ind w:firstLine="630" w:firstLineChars="196"/>
        <w:jc w:val="left"/>
        <w:rPr>
          <w:rFonts w:hint="eastAsia" w:ascii="黑体" w:hAnsi="黑体" w:eastAsia="黑体" w:cs="黑体"/>
          <w:b/>
          <w:bCs/>
          <w:kern w:val="0"/>
          <w:sz w:val="32"/>
          <w:szCs w:val="32"/>
          <w:lang w:eastAsia="zh-CN"/>
        </w:rPr>
      </w:pPr>
      <w:r>
        <w:rPr>
          <w:rFonts w:hint="eastAsia" w:ascii="黑体" w:hAnsi="黑体" w:eastAsia="黑体" w:cs="黑体"/>
          <w:b/>
          <w:bCs/>
          <w:kern w:val="0"/>
          <w:sz w:val="32"/>
          <w:szCs w:val="32"/>
          <w:lang w:eastAsia="zh-CN"/>
        </w:rPr>
        <w:t>政府性基金预算支出情况</w:t>
      </w:r>
    </w:p>
    <w:p w14:paraId="32CC7AE3">
      <w:pPr>
        <w:pStyle w:val="7"/>
        <w:numPr>
          <w:ilvl w:val="0"/>
          <w:numId w:val="0"/>
        </w:numPr>
        <w:rPr>
          <w:rFonts w:hint="default"/>
          <w:lang w:val="en-US" w:eastAsia="zh-CN"/>
        </w:rPr>
      </w:pPr>
      <w:r>
        <w:rPr>
          <w:rFonts w:hint="eastAsia"/>
          <w:lang w:val="en-US" w:eastAsia="zh-CN"/>
        </w:rPr>
        <w:t xml:space="preserve">    无</w:t>
      </w:r>
    </w:p>
    <w:p w14:paraId="2064C4BF">
      <w:pPr>
        <w:widowControl/>
        <w:spacing w:line="700" w:lineRule="exact"/>
        <w:ind w:firstLine="660"/>
        <w:jc w:val="left"/>
        <w:rPr>
          <w:rFonts w:hint="eastAsia" w:ascii="黑体" w:hAnsi="黑体" w:eastAsia="黑体" w:cs="黑体"/>
          <w:b/>
          <w:sz w:val="32"/>
          <w:szCs w:val="32"/>
        </w:rPr>
      </w:pPr>
      <w:r>
        <w:rPr>
          <w:rFonts w:hint="eastAsia" w:ascii="黑体" w:hAnsi="黑体" w:eastAsia="黑体" w:cs="黑体"/>
          <w:b/>
          <w:sz w:val="32"/>
          <w:szCs w:val="32"/>
          <w:lang w:eastAsia="zh-CN"/>
        </w:rPr>
        <w:t>四、国有资本经营预算支出情况</w:t>
      </w:r>
    </w:p>
    <w:p w14:paraId="40AC4828">
      <w:pPr>
        <w:numPr>
          <w:ilvl w:val="0"/>
          <w:numId w:val="0"/>
        </w:numPr>
        <w:spacing w:line="70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bCs/>
          <w:sz w:val="32"/>
          <w:szCs w:val="32"/>
        </w:rPr>
        <w:t>年止，我单位国有资产总额0万元，其中固定资产为0万元，流动资产0万元，净资产为0万元。本单位国有资产统一由局机关管理。</w:t>
      </w:r>
    </w:p>
    <w:p w14:paraId="21F600CC">
      <w:pPr>
        <w:widowControl/>
        <w:numPr>
          <w:ilvl w:val="0"/>
          <w:numId w:val="0"/>
        </w:numPr>
        <w:spacing w:line="700" w:lineRule="exact"/>
        <w:ind w:leftChars="196" w:firstLine="321" w:firstLineChars="100"/>
        <w:jc w:val="left"/>
        <w:rPr>
          <w:rFonts w:hint="eastAsia" w:ascii="黑体" w:hAnsi="黑体" w:eastAsia="黑体" w:cs="黑体"/>
          <w:b/>
          <w:sz w:val="32"/>
          <w:szCs w:val="32"/>
          <w:lang w:val="en-US" w:eastAsia="zh-CN"/>
        </w:rPr>
      </w:pPr>
      <w:r>
        <w:rPr>
          <w:rFonts w:hint="eastAsia" w:ascii="黑体" w:hAnsi="黑体" w:eastAsia="黑体" w:cs="黑体"/>
          <w:b/>
          <w:sz w:val="32"/>
          <w:szCs w:val="32"/>
          <w:lang w:val="en-US" w:eastAsia="zh-CN"/>
        </w:rPr>
        <w:t>五、社会保险基金预算支出情况</w:t>
      </w:r>
    </w:p>
    <w:p w14:paraId="54D5D02F">
      <w:pPr>
        <w:pStyle w:val="7"/>
        <w:numPr>
          <w:ilvl w:val="0"/>
          <w:numId w:val="0"/>
        </w:numPr>
        <w:ind w:leftChars="196"/>
        <w:rPr>
          <w:rFonts w:hint="eastAsia"/>
          <w:lang w:val="en-US" w:eastAsia="zh-CN"/>
        </w:rPr>
      </w:pPr>
      <w:r>
        <w:rPr>
          <w:rFonts w:hint="eastAsia"/>
          <w:lang w:val="en-US" w:eastAsia="zh-CN"/>
        </w:rPr>
        <w:t>无</w:t>
      </w:r>
    </w:p>
    <w:p w14:paraId="5BE3E95C">
      <w:pPr>
        <w:widowControl/>
        <w:numPr>
          <w:ilvl w:val="0"/>
          <w:numId w:val="3"/>
        </w:numPr>
        <w:spacing w:line="700" w:lineRule="exact"/>
        <w:ind w:firstLine="660"/>
        <w:jc w:val="left"/>
        <w:rPr>
          <w:rFonts w:hint="eastAsia" w:ascii="黑体" w:hAnsi="黑体" w:eastAsia="黑体" w:cs="黑体"/>
          <w:bCs/>
          <w:sz w:val="32"/>
          <w:szCs w:val="32"/>
          <w:lang w:eastAsia="zh-CN"/>
        </w:rPr>
      </w:pPr>
      <w:r>
        <w:rPr>
          <w:rFonts w:hint="eastAsia" w:ascii="黑体" w:hAnsi="黑体" w:eastAsia="黑体" w:cs="黑体"/>
          <w:bCs/>
          <w:sz w:val="32"/>
          <w:szCs w:val="32"/>
          <w:lang w:eastAsia="zh-CN"/>
        </w:rPr>
        <w:t>部门整体支出绩效情况</w:t>
      </w:r>
    </w:p>
    <w:p w14:paraId="40E5A1D7">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2025年，我部门积极履职，强化管理，较好地完成了年度工作目标。根据部门整体支出绩效评价指标体系，我单位2025年度评价得分为95分。部门整体支出绩效情况如下：</w:t>
      </w:r>
    </w:p>
    <w:p w14:paraId="30ED0555">
      <w:pPr>
        <w:numPr>
          <w:ilvl w:val="0"/>
          <w:numId w:val="0"/>
        </w:numPr>
        <w:spacing w:line="700" w:lineRule="exact"/>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（一）年度预算执行10分</w:t>
      </w:r>
    </w:p>
    <w:p w14:paraId="1F46EEF6">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年度预算执行得10分。2025年，我单位全年预算数175.14万元，全年执行数175.14万元，执行率100%，得10分。</w:t>
      </w:r>
    </w:p>
    <w:p w14:paraId="201CFE12">
      <w:pPr>
        <w:numPr>
          <w:ilvl w:val="0"/>
          <w:numId w:val="0"/>
        </w:numPr>
        <w:spacing w:line="700" w:lineRule="exact"/>
        <w:ind w:firstLine="643" w:firstLineChars="200"/>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（二）产出指标50分</w:t>
      </w:r>
    </w:p>
    <w:p w14:paraId="34CC4873">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1、数量指标30分</w:t>
      </w:r>
    </w:p>
    <w:p w14:paraId="53100274">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完成了城镇新增就业人数7510人，享受公益性岗位补贴717人，享受见习补贴人数458人，得20分。</w:t>
      </w:r>
    </w:p>
    <w:p w14:paraId="17A5FA6B">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2、质量指标10分</w:t>
      </w:r>
    </w:p>
    <w:p w14:paraId="0F73624F">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职业技能培训合格率90%以上，得10分。</w:t>
      </w:r>
    </w:p>
    <w:p w14:paraId="70738A69">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3、时效指标10分</w:t>
      </w:r>
    </w:p>
    <w:p w14:paraId="3B4A53F2">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资金拨付时效90%以上，得10分。</w:t>
      </w:r>
    </w:p>
    <w:p w14:paraId="0F885761">
      <w:pPr>
        <w:numPr>
          <w:ilvl w:val="0"/>
          <w:numId w:val="0"/>
        </w:numPr>
        <w:spacing w:line="700" w:lineRule="exact"/>
        <w:ind w:firstLine="643" w:firstLineChars="200"/>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（三）效益指标30分</w:t>
      </w:r>
    </w:p>
    <w:p w14:paraId="5205DE7B">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4、社会效益指标10分</w:t>
      </w:r>
    </w:p>
    <w:p w14:paraId="4DF00AAC">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加快健全失业保险制度体系，提高失业保险业务能力，逐步提高，得8分。</w:t>
      </w:r>
    </w:p>
    <w:p w14:paraId="0BED1218">
      <w:pPr>
        <w:pStyle w:val="2"/>
        <w:numPr>
          <w:ilvl w:val="0"/>
          <w:numId w:val="4"/>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经济效益指标10分 </w:t>
      </w:r>
    </w:p>
    <w:p w14:paraId="6FD47E66">
      <w:pPr>
        <w:pStyle w:val="3"/>
        <w:numPr>
          <w:ilvl w:val="0"/>
          <w:numId w:val="0"/>
        </w:numPr>
        <w:rPr>
          <w:rFonts w:hint="eastAsia"/>
          <w:lang w:val="en-US" w:eastAsia="zh-CN"/>
        </w:rPr>
      </w:pPr>
      <w:r>
        <w:rPr>
          <w:rFonts w:hint="eastAsia"/>
          <w:lang w:val="en-US" w:eastAsia="zh-CN"/>
        </w:rPr>
        <w:t xml:space="preserve">      </w:t>
      </w:r>
      <w:r>
        <w:rPr>
          <w:rFonts w:hint="eastAsia" w:ascii="仿宋_GB2312" w:hAnsi="仿宋_GB2312" w:eastAsia="仿宋_GB2312" w:cs="仿宋_GB2312"/>
          <w:kern w:val="2"/>
          <w:sz w:val="32"/>
          <w:szCs w:val="32"/>
          <w:lang w:val="en-US" w:eastAsia="zh-CN" w:bidi="ar-SA"/>
        </w:rPr>
        <w:t>实现高质量和充分就业，有助于推动全县创业率，降低失业率，效果显著。得9分</w:t>
      </w:r>
    </w:p>
    <w:p w14:paraId="4DEFB88D">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6、可持续影响指标10分</w:t>
      </w:r>
    </w:p>
    <w:p w14:paraId="174A6C74">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带动全县实现创新创业，创业带动就业，降低失业率，促进高质量充分就业，得8分。</w:t>
      </w:r>
    </w:p>
    <w:p w14:paraId="6B3F897B">
      <w:pPr>
        <w:numPr>
          <w:ilvl w:val="0"/>
          <w:numId w:val="0"/>
        </w:numPr>
        <w:spacing w:line="700" w:lineRule="exact"/>
        <w:ind w:firstLine="643" w:firstLineChars="200"/>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（四）社会公众或服务对象满意度10分</w:t>
      </w:r>
    </w:p>
    <w:p w14:paraId="121DF72E">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群众</w:t>
      </w:r>
      <w:bookmarkStart w:id="0" w:name="_GoBack"/>
      <w:bookmarkEnd w:id="0"/>
      <w:r>
        <w:rPr>
          <w:rFonts w:hint="eastAsia" w:ascii="仿宋_GB2312" w:hAnsi="仿宋_GB2312" w:eastAsia="仿宋_GB2312" w:cs="仿宋_GB2312"/>
          <w:sz w:val="32"/>
          <w:szCs w:val="32"/>
          <w:lang w:val="en-US" w:eastAsia="zh-CN"/>
        </w:rPr>
        <w:t>满意度达到95%以上，得10分</w:t>
      </w:r>
    </w:p>
    <w:p w14:paraId="2873123B">
      <w:pPr>
        <w:numPr>
          <w:ilvl w:val="0"/>
          <w:numId w:val="0"/>
        </w:numPr>
        <w:spacing w:line="700" w:lineRule="exact"/>
        <w:ind w:firstLine="643" w:firstLineChars="200"/>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（五）成本指标10分</w:t>
      </w:r>
    </w:p>
    <w:p w14:paraId="4C9235F4">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就业相关支出均按就业标准执行得10分。</w:t>
      </w:r>
    </w:p>
    <w:p w14:paraId="07CA4F3F">
      <w:pPr>
        <w:numPr>
          <w:ilvl w:val="0"/>
          <w:numId w:val="0"/>
        </w:numPr>
        <w:spacing w:line="700" w:lineRule="exact"/>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（六）绩效完成具体情况</w:t>
      </w:r>
    </w:p>
    <w:p w14:paraId="03A6D89D">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根据年度重点和日常工作安排，各项工作取得了新的成绩和突破；具体工作完成情况如下：</w:t>
      </w:r>
    </w:p>
    <w:p w14:paraId="61C2A520">
      <w:pPr>
        <w:numPr>
          <w:ilvl w:val="0"/>
          <w:numId w:val="0"/>
        </w:numPr>
        <w:spacing w:line="700" w:lineRule="exact"/>
        <w:ind w:firstLine="643" w:firstLineChars="200"/>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（一）坚持就业优先，筑牢创业就业“稳定器”。</w:t>
      </w:r>
    </w:p>
    <w:p w14:paraId="7B323FF4">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1.突出充分就业优服务。一是全县城镇新增就业人数7510人，失业人员再就业2964人，就业困难实现再就业1051人；二是新增农村劳动力转移就业5055人；三是城镇调查失业率去年排名全市一类县区。</w:t>
      </w:r>
    </w:p>
    <w:p w14:paraId="61FC4D8C">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2.突出创新创业促就业。一是简化创业担保贷款手续，为219名符合条件人员发放创业担保贷款7964万元，带动就业2394人，创业带动就业的倍增效应得到充分显现。</w:t>
      </w:r>
    </w:p>
    <w:p w14:paraId="30E029DA">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突出重点保障守底线。一是开发公益性岗位安置就业困难人员、脱贫劳动力、退役军人等重点群体就业，一至四季度发放公益性岗位补贴717人，金额588.8万元。城镇零就业家庭实现动态清零；二是支持高校毕业生就业，落实就业见习补贴政策，一至四季度发放见习补贴458人次，金额546.92万元；三是大力发展就业帮扶车间，积极引导我县园区重点企业到乡镇开设车间，目前认定就业乡村车间43家，共带动1500人就近就业，其中脱贫人口473人；四是帮助有劳动能力且有就业意愿退捕渔民56人全部实现就业。</w:t>
      </w:r>
    </w:p>
    <w:p w14:paraId="72D8DEF9">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突出技能培训提素质。一是强化职业技能培训促进就业，开办企业培训中心、民办职业培训等培训机构，开设形式多样的职业技能工种促进就业，重点打造“企业进校园，上课到车间”特色培训载体，采取“以工代训”模式，帮助企业技工人才和学员两种角色转换。目前，已开办创业培训班32期1087人；二是扩大培训范围带动就业率，将创业培训对象延伸到退役军人、青年学生、城镇登记失业人员、返乡农民工等，开展了灵活多样的定向培训，提高困难群体实现就业几率。</w:t>
      </w:r>
    </w:p>
    <w:p w14:paraId="097E1C2E">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突出失业保障保安定。一是提高职工失业保险保障水平，失业保险待遇提至最低工资标准的90%，全县失业保险金每人每月达到1620元；二是通过永就业、道州人社、微信和进企入户发放宣传资料等方式，广泛宣传失业保险金申领发放条件、申领流程，积极发放失业保险金。今年以来，全县网上申领和现场“一证申领”，发放失业保险金4677人次729.36万元；农民工一次性生活补助51人次，41.85万元；对全县企事业单位降费757家,金额2388.91万元；累计代缴医疗保险费4600人次，金额206.52万元；发放一次性扩岗补助118人17.7万元；发放稳岗返还补贴107家，金额81.65万元；发放技能提升补贴30人4.4万元。</w:t>
      </w:r>
    </w:p>
    <w:p w14:paraId="674EFF8D">
      <w:pPr>
        <w:numPr>
          <w:ilvl w:val="0"/>
          <w:numId w:val="0"/>
        </w:numPr>
        <w:spacing w:line="700" w:lineRule="exact"/>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（二）坚持岗位推送，打造用工求职“助力器”。</w:t>
      </w:r>
    </w:p>
    <w:p w14:paraId="0E061654">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积极安排部署。一是1月22日县委书记唐超学在县政府常务会议室组织召开了“创业就业工作座谈会”，县政府常务副县长刘军、县组织部部长陈葳等县级领导出席了座谈会。1月23日，县政府常务副县长刘军在县政府常务会议室组织召开了“道县2025年“春风行动暨就业援助月工作调度会”，会上对我县企业用工工作作了重要强调和部署；二是结合我县实际，印发《道县2025年春风行动暨就业援助月活动实施方案》（道人社联发〔2025〕1号）文件；三是制定《道县2025年服务园区招工参照数据》发放至各乡镇（街道）等职能部门，并加强与各职能部门间数据比对，掌握农村劳动者、就业困难人员就业失业情况和服务需求。四是1月下旬在持续开展“道县2025年春风行动暨就业援助月专项招聘</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招聘会，组织县内60余家企业提供2300余个岗位。</w:t>
      </w:r>
    </w:p>
    <w:p w14:paraId="1C0F8054">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2.多渠道宣传造氛围。一是收集59家企业岗位信息，编制《道县2025年春风行动就业信息指南》手册 、折页21万余份，已全部由各乡镇、街道分发至辖区各社区（村）；二是在敦颐广场、乡镇（街道）显示屏进行滚动播放岗位信息；三是在全县醒目位置张贴招聘信息；四是制作简易版招聘信息，通过乡镇驻村干部和就业专干分布在全县369个村级微信群；五是通过网页、微信、朋友圈、短信等形式进行线上就业宣传；六是县人社局会同县融媒体中心为永州市三雨电子科技有限公司、湖南紫金锂多金属新材料公司等59家企业拍摄招工宣传片21期，同时陆续拍摄“道县创业就业模范系列报道”2期。</w:t>
      </w:r>
    </w:p>
    <w:p w14:paraId="71367EB4">
      <w:pPr>
        <w:numPr>
          <w:ilvl w:val="0"/>
          <w:numId w:val="0"/>
        </w:numPr>
        <w:spacing w:line="700" w:lineRule="exact"/>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开展线上线下招聘。一是通过“湘就业”、“永就业”、“道州就业”等平台发布招聘岗位和通过“道州就业”微信公众号开播直播带岗线上招聘会，截止目前，开展线上招聘活动35场；二是人社局组织企业在敦颐广场、白马渡镇、高新区135地块等地以2025年“春风行动暨就业援助月”为契机，陆续开展了“道县2025年农民“湘融湘爱·春暖农民工服务行动”“道县2025年残疾人专场招聘会”“道县2025年高校毕业生专场招聘会”“道县2025年脱贫劳动力专场招聘会”“道县2025年园区企业专场招聘会”“道县2025年退捕渔民专场招聘会”“道县2025年四进四心专场活动”“道县2025年金秋招聘月”等主题线下招聘会79场，春节期间实现乡镇招聘活动全覆盖，截止目前，人社局会同县高新区组织县内60余家用工企业，提供岗位2300余个，初步达成就业意向11720人，帮助园区企业新招工员工2085人；三是人社局会同团县委在火车站、营江汽车站、步步高新天地商业圈等人员较集中的区域设立志愿服务站开展企业招聘宣传；四是鼓励园区企业提高福利待遇，长期在招聘活动中开展就业创业、劳动维权等政策宣传。五</w:t>
      </w:r>
      <w:r>
        <w:rPr>
          <w:rFonts w:hint="default" w:ascii="仿宋_GB2312" w:hAnsi="仿宋_GB2312" w:eastAsia="仿宋_GB2312" w:cs="仿宋_GB2312"/>
          <w:sz w:val="32"/>
          <w:szCs w:val="32"/>
          <w:lang w:val="en-US" w:eastAsia="zh-CN"/>
        </w:rPr>
        <w:t>是多渠道上门送岗</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人社部门、园区管理部门和街道乡镇共同组建招工小分队，带领企业人员走村入户、送岗上门，组织有务工意愿人员进入园区现场参观企业，对各乡镇有3人以上的愿意到园区务工人员，安排专车下乡接至企业入职</w:t>
      </w:r>
      <w:r>
        <w:rPr>
          <w:rFonts w:hint="eastAsia" w:ascii="仿宋_GB2312" w:hAnsi="仿宋_GB2312" w:eastAsia="仿宋_GB2312" w:cs="仿宋_GB2312"/>
          <w:sz w:val="32"/>
          <w:szCs w:val="32"/>
          <w:lang w:val="en-US" w:eastAsia="zh-CN"/>
        </w:rPr>
        <w:t>；六是</w:t>
      </w:r>
      <w:r>
        <w:rPr>
          <w:rFonts w:hint="default" w:ascii="仿宋_GB2312" w:hAnsi="仿宋_GB2312" w:eastAsia="仿宋_GB2312" w:cs="仿宋_GB2312"/>
          <w:sz w:val="32"/>
          <w:szCs w:val="32"/>
          <w:lang w:val="en-US" w:eastAsia="zh-CN"/>
        </w:rPr>
        <w:t>积极组织劳务对接</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组织劳务工作站、人力资源服务机构、劳务派遣公司、劳务经纪人等积极参与，</w:t>
      </w:r>
      <w:r>
        <w:rPr>
          <w:rFonts w:hint="eastAsia" w:ascii="仿宋_GB2312" w:hAnsi="仿宋_GB2312" w:eastAsia="仿宋_GB2312" w:cs="仿宋_GB2312"/>
          <w:sz w:val="32"/>
          <w:szCs w:val="32"/>
          <w:lang w:val="en-US" w:eastAsia="zh-CN"/>
        </w:rPr>
        <w:t>为全县用工企业</w:t>
      </w:r>
      <w:r>
        <w:rPr>
          <w:rFonts w:hint="default" w:ascii="仿宋_GB2312" w:hAnsi="仿宋_GB2312" w:eastAsia="仿宋_GB2312" w:cs="仿宋_GB2312"/>
          <w:sz w:val="32"/>
          <w:szCs w:val="32"/>
          <w:lang w:val="en-US" w:eastAsia="zh-CN"/>
        </w:rPr>
        <w:t>提供精准匹配、高效输出全流程服务。</w:t>
      </w:r>
    </w:p>
    <w:p w14:paraId="4642103D">
      <w:pPr>
        <w:numPr>
          <w:ilvl w:val="0"/>
          <w:numId w:val="0"/>
        </w:numPr>
        <w:spacing w:line="700" w:lineRule="exact"/>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下一步工作计划</w:t>
      </w:r>
    </w:p>
    <w:p w14:paraId="10C3C11C">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我中心将重点围绕就业创业工作补短板、强弱项，找准政策“痛点”、排查资源“堵点”、架设沟通“节点”、破解承接“难点”，推进全县创业就业工作更高质量、更高水平发展。</w:t>
      </w:r>
    </w:p>
    <w:p w14:paraId="70789830">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1.抓好“两个就业”的落实。</w:t>
      </w:r>
      <w:r>
        <w:rPr>
          <w:rFonts w:hint="eastAsia" w:ascii="仿宋_GB2312" w:hAnsi="仿宋_GB2312" w:eastAsia="仿宋_GB2312" w:cs="仿宋_GB2312"/>
          <w:sz w:val="32"/>
          <w:szCs w:val="32"/>
          <w:lang w:val="en-US" w:eastAsia="zh-CN"/>
        </w:rPr>
        <w:t>一是抓好园区企业用工和剩余劳动力就业。充分发挥县国投众聚人力资源公司平台优势，通过在园区内建立人力资源市场以及主城区内设立零工驿站、22个乡镇设立分站、369个社区（村）成立联络点的三级用工平台，为企业用工和劳动力求职搭建好对接平台，确保企业用工和劳动力求职供需平台畅通；二是抓好高校毕业生、脱贫人口、退捕渔民、登记失业人员等重点群体的就业帮扶。用活用好就业创业政策，积极开展“民营企业服务月”、“高校毕业生专场招聘”、“百日千万网络招聘专项行动”、“退役军人军属招聘会”、“退捕渔民专场招聘会”、等系统招聘活动，通过线上网络招聘、直播带岗，线下进企入户现场宣传等，竭力帮助重点群体实现就业创业。</w:t>
      </w:r>
    </w:p>
    <w:p w14:paraId="6114A236">
      <w:pPr>
        <w:numPr>
          <w:ilvl w:val="0"/>
          <w:numId w:val="0"/>
        </w:numPr>
        <w:spacing w:line="700" w:lineRule="exact"/>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2.抓好“两个指标”的落实。</w:t>
      </w:r>
      <w:r>
        <w:rPr>
          <w:rFonts w:hint="eastAsia" w:ascii="仿宋_GB2312" w:hAnsi="仿宋_GB2312" w:eastAsia="仿宋_GB2312" w:cs="仿宋_GB2312"/>
          <w:sz w:val="32"/>
          <w:szCs w:val="32"/>
          <w:lang w:val="en-US" w:eastAsia="zh-CN"/>
        </w:rPr>
        <w:t>一是紧扣先进地区考核指标。参考2024年全省促进就业工作先进地区评价指标，在就业指标完成情况、重点群体就业、就业资金保障使用、创业工作成效、职业技能培训成效、就业服务工作、失业保险工作和督查落实等8个方面28项指标上，早谋划，早安排，早抓落实，确保各项指标月月排名靠前，争创佳绩。二是紧扣高质量发展指标。紧紧围绕全市高质量发展综合绩效评价指标中的城镇调查失业率这一指标，扎实做好全县充分就业社区（村）创建工作，在充分就业、就业服务、政策实施、平台建设和社会影响等5个方面，确保每月得分在96分以上，争创省级“星级社区”，确保调查失业率工作在全市排名靠前。</w:t>
      </w:r>
    </w:p>
    <w:p w14:paraId="4F158C06">
      <w:pPr>
        <w:numPr>
          <w:ilvl w:val="0"/>
          <w:numId w:val="0"/>
        </w:numPr>
        <w:spacing w:line="700" w:lineRule="exact"/>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3.抓好“两个建设”的落实。</w:t>
      </w:r>
      <w:r>
        <w:rPr>
          <w:rFonts w:hint="eastAsia" w:ascii="仿宋_GB2312" w:hAnsi="仿宋_GB2312" w:eastAsia="仿宋_GB2312" w:cs="仿宋_GB2312"/>
          <w:sz w:val="32"/>
          <w:szCs w:val="32"/>
          <w:lang w:val="en-US" w:eastAsia="zh-CN"/>
        </w:rPr>
        <w:t>一是抓好劳动力信息化建设，以搭建人力资源市场为契机，整合人力、人才资源，建立建全全县劳动力台帐和电子数据，及时更新维护劳动力信息，准确掌握剩余劳动力动向，充分发挥就业中心的服务作用；二是抓好乡镇帮扶车间的建设，围绕就业帮扶工作，促进劳动力就近就业，力争在全县打造43个以上乡村车间，为脱贫人口等剩余劳动力创造就近就业岗位。</w:t>
      </w:r>
    </w:p>
    <w:p w14:paraId="6035F602">
      <w:pPr>
        <w:numPr>
          <w:ilvl w:val="0"/>
          <w:numId w:val="0"/>
        </w:numPr>
        <w:spacing w:line="700" w:lineRule="exact"/>
        <w:ind w:firstLine="643"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4.抓好“两个保障”的落实。</w:t>
      </w:r>
      <w:r>
        <w:rPr>
          <w:rFonts w:hint="eastAsia" w:ascii="仿宋_GB2312" w:hAnsi="仿宋_GB2312" w:eastAsia="仿宋_GB2312" w:cs="仿宋_GB2312"/>
          <w:sz w:val="32"/>
          <w:szCs w:val="32"/>
          <w:lang w:val="en-US" w:eastAsia="zh-CN"/>
        </w:rPr>
        <w:t>一是做好重点群体政策扶持保障，加大对高校毕业生、就业困难人员、脱贫人口的创业扶持，优先扶持符合条件重点群体创业，优先给予审核、发放，协调放宽重点群体自主创业贷款担保人条件、贷款额度等；二是做好就业困难群体兜底保障，加大失业保险扩面征缴力度，对符合领取失业保险生活待遇的失业人员实行“一申即发”。进一步加大公益性岗位扩量和提标，结合“三基六化”建设要求，在全县369个行政村开发公益性岗位从事就业、社保、安全生产、防火防溺水等阶段性中心工作，按照工作要求，适当提高补助金额。</w:t>
      </w:r>
    </w:p>
    <w:p w14:paraId="5F266C86">
      <w:pPr>
        <w:numPr>
          <w:ilvl w:val="0"/>
          <w:numId w:val="0"/>
        </w:numPr>
        <w:spacing w:line="700" w:lineRule="exact"/>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5.抓好“两个大赛”的落实</w:t>
      </w:r>
      <w:r>
        <w:rPr>
          <w:rFonts w:hint="eastAsia" w:ascii="仿宋_GB2312" w:hAnsi="仿宋_GB2312" w:eastAsia="仿宋_GB2312" w:cs="仿宋_GB2312"/>
          <w:sz w:val="32"/>
          <w:szCs w:val="32"/>
          <w:lang w:val="en-US" w:eastAsia="zh-CN"/>
        </w:rPr>
        <w:t>。一是举办好道州工匠大赛，充分利用技能培训机构的培训力量，开发好适合本地劳动力的技能项目，着力发掘龙头雕刻、道州调子戏等传统工艺能人以及培养道州麻园泡、特色烧烤等手艺能人，努力打造我县特色劳务品牌;二是举办好网络直播带货大赛，大力营造创新创业的浓厚氛围，引导和带动我县企业加快适应新业态发展，助力道州特色产业、产品等优势资源破圈出圈，发展电商经济，培养直播带货人才，发挥电商人才示范带动作用。</w:t>
      </w:r>
    </w:p>
    <w:p w14:paraId="369F7986">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p>
    <w:p w14:paraId="79B2A087">
      <w:pPr>
        <w:numPr>
          <w:ilvl w:val="0"/>
          <w:numId w:val="0"/>
        </w:numPr>
        <w:spacing w:line="700" w:lineRule="exact"/>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七、绩效自评结果拟应用和公开情况</w:t>
      </w:r>
    </w:p>
    <w:p w14:paraId="2E8CCE8F">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我中心根据专项绩效评定指标对各项目进行量化评价，我单位较好完成了2025年就业创业补助年度总体目标，项目与批复下达相符。</w:t>
      </w:r>
    </w:p>
    <w:p w14:paraId="5676602A">
      <w:pPr>
        <w:numPr>
          <w:ilvl w:val="0"/>
          <w:numId w:val="0"/>
        </w:numPr>
        <w:spacing w:line="700" w:lineRule="exact"/>
        <w:ind w:firstLine="643" w:firstLineChars="200"/>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八、其他需要说明的情况</w:t>
      </w:r>
    </w:p>
    <w:p w14:paraId="4CCE3664">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14:paraId="6CED0227">
      <w:pPr>
        <w:numPr>
          <w:ilvl w:val="0"/>
          <w:numId w:val="0"/>
        </w:numPr>
        <w:spacing w:line="700" w:lineRule="exact"/>
        <w:ind w:firstLine="640" w:firstLineChars="200"/>
        <w:jc w:val="left"/>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622139"/>
    <w:multiLevelType w:val="singleLevel"/>
    <w:tmpl w:val="EF622139"/>
    <w:lvl w:ilvl="0" w:tentative="0">
      <w:start w:val="6"/>
      <w:numFmt w:val="chineseCounting"/>
      <w:suff w:val="nothing"/>
      <w:lvlText w:val="%1、"/>
      <w:lvlJc w:val="left"/>
      <w:rPr>
        <w:rFonts w:hint="eastAsia"/>
      </w:rPr>
    </w:lvl>
  </w:abstractNum>
  <w:abstractNum w:abstractNumId="1">
    <w:nsid w:val="5E3584BD"/>
    <w:multiLevelType w:val="singleLevel"/>
    <w:tmpl w:val="5E3584BD"/>
    <w:lvl w:ilvl="0" w:tentative="0">
      <w:start w:val="3"/>
      <w:numFmt w:val="chineseCounting"/>
      <w:suff w:val="nothing"/>
      <w:lvlText w:val="%1、"/>
      <w:lvlJc w:val="left"/>
      <w:rPr>
        <w:rFonts w:hint="eastAsia"/>
      </w:rPr>
    </w:lvl>
  </w:abstractNum>
  <w:abstractNum w:abstractNumId="2">
    <w:nsid w:val="6A433638"/>
    <w:multiLevelType w:val="singleLevel"/>
    <w:tmpl w:val="6A433638"/>
    <w:lvl w:ilvl="0" w:tentative="0">
      <w:start w:val="5"/>
      <w:numFmt w:val="decimal"/>
      <w:suff w:val="nothing"/>
      <w:lvlText w:val="%1、"/>
      <w:lvlJc w:val="left"/>
    </w:lvl>
  </w:abstractNum>
  <w:abstractNum w:abstractNumId="3">
    <w:nsid w:val="7EF11378"/>
    <w:multiLevelType w:val="singleLevel"/>
    <w:tmpl w:val="7EF11378"/>
    <w:lvl w:ilvl="0" w:tentative="0">
      <w:start w:val="2"/>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ZWNmN2MyOGQ3ZTkxY2EwNjNiZjQzNDg4ZDE4Nzk3ODYifQ=="/>
  </w:docVars>
  <w:rsids>
    <w:rsidRoot w:val="00370BF5"/>
    <w:rsid w:val="00370BF5"/>
    <w:rsid w:val="0086712E"/>
    <w:rsid w:val="0ADC1F66"/>
    <w:rsid w:val="16BB72CE"/>
    <w:rsid w:val="1F333955"/>
    <w:rsid w:val="2FE13A40"/>
    <w:rsid w:val="36F676AD"/>
    <w:rsid w:val="3F570339"/>
    <w:rsid w:val="46530377"/>
    <w:rsid w:val="48782B01"/>
    <w:rsid w:val="4BA17456"/>
    <w:rsid w:val="5DCB6815"/>
    <w:rsid w:val="61D52193"/>
    <w:rsid w:val="69307634"/>
    <w:rsid w:val="6B344DF0"/>
    <w:rsid w:val="6CC51694"/>
    <w:rsid w:val="70F60EB9"/>
    <w:rsid w:val="73694D62"/>
    <w:rsid w:val="749C4A57"/>
    <w:rsid w:val="784C0884"/>
    <w:rsid w:val="7F0E4C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next w:val="3"/>
    <w:qFormat/>
    <w:uiPriority w:val="0"/>
    <w:pPr>
      <w:tabs>
        <w:tab w:val="center" w:pos="4153"/>
        <w:tab w:val="right" w:pos="8306"/>
      </w:tabs>
      <w:snapToGrid w:val="0"/>
      <w:jc w:val="left"/>
    </w:pPr>
    <w:rPr>
      <w:sz w:val="18"/>
      <w:szCs w:val="18"/>
    </w:rPr>
  </w:style>
  <w:style w:type="paragraph" w:styleId="3">
    <w:name w:val="index 5"/>
    <w:basedOn w:val="1"/>
    <w:next w:val="1"/>
    <w:qFormat/>
    <w:uiPriority w:val="0"/>
    <w:pPr>
      <w:ind w:left="1680"/>
    </w:pPr>
  </w:style>
  <w:style w:type="paragraph" w:styleId="4">
    <w:name w:val="Body Text"/>
    <w:basedOn w:val="1"/>
    <w:qFormat/>
    <w:uiPriority w:val="0"/>
    <w:rPr>
      <w:rFonts w:ascii="宋体" w:hAnsi="宋体" w:eastAsia="宋体" w:cs="宋体"/>
      <w:sz w:val="28"/>
      <w:szCs w:val="28"/>
    </w:rPr>
  </w:style>
  <w:style w:type="paragraph" w:customStyle="1" w:styleId="7">
    <w:name w:val="样式 文字 + 首行缩进:  2 字符3"/>
    <w:basedOn w:val="1"/>
    <w:qFormat/>
    <w:uiPriority w:val="99"/>
    <w:pPr>
      <w:spacing w:line="360" w:lineRule="auto"/>
      <w:jc w:val="left"/>
    </w:pPr>
    <w:rPr>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5341</Words>
  <Characters>5674</Characters>
  <Lines>2</Lines>
  <Paragraphs>4</Paragraphs>
  <TotalTime>5</TotalTime>
  <ScaleCrop>false</ScaleCrop>
  <LinksUpToDate>false</LinksUpToDate>
  <CharactersWithSpaces>5693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2021-06-01T12:06:00Z</dcterms:created>
  <dc:creator>Lenovo</dc:creator>
  <cp:lastModifiedBy>小微</cp:lastModifiedBy>
  <cp:lastPrinted>2026-06-30T05:35:08Z</cp:lastPrinted>
  <dcterms:modified xsi:type="dcterms:W3CDTF">2026-06-30T05:36:16Z</dcterms:modified>
  <dc:title>2025年度道县就业服务中心部门整体支出绩效自评报告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723BE2791747492DBA0419756F746E8D</vt:lpwstr>
  </property>
  <property fmtid="{D5CDD505-2E9C-101B-9397-08002B2CF9AE}" pid="4" name="KSOTemplateDocerSaveRecord">
    <vt:lpwstr>eyJoZGlkIjoiMWFhOWM1NGUyYTJjY2RjZGE0NWE0YjNhMTZlNzg4ZjQiLCJ1c2VySWQiOiI0NDY4MjYyOTkifQ==</vt:lpwstr>
  </property>
</Properties>
</file>