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3"/>
        <w:jc w:val="center"/>
        <w:rPr>
          <w:rFonts w:ascii="Times New Roman" w:hAnsi="Times New Roman" w:cs="Times New Roman"/>
          <w:sz w:val="56"/>
          <w:szCs w:val="56"/>
        </w:rPr>
      </w:pPr>
    </w:p>
    <w:p>
      <w:pPr>
        <w:pStyle w:val="13"/>
        <w:jc w:val="center"/>
        <w:rPr>
          <w:rFonts w:ascii="Times New Roman" w:hAnsi="Times New Roman" w:cs="Times New Roman"/>
          <w:sz w:val="84"/>
          <w:szCs w:val="84"/>
        </w:rPr>
      </w:pPr>
    </w:p>
    <w:p>
      <w:pPr>
        <w:pStyle w:val="13"/>
        <w:jc w:val="center"/>
        <w:rPr>
          <w:rFonts w:ascii="Times New Roman" w:hAnsi="Times New Roman" w:cs="Times New Roman"/>
          <w:sz w:val="84"/>
          <w:szCs w:val="84"/>
        </w:rPr>
      </w:pPr>
    </w:p>
    <w:p>
      <w:pPr>
        <w:pStyle w:val="13"/>
        <w:jc w:val="center"/>
        <w:rPr>
          <w:rFonts w:hint="eastAsia" w:ascii="Times New Roman" w:hAnsi="Times New Roman" w:eastAsia="方正小标宋简体" w:cs="Times New Roman"/>
          <w:sz w:val="72"/>
          <w:szCs w:val="72"/>
          <w:lang w:eastAsia="zh-CN"/>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r>
        <w:rPr>
          <w:rFonts w:hint="eastAsia" w:ascii="Times New Roman" w:hAnsi="Times New Roman" w:eastAsia="方正小标宋简体" w:cs="Times New Roman"/>
          <w:sz w:val="72"/>
          <w:szCs w:val="72"/>
          <w:lang w:val="en-US" w:eastAsia="zh-CN"/>
        </w:rPr>
        <w:t>中国共产党道</w:t>
      </w:r>
      <w:r>
        <w:rPr>
          <w:rFonts w:hint="eastAsia" w:ascii="Times New Roman" w:hAnsi="Times New Roman" w:eastAsia="方正小标宋简体" w:cs="Times New Roman"/>
          <w:sz w:val="72"/>
          <w:szCs w:val="72"/>
          <w:lang w:eastAsia="zh-CN"/>
        </w:rPr>
        <w:t>县</w:t>
      </w:r>
    </w:p>
    <w:p>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委</w:t>
      </w:r>
      <w:r>
        <w:rPr>
          <w:rFonts w:hint="eastAsia" w:ascii="Times New Roman" w:hAnsi="Times New Roman" w:eastAsia="方正小标宋简体" w:cs="Times New Roman"/>
          <w:sz w:val="72"/>
          <w:szCs w:val="72"/>
          <w:lang w:val="en-US" w:eastAsia="zh-CN"/>
        </w:rPr>
        <w:t>员会</w:t>
      </w:r>
      <w:r>
        <w:rPr>
          <w:rFonts w:hint="eastAsia" w:ascii="Times New Roman" w:hAnsi="Times New Roman" w:eastAsia="方正小标宋简体" w:cs="Times New Roman"/>
          <w:sz w:val="72"/>
          <w:szCs w:val="72"/>
          <w:lang w:eastAsia="zh-CN"/>
        </w:rPr>
        <w:t>党校（</w:t>
      </w:r>
      <w:r>
        <w:rPr>
          <w:rFonts w:hint="eastAsia" w:ascii="Times New Roman" w:hAnsi="Times New Roman" w:eastAsia="方正小标宋简体" w:cs="Times New Roman"/>
          <w:sz w:val="72"/>
          <w:szCs w:val="72"/>
          <w:lang w:val="en-US" w:eastAsia="zh-CN"/>
        </w:rPr>
        <w:t>道县行政学校</w:t>
      </w:r>
      <w:r>
        <w:rPr>
          <w:rFonts w:hint="eastAsia" w:ascii="Times New Roman" w:hAnsi="Times New Roman" w:eastAsia="方正小标宋简体" w:cs="Times New Roman"/>
          <w:sz w:val="72"/>
          <w:szCs w:val="72"/>
          <w:lang w:eastAsia="zh-CN"/>
        </w:rPr>
        <w:t>）</w:t>
      </w:r>
      <w:r>
        <w:rPr>
          <w:rFonts w:ascii="Times New Roman" w:hAnsi="Times New Roman" w:eastAsia="方正小标宋简体" w:cs="Times New Roman"/>
          <w:sz w:val="72"/>
          <w:szCs w:val="72"/>
        </w:rPr>
        <w:t>部门决算</w:t>
      </w:r>
    </w:p>
    <w:p>
      <w:pPr>
        <w:pStyle w:val="13"/>
        <w:jc w:val="center"/>
        <w:rPr>
          <w:rFonts w:ascii="Times New Roman" w:hAnsi="Times New Roman" w:eastAsia="方正小标宋_GBK" w:cs="Times New Roman"/>
          <w:sz w:val="56"/>
          <w:szCs w:val="56"/>
        </w:rPr>
      </w:pPr>
    </w:p>
    <w:p>
      <w:pPr>
        <w:pStyle w:val="13"/>
        <w:jc w:val="center"/>
        <w:rPr>
          <w:rFonts w:ascii="Times New Roman" w:hAnsi="Times New Roman" w:cs="Times New Roman"/>
          <w:sz w:val="56"/>
          <w:szCs w:val="56"/>
        </w:rPr>
      </w:pPr>
    </w:p>
    <w:p>
      <w:pPr>
        <w:pStyle w:val="13"/>
        <w:rPr>
          <w:rFonts w:ascii="Times New Roman" w:hAnsi="Times New Roman" w:cs="Times New Roman"/>
          <w:sz w:val="56"/>
          <w:szCs w:val="56"/>
        </w:rPr>
      </w:pPr>
    </w:p>
    <w:p>
      <w:pPr>
        <w:pStyle w:val="13"/>
        <w:jc w:val="center"/>
        <w:rPr>
          <w:rFonts w:ascii="Times New Roman" w:hAnsi="Times New Roman" w:cs="Times New Roman"/>
          <w:sz w:val="32"/>
          <w:szCs w:val="32"/>
        </w:rPr>
      </w:pPr>
    </w:p>
    <w:p>
      <w:pPr>
        <w:pStyle w:val="13"/>
        <w:jc w:val="center"/>
        <w:rPr>
          <w:rFonts w:ascii="Times New Roman" w:hAnsi="Times New Roman" w:cs="Times New Roman"/>
          <w:sz w:val="32"/>
          <w:szCs w:val="32"/>
        </w:rPr>
      </w:pPr>
    </w:p>
    <w:p>
      <w:pPr>
        <w:pStyle w:val="13"/>
        <w:jc w:val="center"/>
        <w:rPr>
          <w:rFonts w:ascii="Times New Roman" w:hAnsi="Times New Roman" w:cs="Times New Roman"/>
          <w:sz w:val="32"/>
          <w:szCs w:val="32"/>
        </w:rPr>
      </w:pPr>
    </w:p>
    <w:p>
      <w:pPr>
        <w:pStyle w:val="13"/>
        <w:jc w:val="center"/>
        <w:rPr>
          <w:rFonts w:ascii="Times New Roman" w:hAnsi="Times New Roman" w:cs="Times New Roman"/>
          <w:sz w:val="32"/>
          <w:szCs w:val="32"/>
        </w:rPr>
      </w:pPr>
    </w:p>
    <w:p>
      <w:pPr>
        <w:pStyle w:val="13"/>
        <w:jc w:val="center"/>
        <w:rPr>
          <w:rFonts w:ascii="Times New Roman" w:hAnsi="Times New Roman" w:cs="Times New Roman"/>
          <w:sz w:val="32"/>
          <w:szCs w:val="32"/>
        </w:rPr>
      </w:pPr>
    </w:p>
    <w:p>
      <w:pPr>
        <w:pStyle w:val="13"/>
        <w:jc w:val="center"/>
        <w:rPr>
          <w:rFonts w:ascii="Times New Roman" w:hAnsi="Times New Roman" w:cs="Times New Roman"/>
          <w:sz w:val="32"/>
          <w:szCs w:val="32"/>
        </w:rPr>
      </w:pPr>
    </w:p>
    <w:p>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3"/>
        <w:spacing w:line="600" w:lineRule="exact"/>
        <w:jc w:val="center"/>
        <w:rPr>
          <w:rFonts w:ascii="Times New Roman" w:hAnsi="Times New Roman" w:cs="Times New Roman"/>
          <w:b/>
          <w:sz w:val="36"/>
          <w:szCs w:val="28"/>
        </w:rPr>
      </w:pPr>
    </w:p>
    <w:p>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hint="eastAsia" w:ascii="Times New Roman" w:hAnsi="Times New Roman" w:cs="Times New Roman"/>
          <w:bCs/>
          <w:sz w:val="32"/>
          <w:szCs w:val="32"/>
          <w:lang w:val="en-US" w:eastAsia="zh-CN"/>
        </w:rPr>
        <w:t xml:space="preserve"> </w:t>
      </w:r>
      <w:r>
        <w:rPr>
          <w:rFonts w:hint="eastAsia" w:ascii="Times New Roman" w:hAnsi="Times New Roman" w:cs="Times New Roman"/>
          <w:bCs/>
          <w:sz w:val="32"/>
          <w:szCs w:val="32"/>
        </w:rPr>
        <w:t>中国共产党道县委员会党（道县行政学校）校</w:t>
      </w:r>
      <w:r>
        <w:rPr>
          <w:rFonts w:ascii="Times New Roman" w:hAnsi="Times New Roman" w:cs="Times New Roman"/>
          <w:bCs/>
          <w:sz w:val="32"/>
          <w:szCs w:val="32"/>
        </w:rPr>
        <w:t>单位概况</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3"/>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3"/>
        <w:spacing w:line="360" w:lineRule="auto"/>
        <w:jc w:val="center"/>
        <w:rPr>
          <w:rFonts w:hint="eastAsia"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中国共产党道县委员会党校</w:t>
      </w:r>
    </w:p>
    <w:p>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（道县行政学校）</w:t>
      </w:r>
      <w:r>
        <w:rPr>
          <w:rFonts w:ascii="Times New Roman" w:hAnsi="Times New Roman" w:eastAsia="方正小标宋_GBK" w:cs="Times New Roman"/>
          <w:sz w:val="52"/>
          <w:szCs w:val="52"/>
        </w:rPr>
        <w:t>单位概况</w:t>
      </w:r>
    </w:p>
    <w:p>
      <w:pPr>
        <w:pStyle w:val="3"/>
        <w:ind w:left="0" w:leftChars="0" w:firstLine="0" w:firstLineChars="0"/>
        <w:rPr>
          <w:rFonts w:ascii="Times New Roman" w:hAnsi="Times New Roman" w:cs="Times New Roman"/>
        </w:rPr>
      </w:pP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一、部门职责</w:t>
      </w:r>
    </w:p>
    <w:p>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textAlignment w:val="auto"/>
        <w:rPr>
          <w:rFonts w:hint="default"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1、职能职责</w:t>
      </w:r>
    </w:p>
    <w:p>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textAlignment w:val="auto"/>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lang w:val="en-US" w:eastAsia="zh-CN"/>
        </w:rPr>
        <w:t>(1)</w:t>
      </w:r>
      <w:r>
        <w:rPr>
          <w:rFonts w:hint="eastAsia" w:ascii="仿宋_GB2312" w:hAnsi="仿宋_GB2312" w:eastAsia="仿宋_GB2312" w:cs="仿宋_GB2312"/>
          <w:b w:val="0"/>
          <w:bCs w:val="0"/>
          <w:sz w:val="30"/>
          <w:szCs w:val="30"/>
        </w:rPr>
        <w:t xml:space="preserve">宣传马列主义、毛泽东思想、邓小平理论、“三个代表”重要思想、科学发展观，特别是宣传习近平新时代中国特色社会主义思想，宣传党的路线、方针、政策。 </w:t>
      </w:r>
    </w:p>
    <w:p>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textAlignment w:val="auto"/>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lang w:val="en-US" w:eastAsia="zh-CN"/>
        </w:rPr>
        <w:t>(2)</w:t>
      </w:r>
      <w:r>
        <w:rPr>
          <w:rFonts w:hint="eastAsia" w:ascii="仿宋_GB2312" w:hAnsi="仿宋_GB2312" w:eastAsia="仿宋_GB2312" w:cs="仿宋_GB2312"/>
          <w:b w:val="0"/>
          <w:bCs w:val="0"/>
          <w:sz w:val="30"/>
          <w:szCs w:val="30"/>
        </w:rPr>
        <w:t>在县委组织部的指导和有关部门的配合下，制定党员干部的培训规划 。</w:t>
      </w:r>
    </w:p>
    <w:p>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textAlignment w:val="auto"/>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lang w:val="en-US" w:eastAsia="zh-CN"/>
        </w:rPr>
        <w:t>(3)</w:t>
      </w:r>
      <w:r>
        <w:rPr>
          <w:rFonts w:hint="eastAsia" w:ascii="仿宋_GB2312" w:hAnsi="仿宋_GB2312" w:eastAsia="仿宋_GB2312" w:cs="仿宋_GB2312"/>
          <w:b w:val="0"/>
          <w:bCs w:val="0"/>
          <w:sz w:val="30"/>
          <w:szCs w:val="30"/>
        </w:rPr>
        <w:t>负责落实县委下达的党员干部的培训计划，并认真组织实施，且将执行情况向县委报告。</w:t>
      </w:r>
    </w:p>
    <w:p>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textAlignment w:val="auto"/>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lang w:val="en-US" w:eastAsia="zh-CN"/>
        </w:rPr>
        <w:t>(4)</w:t>
      </w:r>
      <w:r>
        <w:rPr>
          <w:rFonts w:hint="eastAsia" w:ascii="仿宋_GB2312" w:hAnsi="仿宋_GB2312" w:eastAsia="仿宋_GB2312" w:cs="仿宋_GB2312"/>
          <w:b w:val="0"/>
          <w:bCs w:val="0"/>
          <w:sz w:val="30"/>
          <w:szCs w:val="30"/>
        </w:rPr>
        <w:t xml:space="preserve">协同组织人社部门对党员干部在校期间表现进行考核考察。 </w:t>
      </w:r>
    </w:p>
    <w:p>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textAlignment w:val="auto"/>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lang w:val="en-US" w:eastAsia="zh-CN"/>
        </w:rPr>
        <w:t>(5)</w:t>
      </w:r>
      <w:r>
        <w:rPr>
          <w:rFonts w:hint="eastAsia" w:ascii="仿宋_GB2312" w:hAnsi="仿宋_GB2312" w:eastAsia="仿宋_GB2312" w:cs="仿宋_GB2312"/>
          <w:b w:val="0"/>
          <w:bCs w:val="0"/>
          <w:sz w:val="30"/>
          <w:szCs w:val="30"/>
        </w:rPr>
        <w:t>围绕国际国内出现的新情况、新问题和县委、县政府的中心工作与重大决策，开展调查研究 。</w:t>
      </w:r>
    </w:p>
    <w:p>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textAlignment w:val="auto"/>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lang w:val="en-US" w:eastAsia="zh-CN"/>
        </w:rPr>
        <w:t>(6)</w:t>
      </w:r>
      <w:r>
        <w:rPr>
          <w:rFonts w:hint="eastAsia" w:ascii="仿宋_GB2312" w:hAnsi="仿宋_GB2312" w:eastAsia="仿宋_GB2312" w:cs="仿宋_GB2312"/>
          <w:b w:val="0"/>
          <w:bCs w:val="0"/>
          <w:sz w:val="30"/>
          <w:szCs w:val="30"/>
        </w:rPr>
        <w:t>承办县委、县政府交办的其他工作。</w:t>
      </w:r>
    </w:p>
    <w:p>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textAlignment w:val="auto"/>
        <w:rPr>
          <w:rFonts w:hint="default"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2</w:t>
      </w:r>
      <w:r>
        <w:rPr>
          <w:rFonts w:hint="eastAsia" w:ascii="仿宋_GB2312" w:hAnsi="仿宋_GB2312" w:eastAsia="仿宋_GB2312" w:cs="仿宋_GB2312"/>
          <w:b w:val="0"/>
          <w:bCs w:val="0"/>
          <w:sz w:val="30"/>
          <w:szCs w:val="30"/>
          <w:lang w:val="en-US" w:eastAsia="zh-CN"/>
        </w:rPr>
        <w:t>.内设</w:t>
      </w:r>
      <w:r>
        <w:rPr>
          <w:rFonts w:hint="eastAsia" w:ascii="仿宋_GB2312" w:hAnsi="仿宋_GB2312" w:eastAsia="仿宋_GB2312" w:cs="仿宋_GB2312"/>
          <w:b w:val="0"/>
          <w:bCs w:val="0"/>
          <w:sz w:val="30"/>
          <w:szCs w:val="30"/>
        </w:rPr>
        <w:t>机构</w:t>
      </w:r>
    </w:p>
    <w:p>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textAlignment w:val="auto"/>
        <w:rPr>
          <w:rFonts w:hint="eastAsia" w:ascii="仿宋_GB2312" w:hAnsi="仿宋_GB2312" w:eastAsia="仿宋_GB2312" w:cs="仿宋_GB2312"/>
          <w:b w:val="0"/>
          <w:bCs w:val="0"/>
          <w:sz w:val="30"/>
          <w:szCs w:val="30"/>
          <w:lang w:val="en-US" w:eastAsia="zh-CN"/>
        </w:rPr>
      </w:pPr>
      <w:r>
        <w:rPr>
          <w:rFonts w:hint="eastAsia" w:ascii="仿宋_GB2312" w:hAnsi="仿宋_GB2312" w:eastAsia="仿宋_GB2312" w:cs="仿宋_GB2312"/>
          <w:b w:val="0"/>
          <w:bCs w:val="0"/>
          <w:sz w:val="30"/>
          <w:szCs w:val="30"/>
        </w:rPr>
        <w:t>本单位下设综合办公室、教研室、外联</w:t>
      </w:r>
      <w:r>
        <w:rPr>
          <w:rFonts w:hint="eastAsia" w:ascii="仿宋_GB2312" w:hAnsi="仿宋_GB2312" w:eastAsia="仿宋_GB2312" w:cs="仿宋_GB2312"/>
          <w:b w:val="0"/>
          <w:bCs w:val="0"/>
          <w:sz w:val="30"/>
          <w:szCs w:val="30"/>
          <w:lang w:val="en-US" w:eastAsia="zh-CN"/>
        </w:rPr>
        <w:t>部</w:t>
      </w:r>
      <w:r>
        <w:rPr>
          <w:rFonts w:hint="eastAsia" w:ascii="仿宋_GB2312" w:hAnsi="仿宋_GB2312" w:eastAsia="仿宋_GB2312" w:cs="仿宋_GB2312"/>
          <w:b w:val="0"/>
          <w:bCs w:val="0"/>
          <w:sz w:val="30"/>
          <w:szCs w:val="30"/>
        </w:rPr>
        <w:t>、</w:t>
      </w:r>
      <w:r>
        <w:rPr>
          <w:rFonts w:hint="eastAsia" w:ascii="仿宋_GB2312" w:hAnsi="仿宋_GB2312" w:eastAsia="仿宋_GB2312" w:cs="仿宋_GB2312"/>
          <w:b w:val="0"/>
          <w:bCs w:val="0"/>
          <w:sz w:val="30"/>
          <w:szCs w:val="30"/>
          <w:lang w:val="en-US" w:eastAsia="zh-CN"/>
        </w:rPr>
        <w:t>总务室</w:t>
      </w:r>
      <w:r>
        <w:rPr>
          <w:rFonts w:hint="eastAsia" w:ascii="仿宋_GB2312" w:hAnsi="仿宋_GB2312" w:eastAsia="仿宋_GB2312" w:cs="仿宋_GB2312"/>
          <w:b w:val="0"/>
          <w:bCs w:val="0"/>
          <w:sz w:val="30"/>
          <w:szCs w:val="30"/>
        </w:rPr>
        <w:t>。</w:t>
      </w:r>
      <w:r>
        <w:rPr>
          <w:rFonts w:hint="eastAsia" w:ascii="仿宋_GB2312" w:hAnsi="仿宋_GB2312" w:eastAsia="仿宋_GB2312" w:cs="仿宋_GB2312"/>
          <w:b w:val="0"/>
          <w:bCs w:val="0"/>
          <w:sz w:val="30"/>
          <w:szCs w:val="30"/>
          <w:lang w:val="en-US" w:eastAsia="zh-CN"/>
        </w:rPr>
        <w:t>人员编制及实有在职人数。</w:t>
      </w:r>
    </w:p>
    <w:p>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textAlignment w:val="auto"/>
        <w:rPr>
          <w:rFonts w:hint="default" w:ascii="仿宋_GB2312" w:hAnsi="仿宋_GB2312" w:eastAsia="仿宋_GB2312" w:cs="仿宋_GB2312"/>
          <w:b w:val="0"/>
          <w:bCs w:val="0"/>
          <w:sz w:val="30"/>
          <w:szCs w:val="30"/>
          <w:lang w:val="en-US" w:eastAsia="zh-CN"/>
        </w:rPr>
      </w:pPr>
      <w:r>
        <w:rPr>
          <w:rFonts w:hint="eastAsia" w:ascii="仿宋_GB2312" w:hAnsi="仿宋_GB2312" w:eastAsia="仿宋_GB2312" w:cs="仿宋_GB2312"/>
          <w:b w:val="0"/>
          <w:bCs w:val="0"/>
          <w:sz w:val="30"/>
          <w:szCs w:val="30"/>
          <w:lang w:val="en-US" w:eastAsia="zh-CN"/>
        </w:rPr>
        <w:t>　核定编制数为27人，现有工作人员22人。</w:t>
      </w:r>
    </w:p>
    <w:p>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textAlignment w:val="auto"/>
        <w:rPr>
          <w:rFonts w:hint="eastAsia" w:ascii="仿宋_GB2312" w:hAnsi="仿宋_GB2312" w:eastAsia="仿宋_GB2312" w:cs="仿宋_GB2312"/>
          <w:b w:val="0"/>
          <w:bCs w:val="0"/>
          <w:sz w:val="30"/>
          <w:szCs w:val="30"/>
        </w:rPr>
      </w:pPr>
    </w:p>
    <w:p>
      <w:pPr>
        <w:jc w:val="center"/>
        <w:rPr>
          <w:rFonts w:ascii="Times New Roman" w:hAnsi="Times New Roman" w:eastAsia="黑体" w:cs="Times New Roman"/>
          <w:sz w:val="28"/>
          <w:szCs w:val="28"/>
        </w:rPr>
      </w:pPr>
    </w:p>
    <w:p>
      <w:pPr>
        <w:pStyle w:val="7"/>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530"/>
        <w:gridCol w:w="816"/>
        <w:gridCol w:w="1240"/>
        <w:gridCol w:w="4851"/>
        <w:gridCol w:w="816"/>
        <w:gridCol w:w="1643"/>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8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rPr>
                <w:rFonts w:ascii="Times New Roman" w:hAnsi="Times New Roman" w:eastAsia="仿宋_GB2312" w:cs="Times New Roman"/>
                <w:color w:val="000000"/>
                <w:sz w:val="22"/>
              </w:rPr>
            </w:pPr>
            <w:r>
              <w:rPr>
                <w:rFonts w:ascii="Times New Roman" w:hAnsi="Times New Roman" w:eastAsia="仿宋_GB2312" w:cs="Times New Roman"/>
                <w:kern w:val="0"/>
                <w:sz w:val="22"/>
              </w:rPr>
              <w:t>1</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2"/>
                <w:lang w:val="en-US" w:eastAsia="zh-CN"/>
              </w:rPr>
            </w:pPr>
            <w:r>
              <w:rPr>
                <w:rFonts w:hint="eastAsia" w:ascii="宋体" w:hAnsi="宋体" w:eastAsia="宋体" w:cs="宋体"/>
                <w:i w:val="0"/>
                <w:iCs w:val="0"/>
                <w:color w:val="000000"/>
                <w:kern w:val="0"/>
                <w:sz w:val="22"/>
                <w:szCs w:val="22"/>
                <w:u w:val="none"/>
                <w:lang w:val="en-US" w:eastAsia="zh-CN" w:bidi="ar"/>
              </w:rPr>
              <w:t xml:space="preserve">668.70 </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16</w:t>
            </w:r>
          </w:p>
        </w:tc>
        <w:tc>
          <w:tcPr>
            <w:tcW w:w="16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82.79</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8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rPr>
                <w:rFonts w:ascii="Times New Roman" w:hAnsi="Times New Roman" w:eastAsia="仿宋_GB2312" w:cs="Times New Roman"/>
                <w:color w:val="000000"/>
                <w:sz w:val="22"/>
              </w:rPr>
            </w:pPr>
            <w:r>
              <w:rPr>
                <w:rFonts w:ascii="Times New Roman" w:hAnsi="Times New Roman" w:eastAsia="仿宋_GB2312" w:cs="Times New Roman"/>
                <w:kern w:val="0"/>
                <w:sz w:val="22"/>
              </w:rPr>
              <w:t>2</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109.80 </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Times New Roman" w:hAnsi="Times New Roman" w:eastAsia="仿宋_GB2312" w:cs="Times New Roman"/>
                <w:color w:val="000000"/>
                <w:sz w:val="22"/>
                <w:lang w:val="en-US" w:eastAsia="zh-CN"/>
              </w:rPr>
            </w:pPr>
            <w:r>
              <w:rPr>
                <w:rFonts w:ascii="Times New Roman" w:hAnsi="Times New Roman" w:eastAsia="仿宋_GB2312" w:cs="Times New Roman"/>
                <w:color w:val="000000"/>
                <w:kern w:val="0"/>
                <w:sz w:val="22"/>
                <w:lang w:bidi="ar"/>
              </w:rPr>
              <w:t>1</w:t>
            </w:r>
            <w:r>
              <w:rPr>
                <w:rFonts w:hint="eastAsia" w:ascii="Times New Roman" w:hAnsi="Times New Roman" w:eastAsia="仿宋_GB2312" w:cs="Times New Roman"/>
                <w:color w:val="000000"/>
                <w:kern w:val="0"/>
                <w:sz w:val="22"/>
                <w:lang w:val="en-US" w:eastAsia="zh-CN" w:bidi="ar"/>
              </w:rPr>
              <w:t>7</w:t>
            </w:r>
          </w:p>
        </w:tc>
        <w:tc>
          <w:tcPr>
            <w:tcW w:w="16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29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8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rPr>
                <w:rFonts w:ascii="Times New Roman" w:hAnsi="Times New Roman" w:eastAsia="仿宋_GB2312" w:cs="Times New Roman"/>
                <w:color w:val="000000"/>
                <w:sz w:val="22"/>
              </w:rPr>
            </w:pPr>
            <w:r>
              <w:rPr>
                <w:rFonts w:ascii="Times New Roman" w:hAnsi="Times New Roman" w:eastAsia="仿宋_GB2312" w:cs="Times New Roman"/>
                <w:kern w:val="0"/>
                <w:sz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Times New Roman" w:hAnsi="Times New Roman" w:eastAsia="仿宋_GB2312" w:cs="Times New Roman"/>
                <w:color w:val="000000"/>
                <w:sz w:val="22"/>
                <w:lang w:val="en-US" w:eastAsia="zh-CN"/>
              </w:rPr>
            </w:pPr>
            <w:r>
              <w:rPr>
                <w:rFonts w:ascii="Times New Roman" w:hAnsi="Times New Roman" w:eastAsia="仿宋_GB2312" w:cs="Times New Roman"/>
                <w:color w:val="000000"/>
                <w:kern w:val="0"/>
                <w:sz w:val="22"/>
                <w:lang w:bidi="ar"/>
              </w:rPr>
              <w:t>1</w:t>
            </w:r>
            <w:r>
              <w:rPr>
                <w:rFonts w:hint="eastAsia" w:ascii="Times New Roman" w:hAnsi="Times New Roman" w:eastAsia="仿宋_GB2312" w:cs="Times New Roman"/>
                <w:color w:val="000000"/>
                <w:kern w:val="0"/>
                <w:sz w:val="22"/>
                <w:lang w:val="en-US" w:eastAsia="zh-CN" w:bidi="ar"/>
              </w:rPr>
              <w:t>8</w:t>
            </w:r>
          </w:p>
        </w:tc>
        <w:tc>
          <w:tcPr>
            <w:tcW w:w="16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29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8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rPr>
                <w:rFonts w:ascii="Times New Roman" w:hAnsi="Times New Roman" w:eastAsia="仿宋_GB2312" w:cs="Times New Roman"/>
                <w:color w:val="000000"/>
                <w:sz w:val="22"/>
              </w:rPr>
            </w:pPr>
            <w:r>
              <w:rPr>
                <w:rFonts w:ascii="Times New Roman" w:hAnsi="Times New Roman" w:eastAsia="仿宋_GB2312" w:cs="Times New Roman"/>
                <w:kern w:val="0"/>
                <w:sz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Times New Roman" w:hAnsi="Times New Roman" w:eastAsia="仿宋_GB2312" w:cs="Times New Roman"/>
                <w:color w:val="000000"/>
                <w:sz w:val="22"/>
                <w:lang w:val="en-US" w:eastAsia="zh-CN"/>
              </w:rPr>
            </w:pPr>
            <w:r>
              <w:rPr>
                <w:rFonts w:ascii="Times New Roman" w:hAnsi="Times New Roman" w:eastAsia="仿宋_GB2312" w:cs="Times New Roman"/>
                <w:color w:val="000000"/>
                <w:kern w:val="0"/>
                <w:sz w:val="22"/>
                <w:lang w:bidi="ar"/>
              </w:rPr>
              <w:t>1</w:t>
            </w:r>
            <w:r>
              <w:rPr>
                <w:rFonts w:hint="eastAsia" w:ascii="Times New Roman" w:hAnsi="Times New Roman" w:eastAsia="仿宋_GB2312" w:cs="Times New Roman"/>
                <w:color w:val="000000"/>
                <w:kern w:val="0"/>
                <w:sz w:val="22"/>
                <w:lang w:val="en-US" w:eastAsia="zh-CN" w:bidi="ar"/>
              </w:rPr>
              <w:t>9</w:t>
            </w:r>
          </w:p>
        </w:tc>
        <w:tc>
          <w:tcPr>
            <w:tcW w:w="16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8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rPr>
                <w:rFonts w:ascii="Times New Roman" w:hAnsi="Times New Roman" w:eastAsia="仿宋_GB2312" w:cs="Times New Roman"/>
                <w:color w:val="000000"/>
                <w:sz w:val="22"/>
              </w:rPr>
            </w:pPr>
            <w:r>
              <w:rPr>
                <w:rFonts w:ascii="Times New Roman" w:hAnsi="Times New Roman" w:eastAsia="仿宋_GB2312" w:cs="Times New Roman"/>
                <w:kern w:val="0"/>
                <w:sz w:val="22"/>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20</w:t>
            </w:r>
          </w:p>
        </w:tc>
        <w:tc>
          <w:tcPr>
            <w:tcW w:w="16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523.39</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8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rPr>
                <w:rFonts w:ascii="Times New Roman" w:hAnsi="Times New Roman" w:eastAsia="仿宋_GB2312" w:cs="Times New Roman"/>
                <w:color w:val="000000"/>
                <w:sz w:val="22"/>
              </w:rPr>
            </w:pPr>
            <w:r>
              <w:rPr>
                <w:rFonts w:ascii="Times New Roman" w:hAnsi="Times New Roman" w:eastAsia="仿宋_GB2312" w:cs="Times New Roman"/>
                <w:kern w:val="0"/>
                <w:sz w:val="22"/>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21</w:t>
            </w:r>
          </w:p>
        </w:tc>
        <w:tc>
          <w:tcPr>
            <w:tcW w:w="16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8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rPr>
                <w:rFonts w:ascii="Times New Roman" w:hAnsi="Times New Roman" w:eastAsia="仿宋_GB2312" w:cs="Times New Roman"/>
                <w:color w:val="000000"/>
                <w:sz w:val="22"/>
              </w:rPr>
            </w:pPr>
            <w:r>
              <w:rPr>
                <w:rFonts w:ascii="Times New Roman" w:hAnsi="Times New Roman" w:eastAsia="仿宋_GB2312" w:cs="Times New Roman"/>
                <w:kern w:val="0"/>
                <w:sz w:val="22"/>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Times New Roman" w:hAnsi="Times New Roman" w:eastAsia="仿宋_GB2312" w:cs="Times New Roman"/>
                <w:color w:val="000000"/>
                <w:sz w:val="22"/>
                <w:lang w:val="en-US" w:eastAsia="zh-CN"/>
              </w:rPr>
            </w:pPr>
            <w:r>
              <w:rPr>
                <w:rFonts w:ascii="Times New Roman" w:hAnsi="Times New Roman" w:eastAsia="仿宋_GB2312" w:cs="Times New Roman"/>
                <w:color w:val="000000"/>
                <w:kern w:val="0"/>
                <w:sz w:val="22"/>
                <w:lang w:bidi="ar"/>
              </w:rPr>
              <w:t>2</w:t>
            </w:r>
            <w:r>
              <w:rPr>
                <w:rFonts w:hint="eastAsia" w:ascii="Times New Roman" w:hAnsi="Times New Roman" w:eastAsia="仿宋_GB2312" w:cs="Times New Roman"/>
                <w:color w:val="000000"/>
                <w:kern w:val="0"/>
                <w:sz w:val="22"/>
                <w:lang w:val="en-US" w:eastAsia="zh-CN" w:bidi="ar"/>
              </w:rPr>
              <w:t>2</w:t>
            </w:r>
          </w:p>
        </w:tc>
        <w:tc>
          <w:tcPr>
            <w:tcW w:w="16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8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rPr>
                <w:rFonts w:ascii="Times New Roman" w:hAnsi="Times New Roman" w:eastAsia="仿宋_GB2312" w:cs="Times New Roman"/>
                <w:color w:val="000000"/>
                <w:sz w:val="22"/>
              </w:rPr>
            </w:pPr>
            <w:r>
              <w:rPr>
                <w:rFonts w:ascii="Times New Roman" w:hAnsi="Times New Roman" w:eastAsia="仿宋_GB2312" w:cs="Times New Roman"/>
                <w:kern w:val="0"/>
                <w:sz w:val="22"/>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Times New Roman" w:hAnsi="Times New Roman" w:eastAsia="仿宋_GB2312" w:cs="Times New Roman"/>
                <w:color w:val="000000"/>
                <w:sz w:val="22"/>
                <w:lang w:val="en-US" w:eastAsia="zh-CN"/>
              </w:rPr>
            </w:pPr>
            <w:r>
              <w:rPr>
                <w:rFonts w:ascii="Times New Roman" w:hAnsi="Times New Roman" w:eastAsia="仿宋_GB2312" w:cs="Times New Roman"/>
                <w:color w:val="000000"/>
                <w:kern w:val="0"/>
                <w:sz w:val="22"/>
                <w:lang w:bidi="ar"/>
              </w:rPr>
              <w:t>2</w:t>
            </w:r>
            <w:r>
              <w:rPr>
                <w:rFonts w:hint="eastAsia" w:ascii="Times New Roman" w:hAnsi="Times New Roman" w:eastAsia="仿宋_GB2312" w:cs="Times New Roman"/>
                <w:color w:val="000000"/>
                <w:kern w:val="0"/>
                <w:sz w:val="22"/>
                <w:lang w:val="en-US" w:eastAsia="zh-CN" w:bidi="ar"/>
              </w:rPr>
              <w:t>3</w:t>
            </w:r>
          </w:p>
        </w:tc>
        <w:tc>
          <w:tcPr>
            <w:tcW w:w="16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color w:val="000000"/>
                <w:sz w:val="22"/>
                <w:lang w:val="en-US" w:eastAsia="zh-CN"/>
              </w:rPr>
            </w:pPr>
            <w:r>
              <w:rPr>
                <w:rFonts w:hint="eastAsia" w:ascii="宋体" w:hAnsi="宋体" w:eastAsia="宋体" w:cs="宋体"/>
                <w:i w:val="0"/>
                <w:iCs w:val="0"/>
                <w:color w:val="000000"/>
                <w:kern w:val="0"/>
                <w:sz w:val="22"/>
                <w:szCs w:val="22"/>
                <w:u w:val="none"/>
                <w:lang w:val="en-US" w:eastAsia="zh-CN" w:bidi="ar"/>
              </w:rPr>
              <w:t>46.25</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rPr>
                <w:rFonts w:ascii="Times New Roman" w:hAnsi="Times New Roman" w:eastAsia="仿宋_GB2312" w:cs="Times New Roman"/>
                <w:color w:val="000000"/>
                <w:sz w:val="22"/>
              </w:rPr>
            </w:pPr>
            <w:r>
              <w:rPr>
                <w:rFonts w:hint="eastAsia" w:ascii="Times New Roman" w:hAnsi="Times New Roman" w:eastAsia="仿宋_GB2312" w:cs="Times New Roman"/>
                <w:kern w:val="0"/>
                <w:sz w:val="22"/>
                <w:lang w:val="en-US" w:eastAsia="zh-CN"/>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Times New Roman" w:hAnsi="Times New Roman" w:eastAsia="仿宋_GB2312" w:cs="Times New Roman"/>
                <w:color w:val="000000"/>
                <w:sz w:val="22"/>
                <w:lang w:val="en-US" w:eastAsia="zh-CN"/>
              </w:rPr>
            </w:pPr>
            <w:r>
              <w:rPr>
                <w:rFonts w:ascii="Times New Roman" w:hAnsi="Times New Roman" w:eastAsia="仿宋_GB2312" w:cs="Times New Roman"/>
                <w:color w:val="000000"/>
                <w:kern w:val="0"/>
                <w:sz w:val="22"/>
                <w:lang w:bidi="ar"/>
              </w:rPr>
              <w:t>2</w:t>
            </w:r>
            <w:r>
              <w:rPr>
                <w:rFonts w:hint="eastAsia" w:ascii="Times New Roman" w:hAnsi="Times New Roman" w:eastAsia="仿宋_GB2312" w:cs="Times New Roman"/>
                <w:color w:val="000000"/>
                <w:kern w:val="0"/>
                <w:sz w:val="22"/>
                <w:lang w:val="en-US" w:eastAsia="zh-CN" w:bidi="ar"/>
              </w:rPr>
              <w:t>4</w:t>
            </w:r>
          </w:p>
        </w:tc>
        <w:tc>
          <w:tcPr>
            <w:tcW w:w="16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color w:val="000000"/>
                <w:sz w:val="22"/>
                <w:lang w:val="en-US" w:eastAsia="zh-CN"/>
              </w:rPr>
            </w:pPr>
            <w:r>
              <w:rPr>
                <w:rFonts w:hint="eastAsia" w:ascii="宋体" w:hAnsi="宋体" w:eastAsia="宋体" w:cs="宋体"/>
                <w:i w:val="0"/>
                <w:iCs w:val="0"/>
                <w:color w:val="000000"/>
                <w:kern w:val="0"/>
                <w:sz w:val="22"/>
                <w:szCs w:val="22"/>
                <w:u w:val="none"/>
                <w:lang w:val="en-US" w:eastAsia="zh-CN" w:bidi="ar"/>
              </w:rPr>
              <w:t>16.27</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8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kern w:val="0"/>
                <w:sz w:val="22"/>
                <w:lang w:val="en-US" w:eastAsia="zh-CN"/>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abs>
                <w:tab w:val="left" w:pos="571"/>
              </w:tabs>
              <w:jc w:val="left"/>
              <w:textAlignment w:val="center"/>
              <w:rPr>
                <w:rFonts w:hint="default" w:ascii="Times New Roman" w:hAnsi="Times New Roman" w:eastAsia="仿宋_GB2312" w:cs="Times New Roman"/>
                <w:b/>
                <w:color w:val="000000"/>
                <w:kern w:val="0"/>
                <w:sz w:val="22"/>
                <w:lang w:val="en-US" w:eastAsia="zh-CN" w:bidi="ar"/>
              </w:rPr>
            </w:pPr>
            <w:r>
              <w:rPr>
                <w:rFonts w:hint="eastAsia" w:ascii="Times New Roman" w:hAnsi="Times New Roman" w:eastAsia="仿宋_GB2312" w:cs="Times New Roman"/>
                <w:b/>
                <w:color w:val="000000"/>
                <w:kern w:val="0"/>
                <w:sz w:val="22"/>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25</w:t>
            </w:r>
          </w:p>
        </w:tc>
        <w:tc>
          <w:tcPr>
            <w:tcW w:w="16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Times New Roman" w:hAnsi="Times New Roman" w:eastAsia="仿宋_GB2312" w:cs="Times New Roman"/>
                <w:color w:val="000000"/>
                <w:sz w:val="22"/>
                <w:lang w:val="en-US" w:eastAsia="zh-CN"/>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8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kern w:val="0"/>
                <w:sz w:val="22"/>
                <w:lang w:val="en-US" w:eastAsia="zh-CN"/>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b/>
                <w:color w:val="000000"/>
                <w:kern w:val="0"/>
                <w:sz w:val="22"/>
                <w:lang w:bidi="ar"/>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8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26</w:t>
            </w:r>
          </w:p>
        </w:tc>
        <w:tc>
          <w:tcPr>
            <w:tcW w:w="16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19.80</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8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rPr>
                <w:rFonts w:ascii="Times New Roman" w:hAnsi="Times New Roman" w:eastAsia="仿宋_GB2312" w:cs="Times New Roman"/>
                <w:color w:val="000000"/>
                <w:sz w:val="22"/>
              </w:rPr>
            </w:pPr>
            <w:r>
              <w:rPr>
                <w:rFonts w:hint="eastAsia" w:ascii="Times New Roman" w:hAnsi="Times New Roman" w:eastAsia="仿宋_GB2312" w:cs="Times New Roman"/>
                <w:kern w:val="0"/>
                <w:sz w:val="22"/>
                <w:lang w:val="en-US" w:eastAsia="zh-CN"/>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778.50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firstLine="440" w:firstLineChars="200"/>
              <w:jc w:val="both"/>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778.50</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8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rPr>
                <w:rFonts w:ascii="Times New Roman" w:hAnsi="Times New Roman" w:eastAsia="仿宋_GB2312" w:cs="Times New Roman"/>
                <w:color w:val="000000"/>
                <w:sz w:val="22"/>
              </w:rPr>
            </w:pPr>
            <w:r>
              <w:rPr>
                <w:rFonts w:hint="eastAsia" w:ascii="Times New Roman" w:hAnsi="Times New Roman" w:eastAsia="仿宋_GB2312" w:cs="Times New Roman"/>
                <w:kern w:val="0"/>
                <w:sz w:val="22"/>
                <w:lang w:val="en-US" w:eastAsia="zh-CN"/>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8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rPr>
                <w:rFonts w:ascii="Times New Roman" w:hAnsi="Times New Roman" w:eastAsia="仿宋_GB2312" w:cs="Times New Roman"/>
                <w:color w:val="000000"/>
                <w:sz w:val="22"/>
              </w:rPr>
            </w:pPr>
            <w:r>
              <w:rPr>
                <w:rFonts w:hint="eastAsia" w:ascii="Times New Roman" w:hAnsi="Times New Roman" w:eastAsia="仿宋_GB2312" w:cs="Times New Roman"/>
                <w:kern w:val="0"/>
                <w:sz w:val="22"/>
                <w:lang w:val="en-US" w:eastAsia="zh-CN"/>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rPr>
                <w:rFonts w:ascii="Times New Roman" w:hAnsi="Times New Roman" w:eastAsia="仿宋_GB2312" w:cs="Times New Roman"/>
                <w:color w:val="000000"/>
                <w:sz w:val="22"/>
              </w:rPr>
            </w:pPr>
            <w:r>
              <w:rPr>
                <w:rFonts w:ascii="Times New Roman" w:hAnsi="Times New Roman" w:eastAsia="仿宋_GB2312" w:cs="Times New Roman"/>
                <w:kern w:val="0"/>
                <w:sz w:val="22"/>
              </w:rPr>
              <w:t>1</w:t>
            </w:r>
            <w:r>
              <w:rPr>
                <w:rFonts w:hint="eastAsia" w:ascii="Times New Roman" w:hAnsi="Times New Roman" w:eastAsia="仿宋_GB2312" w:cs="Times New Roman"/>
                <w:kern w:val="0"/>
                <w:sz w:val="22"/>
                <w:lang w:val="en-US" w:eastAsia="zh-CN"/>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778.50</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黑体" w:cs="Times New Roman"/>
          <w:color w:val="000000"/>
          <w:kern w:val="0"/>
          <w:sz w:val="32"/>
          <w:szCs w:val="32"/>
          <w:lang w:bidi="ar"/>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928"/>
        <w:gridCol w:w="3622"/>
        <w:gridCol w:w="983"/>
        <w:gridCol w:w="1000"/>
        <w:gridCol w:w="1573"/>
        <w:gridCol w:w="1640"/>
        <w:gridCol w:w="1640"/>
        <w:gridCol w:w="1897"/>
        <w:gridCol w:w="1383"/>
      </w:tblGrid>
      <w:tr>
        <w:tblPrEx>
          <w:tblCellMar>
            <w:top w:w="0" w:type="dxa"/>
            <w:left w:w="0" w:type="dxa"/>
            <w:bottom w:w="0" w:type="dxa"/>
            <w:right w:w="0" w:type="dxa"/>
          </w:tblCellMar>
        </w:tblPrEx>
        <w:trPr>
          <w:trHeight w:val="217" w:hRule="atLeast"/>
          <w:jc w:val="center"/>
        </w:trPr>
        <w:tc>
          <w:tcPr>
            <w:tcW w:w="455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9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00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57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92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3622"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9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00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57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928"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3622"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9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00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57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296" w:hRule="atLeast"/>
          <w:jc w:val="center"/>
        </w:trPr>
        <w:tc>
          <w:tcPr>
            <w:tcW w:w="455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9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0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5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314" w:hRule="atLeast"/>
          <w:jc w:val="center"/>
        </w:trPr>
        <w:tc>
          <w:tcPr>
            <w:tcW w:w="455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9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778.50</w:t>
            </w:r>
          </w:p>
        </w:tc>
        <w:tc>
          <w:tcPr>
            <w:tcW w:w="10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778.0</w:t>
            </w:r>
          </w:p>
        </w:tc>
        <w:tc>
          <w:tcPr>
            <w:tcW w:w="15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295" w:hRule="atLeast"/>
          <w:jc w:val="center"/>
        </w:trPr>
        <w:tc>
          <w:tcPr>
            <w:tcW w:w="9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201</w:t>
            </w:r>
          </w:p>
        </w:tc>
        <w:tc>
          <w:tcPr>
            <w:tcW w:w="362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一般公共服务支出</w:t>
            </w:r>
          </w:p>
        </w:tc>
        <w:tc>
          <w:tcPr>
            <w:tcW w:w="9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82.79</w:t>
            </w:r>
          </w:p>
        </w:tc>
        <w:tc>
          <w:tcPr>
            <w:tcW w:w="10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82.79</w:t>
            </w:r>
          </w:p>
        </w:tc>
        <w:tc>
          <w:tcPr>
            <w:tcW w:w="15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330" w:hRule="atLeast"/>
          <w:jc w:val="center"/>
        </w:trPr>
        <w:tc>
          <w:tcPr>
            <w:tcW w:w="9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20131</w:t>
            </w:r>
          </w:p>
        </w:tc>
        <w:tc>
          <w:tcPr>
            <w:tcW w:w="362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党委办公厅（室）及相关机构事务</w:t>
            </w:r>
          </w:p>
        </w:tc>
        <w:tc>
          <w:tcPr>
            <w:tcW w:w="9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82.79</w:t>
            </w:r>
          </w:p>
        </w:tc>
        <w:tc>
          <w:tcPr>
            <w:tcW w:w="10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82.79</w:t>
            </w:r>
          </w:p>
        </w:tc>
        <w:tc>
          <w:tcPr>
            <w:tcW w:w="15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262" w:hRule="atLeast"/>
          <w:jc w:val="center"/>
        </w:trPr>
        <w:tc>
          <w:tcPr>
            <w:tcW w:w="9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2013101</w:t>
            </w:r>
          </w:p>
        </w:tc>
        <w:tc>
          <w:tcPr>
            <w:tcW w:w="362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行政运行</w:t>
            </w:r>
          </w:p>
        </w:tc>
        <w:tc>
          <w:tcPr>
            <w:tcW w:w="9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82.79</w:t>
            </w:r>
          </w:p>
        </w:tc>
        <w:tc>
          <w:tcPr>
            <w:tcW w:w="10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82.79</w:t>
            </w:r>
          </w:p>
        </w:tc>
        <w:tc>
          <w:tcPr>
            <w:tcW w:w="15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276" w:hRule="atLeast"/>
          <w:jc w:val="center"/>
        </w:trPr>
        <w:tc>
          <w:tcPr>
            <w:tcW w:w="9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Times New Roman" w:hAnsi="Times New Roman" w:eastAsia="仿宋_GB2312" w:cs="Times New Roman"/>
                <w:sz w:val="24"/>
                <w:szCs w:val="24"/>
                <w:lang w:val="en-US" w:eastAsia="zh-CN"/>
              </w:rPr>
            </w:pPr>
            <w:r>
              <w:rPr>
                <w:rFonts w:hint="eastAsia" w:ascii="宋体" w:hAnsi="宋体" w:eastAsia="宋体" w:cs="宋体"/>
                <w:i w:val="0"/>
                <w:iCs w:val="0"/>
                <w:color w:val="000000"/>
                <w:kern w:val="0"/>
                <w:sz w:val="22"/>
                <w:szCs w:val="22"/>
                <w:u w:val="none"/>
                <w:lang w:val="en-US" w:eastAsia="zh-CN" w:bidi="ar"/>
              </w:rPr>
              <w:t>205</w:t>
            </w:r>
          </w:p>
        </w:tc>
        <w:tc>
          <w:tcPr>
            <w:tcW w:w="362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Times New Roman" w:hAnsi="Times New Roman" w:eastAsia="仿宋_GB2312" w:cs="Times New Roman"/>
                <w:sz w:val="24"/>
                <w:szCs w:val="24"/>
                <w:lang w:val="en-US" w:eastAsia="zh-CN"/>
              </w:rPr>
            </w:pPr>
            <w:r>
              <w:rPr>
                <w:rFonts w:hint="eastAsia" w:ascii="宋体" w:hAnsi="宋体" w:eastAsia="宋体" w:cs="宋体"/>
                <w:i w:val="0"/>
                <w:iCs w:val="0"/>
                <w:color w:val="000000"/>
                <w:kern w:val="0"/>
                <w:sz w:val="22"/>
                <w:szCs w:val="22"/>
                <w:u w:val="none"/>
                <w:lang w:val="en-US" w:eastAsia="zh-CN" w:bidi="ar"/>
              </w:rPr>
              <w:t>教育支出</w:t>
            </w:r>
          </w:p>
        </w:tc>
        <w:tc>
          <w:tcPr>
            <w:tcW w:w="9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523.39</w:t>
            </w:r>
          </w:p>
        </w:tc>
        <w:tc>
          <w:tcPr>
            <w:tcW w:w="10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523.39</w:t>
            </w:r>
          </w:p>
        </w:tc>
        <w:tc>
          <w:tcPr>
            <w:tcW w:w="15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293" w:hRule="atLeast"/>
          <w:jc w:val="center"/>
        </w:trPr>
        <w:tc>
          <w:tcPr>
            <w:tcW w:w="9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Times New Roman" w:hAnsi="Times New Roman" w:eastAsia="仿宋_GB2312" w:cs="Times New Roman"/>
                <w:sz w:val="24"/>
                <w:szCs w:val="24"/>
                <w:lang w:val="en-US" w:eastAsia="zh-CN"/>
              </w:rPr>
            </w:pPr>
            <w:r>
              <w:rPr>
                <w:rFonts w:hint="eastAsia" w:ascii="宋体" w:hAnsi="宋体" w:eastAsia="宋体" w:cs="宋体"/>
                <w:i w:val="0"/>
                <w:iCs w:val="0"/>
                <w:color w:val="000000"/>
                <w:kern w:val="0"/>
                <w:sz w:val="22"/>
                <w:szCs w:val="22"/>
                <w:u w:val="none"/>
                <w:lang w:val="en-US" w:eastAsia="zh-CN" w:bidi="ar"/>
              </w:rPr>
              <w:t>20508</w:t>
            </w:r>
          </w:p>
        </w:tc>
        <w:tc>
          <w:tcPr>
            <w:tcW w:w="362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Times New Roman" w:hAnsi="Times New Roman" w:eastAsia="仿宋_GB2312" w:cs="Times New Roman"/>
                <w:sz w:val="24"/>
                <w:szCs w:val="24"/>
                <w:lang w:val="en-US" w:eastAsia="zh-CN"/>
              </w:rPr>
            </w:pPr>
            <w:r>
              <w:rPr>
                <w:rFonts w:hint="eastAsia" w:ascii="宋体" w:hAnsi="宋体" w:eastAsia="宋体" w:cs="宋体"/>
                <w:i w:val="0"/>
                <w:iCs w:val="0"/>
                <w:color w:val="000000"/>
                <w:kern w:val="0"/>
                <w:sz w:val="22"/>
                <w:szCs w:val="22"/>
                <w:u w:val="none"/>
                <w:lang w:val="en-US" w:eastAsia="zh-CN" w:bidi="ar"/>
              </w:rPr>
              <w:t>进修及培训</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523.39</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523.39</w:t>
            </w:r>
          </w:p>
        </w:tc>
        <w:tc>
          <w:tcPr>
            <w:tcW w:w="15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300" w:hRule="atLeast"/>
          <w:jc w:val="center"/>
        </w:trPr>
        <w:tc>
          <w:tcPr>
            <w:tcW w:w="9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Times New Roman" w:hAnsi="Times New Roman" w:eastAsia="仿宋_GB2312" w:cs="Times New Roman"/>
                <w:sz w:val="24"/>
                <w:szCs w:val="24"/>
                <w:lang w:val="en-US" w:eastAsia="zh-CN"/>
              </w:rPr>
            </w:pPr>
            <w:r>
              <w:rPr>
                <w:rFonts w:hint="eastAsia" w:ascii="宋体" w:hAnsi="宋体" w:eastAsia="宋体" w:cs="宋体"/>
                <w:i w:val="0"/>
                <w:iCs w:val="0"/>
                <w:color w:val="000000"/>
                <w:kern w:val="0"/>
                <w:sz w:val="22"/>
                <w:szCs w:val="22"/>
                <w:u w:val="none"/>
                <w:lang w:val="en-US" w:eastAsia="zh-CN" w:bidi="ar"/>
              </w:rPr>
              <w:t>2050802</w:t>
            </w:r>
          </w:p>
        </w:tc>
        <w:tc>
          <w:tcPr>
            <w:tcW w:w="362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干部教育</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473.02</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473.02</w:t>
            </w:r>
          </w:p>
        </w:tc>
        <w:tc>
          <w:tcPr>
            <w:tcW w:w="15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293" w:hRule="atLeast"/>
          <w:jc w:val="center"/>
        </w:trPr>
        <w:tc>
          <w:tcPr>
            <w:tcW w:w="9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2050803</w:t>
            </w:r>
          </w:p>
        </w:tc>
        <w:tc>
          <w:tcPr>
            <w:tcW w:w="362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培训支出</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50.37</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50.37</w:t>
            </w:r>
          </w:p>
        </w:tc>
        <w:tc>
          <w:tcPr>
            <w:tcW w:w="15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327" w:hRule="atLeast"/>
          <w:jc w:val="center"/>
        </w:trPr>
        <w:tc>
          <w:tcPr>
            <w:tcW w:w="9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w:t>
            </w:r>
          </w:p>
        </w:tc>
        <w:tc>
          <w:tcPr>
            <w:tcW w:w="362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46.25</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46.25</w:t>
            </w:r>
          </w:p>
        </w:tc>
        <w:tc>
          <w:tcPr>
            <w:tcW w:w="15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321" w:hRule="atLeast"/>
          <w:jc w:val="center"/>
        </w:trPr>
        <w:tc>
          <w:tcPr>
            <w:tcW w:w="9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w:t>
            </w:r>
          </w:p>
        </w:tc>
        <w:tc>
          <w:tcPr>
            <w:tcW w:w="362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29.93</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29.93</w:t>
            </w:r>
          </w:p>
        </w:tc>
        <w:tc>
          <w:tcPr>
            <w:tcW w:w="15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372" w:hRule="atLeast"/>
          <w:jc w:val="center"/>
        </w:trPr>
        <w:tc>
          <w:tcPr>
            <w:tcW w:w="9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2080505</w:t>
            </w:r>
          </w:p>
        </w:tc>
        <w:tc>
          <w:tcPr>
            <w:tcW w:w="362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29.93</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29.93</w:t>
            </w:r>
          </w:p>
        </w:tc>
        <w:tc>
          <w:tcPr>
            <w:tcW w:w="15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267" w:hRule="atLeast"/>
          <w:jc w:val="center"/>
        </w:trPr>
        <w:tc>
          <w:tcPr>
            <w:tcW w:w="9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w:t>
            </w:r>
          </w:p>
        </w:tc>
        <w:tc>
          <w:tcPr>
            <w:tcW w:w="362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抚恤</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16.32</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16.32</w:t>
            </w:r>
          </w:p>
        </w:tc>
        <w:tc>
          <w:tcPr>
            <w:tcW w:w="15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288" w:hRule="atLeast"/>
          <w:jc w:val="center"/>
        </w:trPr>
        <w:tc>
          <w:tcPr>
            <w:tcW w:w="9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2080801</w:t>
            </w:r>
          </w:p>
        </w:tc>
        <w:tc>
          <w:tcPr>
            <w:tcW w:w="362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死亡抚恤</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16.32</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16.32</w:t>
            </w:r>
          </w:p>
        </w:tc>
        <w:tc>
          <w:tcPr>
            <w:tcW w:w="15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343" w:hRule="atLeast"/>
          <w:jc w:val="center"/>
        </w:trPr>
        <w:tc>
          <w:tcPr>
            <w:tcW w:w="9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210</w:t>
            </w:r>
          </w:p>
        </w:tc>
        <w:tc>
          <w:tcPr>
            <w:tcW w:w="362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卫生健康支出</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16.27</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16.27</w:t>
            </w:r>
          </w:p>
        </w:tc>
        <w:tc>
          <w:tcPr>
            <w:tcW w:w="15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310" w:hRule="atLeast"/>
          <w:jc w:val="center"/>
        </w:trPr>
        <w:tc>
          <w:tcPr>
            <w:tcW w:w="9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w:t>
            </w:r>
          </w:p>
        </w:tc>
        <w:tc>
          <w:tcPr>
            <w:tcW w:w="362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行政事业单位医疗</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16.27</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16.27</w:t>
            </w:r>
          </w:p>
        </w:tc>
        <w:tc>
          <w:tcPr>
            <w:tcW w:w="15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284" w:hRule="atLeast"/>
          <w:jc w:val="center"/>
        </w:trPr>
        <w:tc>
          <w:tcPr>
            <w:tcW w:w="9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2101102</w:t>
            </w:r>
          </w:p>
        </w:tc>
        <w:tc>
          <w:tcPr>
            <w:tcW w:w="362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事业单位医疗</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16.27</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16.27</w:t>
            </w:r>
          </w:p>
        </w:tc>
        <w:tc>
          <w:tcPr>
            <w:tcW w:w="15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267" w:hRule="atLeast"/>
          <w:jc w:val="center"/>
        </w:trPr>
        <w:tc>
          <w:tcPr>
            <w:tcW w:w="9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231</w:t>
            </w:r>
          </w:p>
        </w:tc>
        <w:tc>
          <w:tcPr>
            <w:tcW w:w="362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债务还本支出</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109.80</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109.80</w:t>
            </w:r>
          </w:p>
        </w:tc>
        <w:tc>
          <w:tcPr>
            <w:tcW w:w="15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217" w:hRule="atLeast"/>
          <w:jc w:val="center"/>
        </w:trPr>
        <w:tc>
          <w:tcPr>
            <w:tcW w:w="9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23104</w:t>
            </w:r>
          </w:p>
        </w:tc>
        <w:tc>
          <w:tcPr>
            <w:tcW w:w="362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地方政府专项债务还本支出</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109.80</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109.80</w:t>
            </w:r>
          </w:p>
        </w:tc>
        <w:tc>
          <w:tcPr>
            <w:tcW w:w="15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90" w:hRule="atLeast"/>
          <w:jc w:val="center"/>
        </w:trPr>
        <w:tc>
          <w:tcPr>
            <w:tcW w:w="9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2310499</w:t>
            </w:r>
          </w:p>
        </w:tc>
        <w:tc>
          <w:tcPr>
            <w:tcW w:w="362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其他政府性基金债务还本支出</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109.80</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109.80</w:t>
            </w:r>
          </w:p>
        </w:tc>
        <w:tc>
          <w:tcPr>
            <w:tcW w:w="15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bl>
    <w:p>
      <w:pPr>
        <w:spacing w:before="120"/>
        <w:jc w:val="left"/>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center"/>
        <w:rPr>
          <w:rFonts w:ascii="Times New Roman" w:hAnsi="Times New Roman" w:eastAsia="黑体" w:cs="Times New Roman"/>
          <w:color w:val="000000"/>
          <w:kern w:val="0"/>
          <w:sz w:val="36"/>
          <w:szCs w:val="36"/>
          <w:lang w:bidi="ar"/>
        </w:rPr>
      </w:pPr>
    </w:p>
    <w:p>
      <w:pPr>
        <w:widowControl/>
        <w:jc w:val="center"/>
        <w:rPr>
          <w:rFonts w:ascii="Times New Roman" w:hAnsi="Times New Roman" w:eastAsia="黑体" w:cs="Times New Roman"/>
          <w:color w:val="000000"/>
          <w:kern w:val="0"/>
          <w:sz w:val="36"/>
          <w:szCs w:val="36"/>
          <w:lang w:bidi="ar"/>
        </w:rPr>
      </w:pPr>
    </w:p>
    <w:p>
      <w:pPr>
        <w:widowControl/>
        <w:jc w:val="center"/>
        <w:rPr>
          <w:rFonts w:ascii="Times New Roman" w:hAnsi="Times New Roman" w:eastAsia="黑体" w:cs="Times New Roman"/>
          <w:color w:val="000000"/>
          <w:kern w:val="0"/>
          <w:sz w:val="36"/>
          <w:szCs w:val="36"/>
          <w:lang w:bidi="ar"/>
        </w:rPr>
      </w:pPr>
    </w:p>
    <w:p>
      <w:pPr>
        <w:widowControl/>
        <w:jc w:val="center"/>
        <w:rPr>
          <w:rFonts w:ascii="Times New Roman" w:hAnsi="Times New Roman" w:eastAsia="黑体" w:cs="Times New Roman"/>
          <w:color w:val="000000"/>
          <w:kern w:val="0"/>
          <w:sz w:val="36"/>
          <w:szCs w:val="36"/>
          <w:lang w:bidi="ar"/>
        </w:rPr>
      </w:pPr>
    </w:p>
    <w:p>
      <w:pPr>
        <w:widowControl/>
        <w:jc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96" w:type="pct"/>
        <w:jc w:val="center"/>
        <w:tblLayout w:type="fixed"/>
        <w:tblCellMar>
          <w:top w:w="0" w:type="dxa"/>
          <w:left w:w="108" w:type="dxa"/>
          <w:bottom w:w="0" w:type="dxa"/>
          <w:right w:w="108" w:type="dxa"/>
        </w:tblCellMar>
      </w:tblPr>
      <w:tblGrid>
        <w:gridCol w:w="2272"/>
        <w:gridCol w:w="3733"/>
        <w:gridCol w:w="1236"/>
        <w:gridCol w:w="1012"/>
        <w:gridCol w:w="1012"/>
        <w:gridCol w:w="1555"/>
        <w:gridCol w:w="1012"/>
        <w:gridCol w:w="2377"/>
      </w:tblGrid>
      <w:tr>
        <w:tblPrEx>
          <w:tblCellMar>
            <w:top w:w="0" w:type="dxa"/>
            <w:left w:w="108" w:type="dxa"/>
            <w:bottom w:w="0" w:type="dxa"/>
            <w:right w:w="108" w:type="dxa"/>
          </w:tblCellMar>
        </w:tblPrEx>
        <w:trPr>
          <w:trHeight w:val="418" w:hRule="atLeast"/>
          <w:jc w:val="center"/>
        </w:trPr>
        <w:tc>
          <w:tcPr>
            <w:tcW w:w="2113"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43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35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35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54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35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83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79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313"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434"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83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312" w:hRule="atLeast"/>
          <w:jc w:val="center"/>
        </w:trPr>
        <w:tc>
          <w:tcPr>
            <w:tcW w:w="79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313"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34"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83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378" w:hRule="atLeast"/>
          <w:jc w:val="center"/>
        </w:trPr>
        <w:tc>
          <w:tcPr>
            <w:tcW w:w="2113"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434"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356"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356"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47"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356"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836"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329" w:hRule="atLeast"/>
          <w:jc w:val="center"/>
        </w:trPr>
        <w:tc>
          <w:tcPr>
            <w:tcW w:w="2113"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2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778.50</w:t>
            </w:r>
          </w:p>
        </w:tc>
        <w:tc>
          <w:tcPr>
            <w:tcW w:w="101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385.46</w:t>
            </w:r>
          </w:p>
        </w:tc>
        <w:tc>
          <w:tcPr>
            <w:tcW w:w="101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393.04</w:t>
            </w:r>
          </w:p>
        </w:tc>
        <w:tc>
          <w:tcPr>
            <w:tcW w:w="54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355" w:hRule="atLeast"/>
          <w:jc w:val="center"/>
        </w:trPr>
        <w:tc>
          <w:tcPr>
            <w:tcW w:w="79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201</w:t>
            </w:r>
          </w:p>
        </w:tc>
        <w:tc>
          <w:tcPr>
            <w:tcW w:w="1313"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一般公共服务支出</w:t>
            </w:r>
          </w:p>
        </w:tc>
        <w:tc>
          <w:tcPr>
            <w:tcW w:w="12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82.79</w:t>
            </w:r>
          </w:p>
        </w:tc>
        <w:tc>
          <w:tcPr>
            <w:tcW w:w="101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82.79</w:t>
            </w:r>
          </w:p>
        </w:tc>
        <w:tc>
          <w:tcPr>
            <w:tcW w:w="1012"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p>
        </w:tc>
        <w:tc>
          <w:tcPr>
            <w:tcW w:w="54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379" w:hRule="atLeast"/>
          <w:jc w:val="center"/>
        </w:trPr>
        <w:tc>
          <w:tcPr>
            <w:tcW w:w="79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20131</w:t>
            </w:r>
          </w:p>
        </w:tc>
        <w:tc>
          <w:tcPr>
            <w:tcW w:w="1313"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党委办公厅（室）及相关机构事务</w:t>
            </w:r>
          </w:p>
        </w:tc>
        <w:tc>
          <w:tcPr>
            <w:tcW w:w="12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82.79</w:t>
            </w:r>
          </w:p>
        </w:tc>
        <w:tc>
          <w:tcPr>
            <w:tcW w:w="101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82.79</w:t>
            </w:r>
          </w:p>
        </w:tc>
        <w:tc>
          <w:tcPr>
            <w:tcW w:w="1012"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p>
        </w:tc>
        <w:tc>
          <w:tcPr>
            <w:tcW w:w="54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78" w:hRule="atLeast"/>
          <w:jc w:val="center"/>
        </w:trPr>
        <w:tc>
          <w:tcPr>
            <w:tcW w:w="79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2013101</w:t>
            </w:r>
          </w:p>
        </w:tc>
        <w:tc>
          <w:tcPr>
            <w:tcW w:w="1313"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12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82.79</w:t>
            </w:r>
          </w:p>
        </w:tc>
        <w:tc>
          <w:tcPr>
            <w:tcW w:w="101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82.79</w:t>
            </w:r>
          </w:p>
        </w:tc>
        <w:tc>
          <w:tcPr>
            <w:tcW w:w="1012"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p>
        </w:tc>
        <w:tc>
          <w:tcPr>
            <w:tcW w:w="54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294" w:hRule="atLeast"/>
          <w:jc w:val="center"/>
        </w:trPr>
        <w:tc>
          <w:tcPr>
            <w:tcW w:w="79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205</w:t>
            </w:r>
          </w:p>
        </w:tc>
        <w:tc>
          <w:tcPr>
            <w:tcW w:w="1313"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教育支出</w:t>
            </w:r>
          </w:p>
        </w:tc>
        <w:tc>
          <w:tcPr>
            <w:tcW w:w="12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523.39</w:t>
            </w:r>
          </w:p>
        </w:tc>
        <w:tc>
          <w:tcPr>
            <w:tcW w:w="101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240.15</w:t>
            </w:r>
          </w:p>
        </w:tc>
        <w:tc>
          <w:tcPr>
            <w:tcW w:w="101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283.24</w:t>
            </w:r>
          </w:p>
        </w:tc>
        <w:tc>
          <w:tcPr>
            <w:tcW w:w="54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55" w:hRule="atLeast"/>
          <w:jc w:val="center"/>
        </w:trPr>
        <w:tc>
          <w:tcPr>
            <w:tcW w:w="79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20508</w:t>
            </w:r>
          </w:p>
        </w:tc>
        <w:tc>
          <w:tcPr>
            <w:tcW w:w="1313"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进修及培训</w:t>
            </w:r>
          </w:p>
        </w:tc>
        <w:tc>
          <w:tcPr>
            <w:tcW w:w="12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523.39</w:t>
            </w:r>
          </w:p>
        </w:tc>
        <w:tc>
          <w:tcPr>
            <w:tcW w:w="101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240.15</w:t>
            </w:r>
          </w:p>
        </w:tc>
        <w:tc>
          <w:tcPr>
            <w:tcW w:w="101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283.24</w:t>
            </w:r>
          </w:p>
        </w:tc>
        <w:tc>
          <w:tcPr>
            <w:tcW w:w="54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3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455" w:hRule="atLeast"/>
          <w:jc w:val="center"/>
        </w:trPr>
        <w:tc>
          <w:tcPr>
            <w:tcW w:w="79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2050802</w:t>
            </w:r>
          </w:p>
        </w:tc>
        <w:tc>
          <w:tcPr>
            <w:tcW w:w="1313"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干部教育</w:t>
            </w:r>
          </w:p>
        </w:tc>
        <w:tc>
          <w:tcPr>
            <w:tcW w:w="12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473.02</w:t>
            </w:r>
          </w:p>
        </w:tc>
        <w:tc>
          <w:tcPr>
            <w:tcW w:w="101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240.15</w:t>
            </w:r>
          </w:p>
        </w:tc>
        <w:tc>
          <w:tcPr>
            <w:tcW w:w="101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232.87</w:t>
            </w:r>
          </w:p>
        </w:tc>
        <w:tc>
          <w:tcPr>
            <w:tcW w:w="54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3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455" w:hRule="atLeast"/>
          <w:jc w:val="center"/>
        </w:trPr>
        <w:tc>
          <w:tcPr>
            <w:tcW w:w="79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2050803</w:t>
            </w:r>
          </w:p>
        </w:tc>
        <w:tc>
          <w:tcPr>
            <w:tcW w:w="1313"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培训支出</w:t>
            </w:r>
          </w:p>
        </w:tc>
        <w:tc>
          <w:tcPr>
            <w:tcW w:w="12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50.37</w:t>
            </w:r>
          </w:p>
        </w:tc>
        <w:tc>
          <w:tcPr>
            <w:tcW w:w="1012"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kern w:val="0"/>
                <w:sz w:val="22"/>
                <w:szCs w:val="22"/>
                <w:u w:val="none"/>
                <w:lang w:val="en-US" w:eastAsia="zh-CN" w:bidi="ar"/>
              </w:rPr>
            </w:pPr>
          </w:p>
        </w:tc>
        <w:tc>
          <w:tcPr>
            <w:tcW w:w="101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50.37</w:t>
            </w:r>
          </w:p>
        </w:tc>
        <w:tc>
          <w:tcPr>
            <w:tcW w:w="54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3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455" w:hRule="atLeast"/>
          <w:jc w:val="center"/>
        </w:trPr>
        <w:tc>
          <w:tcPr>
            <w:tcW w:w="79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w:t>
            </w:r>
          </w:p>
        </w:tc>
        <w:tc>
          <w:tcPr>
            <w:tcW w:w="1313"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2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46.25</w:t>
            </w:r>
          </w:p>
        </w:tc>
        <w:tc>
          <w:tcPr>
            <w:tcW w:w="101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46.25</w:t>
            </w:r>
          </w:p>
        </w:tc>
        <w:tc>
          <w:tcPr>
            <w:tcW w:w="1012" w:type="dxa"/>
            <w:tcBorders>
              <w:top w:val="nil"/>
              <w:left w:val="nil"/>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kern w:val="0"/>
                <w:sz w:val="24"/>
                <w:szCs w:val="24"/>
                <w:lang w:val="en-US" w:eastAsia="zh-CN"/>
              </w:rPr>
            </w:pPr>
          </w:p>
        </w:tc>
        <w:tc>
          <w:tcPr>
            <w:tcW w:w="54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3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455" w:hRule="atLeast"/>
          <w:jc w:val="center"/>
        </w:trPr>
        <w:tc>
          <w:tcPr>
            <w:tcW w:w="79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w:t>
            </w:r>
          </w:p>
        </w:tc>
        <w:tc>
          <w:tcPr>
            <w:tcW w:w="1313"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2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29.93</w:t>
            </w:r>
          </w:p>
        </w:tc>
        <w:tc>
          <w:tcPr>
            <w:tcW w:w="101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29.93</w:t>
            </w:r>
          </w:p>
        </w:tc>
        <w:tc>
          <w:tcPr>
            <w:tcW w:w="1012" w:type="dxa"/>
            <w:tcBorders>
              <w:top w:val="nil"/>
              <w:left w:val="nil"/>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kern w:val="0"/>
                <w:sz w:val="24"/>
                <w:szCs w:val="24"/>
                <w:lang w:val="en-US" w:eastAsia="zh-CN"/>
              </w:rPr>
            </w:pPr>
          </w:p>
        </w:tc>
        <w:tc>
          <w:tcPr>
            <w:tcW w:w="54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3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455" w:hRule="atLeast"/>
          <w:jc w:val="center"/>
        </w:trPr>
        <w:tc>
          <w:tcPr>
            <w:tcW w:w="79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2080505</w:t>
            </w:r>
          </w:p>
        </w:tc>
        <w:tc>
          <w:tcPr>
            <w:tcW w:w="1313"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2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29.93</w:t>
            </w:r>
          </w:p>
        </w:tc>
        <w:tc>
          <w:tcPr>
            <w:tcW w:w="101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29.93</w:t>
            </w:r>
          </w:p>
        </w:tc>
        <w:tc>
          <w:tcPr>
            <w:tcW w:w="1012" w:type="dxa"/>
            <w:tcBorders>
              <w:top w:val="nil"/>
              <w:left w:val="nil"/>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kern w:val="0"/>
                <w:sz w:val="24"/>
                <w:szCs w:val="24"/>
                <w:lang w:val="en-US" w:eastAsia="zh-CN"/>
              </w:rPr>
            </w:pPr>
          </w:p>
        </w:tc>
        <w:tc>
          <w:tcPr>
            <w:tcW w:w="54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3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455" w:hRule="atLeast"/>
          <w:jc w:val="center"/>
        </w:trPr>
        <w:tc>
          <w:tcPr>
            <w:tcW w:w="79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20808</w:t>
            </w:r>
          </w:p>
        </w:tc>
        <w:tc>
          <w:tcPr>
            <w:tcW w:w="1313"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抚恤</w:t>
            </w:r>
          </w:p>
        </w:tc>
        <w:tc>
          <w:tcPr>
            <w:tcW w:w="12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16.32</w:t>
            </w:r>
          </w:p>
        </w:tc>
        <w:tc>
          <w:tcPr>
            <w:tcW w:w="101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16.32</w:t>
            </w:r>
          </w:p>
        </w:tc>
        <w:tc>
          <w:tcPr>
            <w:tcW w:w="1012" w:type="dxa"/>
            <w:tcBorders>
              <w:top w:val="nil"/>
              <w:left w:val="nil"/>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kern w:val="0"/>
                <w:sz w:val="24"/>
                <w:szCs w:val="24"/>
                <w:lang w:val="en-US" w:eastAsia="zh-CN"/>
              </w:rPr>
            </w:pPr>
          </w:p>
        </w:tc>
        <w:tc>
          <w:tcPr>
            <w:tcW w:w="54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29" w:hRule="atLeast"/>
          <w:jc w:val="center"/>
        </w:trPr>
        <w:tc>
          <w:tcPr>
            <w:tcW w:w="79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2080801</w:t>
            </w:r>
          </w:p>
        </w:tc>
        <w:tc>
          <w:tcPr>
            <w:tcW w:w="131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死亡抚恤</w:t>
            </w:r>
          </w:p>
        </w:tc>
        <w:tc>
          <w:tcPr>
            <w:tcW w:w="123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16.32</w:t>
            </w:r>
          </w:p>
        </w:tc>
        <w:tc>
          <w:tcPr>
            <w:tcW w:w="101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16.32</w:t>
            </w:r>
          </w:p>
        </w:tc>
        <w:tc>
          <w:tcPr>
            <w:tcW w:w="10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kern w:val="0"/>
                <w:sz w:val="24"/>
                <w:szCs w:val="24"/>
                <w:lang w:val="en-US" w:eastAsia="zh-CN"/>
              </w:rPr>
            </w:pPr>
          </w:p>
        </w:tc>
        <w:tc>
          <w:tcPr>
            <w:tcW w:w="54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68" w:hRule="atLeast"/>
          <w:jc w:val="center"/>
        </w:trPr>
        <w:tc>
          <w:tcPr>
            <w:tcW w:w="799" w:type="pc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210</w:t>
            </w:r>
          </w:p>
        </w:tc>
        <w:tc>
          <w:tcPr>
            <w:tcW w:w="1313" w:type="pc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卫生健康支出</w:t>
            </w:r>
          </w:p>
        </w:tc>
        <w:tc>
          <w:tcPr>
            <w:tcW w:w="123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16.27</w:t>
            </w:r>
          </w:p>
        </w:tc>
        <w:tc>
          <w:tcPr>
            <w:tcW w:w="101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16.27</w:t>
            </w:r>
          </w:p>
        </w:tc>
        <w:tc>
          <w:tcPr>
            <w:tcW w:w="101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Times New Roman" w:hAnsi="Times New Roman" w:eastAsia="仿宋_GB2312" w:cs="Times New Roman"/>
                <w:kern w:val="0"/>
                <w:sz w:val="24"/>
                <w:szCs w:val="24"/>
                <w:lang w:val="en-US" w:eastAsia="zh-CN"/>
              </w:rPr>
            </w:pPr>
          </w:p>
        </w:tc>
        <w:tc>
          <w:tcPr>
            <w:tcW w:w="547"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356"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836"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451" w:hRule="atLeast"/>
          <w:jc w:val="center"/>
        </w:trPr>
        <w:tc>
          <w:tcPr>
            <w:tcW w:w="799" w:type="pc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21011</w:t>
            </w:r>
          </w:p>
        </w:tc>
        <w:tc>
          <w:tcPr>
            <w:tcW w:w="1313" w:type="pc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行政事业单位医疗</w:t>
            </w:r>
          </w:p>
        </w:tc>
        <w:tc>
          <w:tcPr>
            <w:tcW w:w="123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16.27</w:t>
            </w:r>
          </w:p>
        </w:tc>
        <w:tc>
          <w:tcPr>
            <w:tcW w:w="101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16.27</w:t>
            </w:r>
          </w:p>
        </w:tc>
        <w:tc>
          <w:tcPr>
            <w:tcW w:w="101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Times New Roman" w:hAnsi="Times New Roman" w:eastAsia="仿宋_GB2312" w:cs="Times New Roman"/>
                <w:kern w:val="0"/>
                <w:sz w:val="24"/>
                <w:szCs w:val="24"/>
                <w:lang w:val="en-US" w:eastAsia="zh-CN"/>
              </w:rPr>
            </w:pPr>
          </w:p>
        </w:tc>
        <w:tc>
          <w:tcPr>
            <w:tcW w:w="547"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356"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836"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368" w:hRule="atLeast"/>
          <w:jc w:val="center"/>
        </w:trPr>
        <w:tc>
          <w:tcPr>
            <w:tcW w:w="799" w:type="pc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2101102</w:t>
            </w:r>
          </w:p>
        </w:tc>
        <w:tc>
          <w:tcPr>
            <w:tcW w:w="1313" w:type="pc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事业单位医疗</w:t>
            </w:r>
          </w:p>
        </w:tc>
        <w:tc>
          <w:tcPr>
            <w:tcW w:w="123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16.27</w:t>
            </w:r>
          </w:p>
        </w:tc>
        <w:tc>
          <w:tcPr>
            <w:tcW w:w="101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16.27</w:t>
            </w:r>
          </w:p>
        </w:tc>
        <w:tc>
          <w:tcPr>
            <w:tcW w:w="101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Times New Roman" w:hAnsi="Times New Roman" w:eastAsia="仿宋_GB2312" w:cs="Times New Roman"/>
                <w:kern w:val="0"/>
                <w:sz w:val="24"/>
                <w:szCs w:val="24"/>
                <w:lang w:val="en-US" w:eastAsia="zh-CN"/>
              </w:rPr>
            </w:pPr>
          </w:p>
        </w:tc>
        <w:tc>
          <w:tcPr>
            <w:tcW w:w="547"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356"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836"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402" w:hRule="atLeast"/>
          <w:jc w:val="center"/>
        </w:trPr>
        <w:tc>
          <w:tcPr>
            <w:tcW w:w="799" w:type="pc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231</w:t>
            </w:r>
          </w:p>
        </w:tc>
        <w:tc>
          <w:tcPr>
            <w:tcW w:w="1313" w:type="pc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债务还本支出</w:t>
            </w:r>
          </w:p>
        </w:tc>
        <w:tc>
          <w:tcPr>
            <w:tcW w:w="123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109.80</w:t>
            </w:r>
          </w:p>
        </w:tc>
        <w:tc>
          <w:tcPr>
            <w:tcW w:w="101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Times New Roman" w:hAnsi="Times New Roman" w:eastAsia="仿宋_GB2312" w:cs="Times New Roman"/>
                <w:kern w:val="0"/>
                <w:sz w:val="24"/>
                <w:szCs w:val="24"/>
                <w:lang w:val="en-US" w:eastAsia="zh-CN"/>
              </w:rPr>
            </w:pPr>
          </w:p>
        </w:tc>
        <w:tc>
          <w:tcPr>
            <w:tcW w:w="101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109.80</w:t>
            </w:r>
          </w:p>
        </w:tc>
        <w:tc>
          <w:tcPr>
            <w:tcW w:w="547"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356"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836"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365" w:hRule="atLeast"/>
          <w:jc w:val="center"/>
        </w:trPr>
        <w:tc>
          <w:tcPr>
            <w:tcW w:w="799" w:type="pc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23104</w:t>
            </w:r>
          </w:p>
        </w:tc>
        <w:tc>
          <w:tcPr>
            <w:tcW w:w="1313" w:type="pc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地方政府专项债务还本支出</w:t>
            </w:r>
          </w:p>
        </w:tc>
        <w:tc>
          <w:tcPr>
            <w:tcW w:w="123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109.80</w:t>
            </w:r>
          </w:p>
        </w:tc>
        <w:tc>
          <w:tcPr>
            <w:tcW w:w="101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Times New Roman" w:hAnsi="Times New Roman" w:eastAsia="仿宋_GB2312" w:cs="Times New Roman"/>
                <w:kern w:val="0"/>
                <w:sz w:val="24"/>
                <w:szCs w:val="24"/>
                <w:lang w:val="en-US" w:eastAsia="zh-CN"/>
              </w:rPr>
            </w:pPr>
          </w:p>
        </w:tc>
        <w:tc>
          <w:tcPr>
            <w:tcW w:w="101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109.80</w:t>
            </w:r>
          </w:p>
        </w:tc>
        <w:tc>
          <w:tcPr>
            <w:tcW w:w="547"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356"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836"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418" w:hRule="atLeast"/>
          <w:jc w:val="center"/>
        </w:trPr>
        <w:tc>
          <w:tcPr>
            <w:tcW w:w="799" w:type="pc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default"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2310499</w:t>
            </w:r>
          </w:p>
        </w:tc>
        <w:tc>
          <w:tcPr>
            <w:tcW w:w="1313" w:type="pc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default"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其他政府性基金债务还本支出</w:t>
            </w:r>
          </w:p>
        </w:tc>
        <w:tc>
          <w:tcPr>
            <w:tcW w:w="123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109.80</w:t>
            </w:r>
          </w:p>
        </w:tc>
        <w:tc>
          <w:tcPr>
            <w:tcW w:w="101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Times New Roman" w:hAnsi="Times New Roman" w:eastAsia="仿宋_GB2312" w:cs="Times New Roman"/>
                <w:kern w:val="0"/>
                <w:sz w:val="24"/>
                <w:szCs w:val="24"/>
                <w:lang w:val="en-US" w:eastAsia="zh-CN"/>
              </w:rPr>
            </w:pPr>
          </w:p>
        </w:tc>
        <w:tc>
          <w:tcPr>
            <w:tcW w:w="101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109.80</w:t>
            </w:r>
          </w:p>
        </w:tc>
        <w:tc>
          <w:tcPr>
            <w:tcW w:w="547"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356"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836"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bl>
    <w:p>
      <w:pPr>
        <w:widowControl/>
        <w:spacing w:before="120"/>
        <w:jc w:val="left"/>
        <w:rPr>
          <w:rFonts w:ascii="Times New Roman" w:hAnsi="Times New Roman" w:eastAsia="宋体" w:cs="Times New Roman"/>
          <w:kern w:val="0"/>
          <w:sz w:val="24"/>
          <w:szCs w:val="24"/>
        </w:rPr>
      </w:pPr>
      <w:r>
        <w:rPr>
          <w:rFonts w:ascii="Times New Roman" w:hAnsi="Times New Roman" w:eastAsia="仿宋_GB2312" w:cs="Times New Roman"/>
          <w:kern w:val="0"/>
          <w:sz w:val="24"/>
          <w:szCs w:val="24"/>
        </w:rPr>
        <w:t>注：本表反映部门本年度各项支出情况。</w:t>
      </w:r>
      <w:bookmarkStart w:id="0" w:name="RANGE!A1:I22"/>
      <w:bookmarkEnd w:id="0"/>
      <w:bookmarkStart w:id="1" w:name="RANGE!A1:F16"/>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14220" w:type="dxa"/>
        <w:jc w:val="center"/>
        <w:tblLayout w:type="fixed"/>
        <w:tblCellMar>
          <w:top w:w="0" w:type="dxa"/>
          <w:left w:w="108" w:type="dxa"/>
          <w:bottom w:w="0" w:type="dxa"/>
          <w:right w:w="108" w:type="dxa"/>
        </w:tblCellMar>
      </w:tblPr>
      <w:tblGrid>
        <w:gridCol w:w="3516"/>
        <w:gridCol w:w="616"/>
        <w:gridCol w:w="696"/>
        <w:gridCol w:w="2982"/>
        <w:gridCol w:w="726"/>
        <w:gridCol w:w="1074"/>
        <w:gridCol w:w="1151"/>
        <w:gridCol w:w="1661"/>
        <w:gridCol w:w="1798"/>
      </w:tblGrid>
      <w:tr>
        <w:tblPrEx>
          <w:tblCellMar>
            <w:top w:w="0" w:type="dxa"/>
            <w:left w:w="108" w:type="dxa"/>
            <w:bottom w:w="0" w:type="dxa"/>
            <w:right w:w="108" w:type="dxa"/>
          </w:tblCellMar>
        </w:tblPrEx>
        <w:trPr>
          <w:trHeight w:val="347" w:hRule="atLeast"/>
          <w:jc w:val="center"/>
        </w:trPr>
        <w:tc>
          <w:tcPr>
            <w:tcW w:w="482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392" w:type="dxa"/>
            <w:gridSpan w:val="6"/>
            <w:tcBorders>
              <w:top w:val="single" w:color="auto" w:sz="4" w:space="0"/>
              <w:left w:val="nil"/>
              <w:bottom w:val="single" w:color="auto" w:sz="4" w:space="0"/>
              <w:right w:val="single" w:color="auto" w:sz="4" w:space="0"/>
            </w:tcBorders>
            <w:shd w:val="clear" w:color="000000" w:fill="FFFFFF"/>
            <w:noWrap/>
            <w:vAlign w:val="center"/>
          </w:tcPr>
          <w:p>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54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项目</w:t>
            </w:r>
          </w:p>
        </w:tc>
        <w:tc>
          <w:tcPr>
            <w:tcW w:w="61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69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982"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项目</w:t>
            </w:r>
          </w:p>
        </w:tc>
        <w:tc>
          <w:tcPr>
            <w:tcW w:w="72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074"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151" w:type="dxa"/>
            <w:tcBorders>
              <w:top w:val="nil"/>
              <w:left w:val="nil"/>
              <w:bottom w:val="single" w:color="auto" w:sz="4" w:space="0"/>
              <w:right w:val="single" w:color="auto" w:sz="4" w:space="0"/>
            </w:tcBorders>
            <w:shd w:val="clear" w:color="auto" w:fill="auto"/>
            <w:vAlign w:val="center"/>
          </w:tcPr>
          <w:p>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661" w:type="dxa"/>
            <w:tcBorders>
              <w:top w:val="nil"/>
              <w:left w:val="nil"/>
              <w:bottom w:val="single" w:color="auto" w:sz="4" w:space="0"/>
              <w:right w:val="single" w:color="auto" w:sz="4" w:space="0"/>
            </w:tcBorders>
            <w:shd w:val="clear" w:color="auto" w:fill="auto"/>
            <w:vAlign w:val="center"/>
          </w:tcPr>
          <w:p>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798" w:type="dxa"/>
            <w:tcBorders>
              <w:top w:val="nil"/>
              <w:left w:val="nil"/>
              <w:bottom w:val="single" w:color="auto" w:sz="4" w:space="0"/>
              <w:right w:val="single" w:color="auto" w:sz="4" w:space="0"/>
            </w:tcBorders>
            <w:shd w:val="clear" w:color="auto" w:fill="auto"/>
            <w:vAlign w:val="center"/>
          </w:tcPr>
          <w:p>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rPr>
          <w:trHeight w:val="319"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4"/>
                <w:szCs w:val="24"/>
              </w:rPr>
            </w:pPr>
          </w:p>
        </w:tc>
        <w:tc>
          <w:tcPr>
            <w:tcW w:w="69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982"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72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4"/>
                <w:szCs w:val="24"/>
              </w:rPr>
            </w:pPr>
          </w:p>
        </w:tc>
        <w:tc>
          <w:tcPr>
            <w:tcW w:w="1074"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151"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661"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798"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69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right"/>
              <w:rPr>
                <w:rFonts w:ascii="Times New Roman" w:hAnsi="Times New Roman" w:eastAsia="仿宋_GB2312" w:cs="Times New Roman"/>
                <w:kern w:val="0"/>
                <w:sz w:val="22"/>
              </w:rPr>
            </w:pPr>
          </w:p>
        </w:tc>
        <w:tc>
          <w:tcPr>
            <w:tcW w:w="29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72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textAlignment w:val="center"/>
              <w:rPr>
                <w:rFonts w:hint="eastAsia" w:ascii="Times New Roman" w:hAnsi="Times New Roman" w:eastAsia="仿宋_GB2312" w:cs="Times New Roman"/>
                <w:kern w:val="0"/>
                <w:sz w:val="22"/>
                <w:lang w:eastAsia="zh-CN"/>
              </w:rPr>
            </w:pPr>
            <w:r>
              <w:rPr>
                <w:rFonts w:ascii="Times New Roman" w:hAnsi="Times New Roman" w:eastAsia="仿宋_GB2312" w:cs="Times New Roman"/>
                <w:color w:val="000000"/>
                <w:kern w:val="0"/>
                <w:sz w:val="22"/>
                <w:lang w:bidi="ar"/>
              </w:rPr>
              <w:t>1</w:t>
            </w:r>
            <w:r>
              <w:rPr>
                <w:rFonts w:hint="eastAsia" w:ascii="Times New Roman" w:hAnsi="Times New Roman" w:eastAsia="仿宋_GB2312" w:cs="Times New Roman"/>
                <w:color w:val="000000"/>
                <w:kern w:val="0"/>
                <w:sz w:val="22"/>
                <w:lang w:val="en-US" w:eastAsia="zh-CN" w:bidi="ar"/>
              </w:rPr>
              <w:t>8</w:t>
            </w:r>
          </w:p>
        </w:tc>
        <w:tc>
          <w:tcPr>
            <w:tcW w:w="1074"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right"/>
              <w:rPr>
                <w:rFonts w:ascii="Times New Roman" w:hAnsi="Times New Roman" w:eastAsia="仿宋_GB2312" w:cs="Times New Roman"/>
                <w:kern w:val="0"/>
                <w:sz w:val="22"/>
              </w:rPr>
            </w:pPr>
          </w:p>
        </w:tc>
        <w:tc>
          <w:tcPr>
            <w:tcW w:w="115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82.79</w:t>
            </w:r>
          </w:p>
        </w:tc>
        <w:tc>
          <w:tcPr>
            <w:tcW w:w="1661"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2"/>
              </w:rPr>
            </w:pPr>
          </w:p>
        </w:tc>
        <w:tc>
          <w:tcPr>
            <w:tcW w:w="1798"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9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69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right"/>
              <w:rPr>
                <w:rFonts w:ascii="Times New Roman" w:hAnsi="Times New Roman" w:eastAsia="仿宋_GB2312" w:cs="Times New Roman"/>
                <w:kern w:val="0"/>
                <w:sz w:val="22"/>
              </w:rPr>
            </w:pPr>
          </w:p>
        </w:tc>
        <w:tc>
          <w:tcPr>
            <w:tcW w:w="29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72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textAlignment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color w:val="000000"/>
                <w:kern w:val="0"/>
                <w:sz w:val="22"/>
                <w:lang w:bidi="ar"/>
              </w:rPr>
              <w:t>1</w:t>
            </w:r>
            <w:r>
              <w:rPr>
                <w:rFonts w:hint="eastAsia" w:ascii="Times New Roman" w:hAnsi="Times New Roman" w:eastAsia="仿宋_GB2312" w:cs="Times New Roman"/>
                <w:color w:val="000000"/>
                <w:kern w:val="0"/>
                <w:sz w:val="22"/>
                <w:lang w:val="en-US" w:eastAsia="zh-CN" w:bidi="ar"/>
              </w:rPr>
              <w:t>9</w:t>
            </w:r>
          </w:p>
        </w:tc>
        <w:tc>
          <w:tcPr>
            <w:tcW w:w="1074"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right"/>
              <w:rPr>
                <w:rFonts w:ascii="Times New Roman" w:hAnsi="Times New Roman" w:eastAsia="仿宋_GB2312" w:cs="Times New Roman"/>
                <w:kern w:val="0"/>
                <w:sz w:val="22"/>
              </w:rPr>
            </w:pPr>
          </w:p>
        </w:tc>
        <w:tc>
          <w:tcPr>
            <w:tcW w:w="1151" w:type="dxa"/>
            <w:tcBorders>
              <w:top w:val="nil"/>
              <w:left w:val="nil"/>
              <w:bottom w:val="single" w:color="auto" w:sz="4" w:space="0"/>
              <w:right w:val="single" w:color="auto" w:sz="4" w:space="0"/>
            </w:tcBorders>
            <w:shd w:val="clear" w:color="auto" w:fill="auto"/>
            <w:noWrap/>
            <w:vAlign w:val="center"/>
          </w:tcPr>
          <w:p>
            <w:pPr>
              <w:ind w:left="0" w:leftChars="0" w:right="0" w:rightChars="0" w:firstLine="0" w:firstLineChars="0"/>
              <w:jc w:val="right"/>
              <w:rPr>
                <w:rFonts w:ascii="Times New Roman" w:hAnsi="Times New Roman" w:eastAsia="仿宋_GB2312" w:cs="Times New Roman"/>
                <w:kern w:val="0"/>
                <w:sz w:val="22"/>
              </w:rPr>
            </w:pPr>
          </w:p>
        </w:tc>
        <w:tc>
          <w:tcPr>
            <w:tcW w:w="1661"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2"/>
              </w:rPr>
            </w:pPr>
          </w:p>
        </w:tc>
        <w:tc>
          <w:tcPr>
            <w:tcW w:w="1798"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25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69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right"/>
              <w:rPr>
                <w:rFonts w:ascii="Times New Roman" w:hAnsi="Times New Roman" w:eastAsia="仿宋_GB2312" w:cs="Times New Roman"/>
                <w:kern w:val="0"/>
                <w:sz w:val="22"/>
              </w:rPr>
            </w:pPr>
          </w:p>
        </w:tc>
        <w:tc>
          <w:tcPr>
            <w:tcW w:w="29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72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textAlignment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20</w:t>
            </w:r>
          </w:p>
        </w:tc>
        <w:tc>
          <w:tcPr>
            <w:tcW w:w="1074"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right"/>
              <w:rPr>
                <w:rFonts w:ascii="Times New Roman" w:hAnsi="Times New Roman" w:eastAsia="仿宋_GB2312" w:cs="Times New Roman"/>
                <w:kern w:val="0"/>
                <w:sz w:val="22"/>
              </w:rPr>
            </w:pPr>
          </w:p>
        </w:tc>
        <w:tc>
          <w:tcPr>
            <w:tcW w:w="1151" w:type="dxa"/>
            <w:tcBorders>
              <w:top w:val="nil"/>
              <w:left w:val="nil"/>
              <w:bottom w:val="single" w:color="auto" w:sz="4" w:space="0"/>
              <w:right w:val="single" w:color="auto" w:sz="4" w:space="0"/>
            </w:tcBorders>
            <w:shd w:val="clear" w:color="auto" w:fill="auto"/>
            <w:noWrap/>
            <w:vAlign w:val="center"/>
          </w:tcPr>
          <w:p>
            <w:pPr>
              <w:ind w:left="0" w:leftChars="0" w:right="0" w:rightChars="0" w:firstLine="0" w:firstLineChars="0"/>
              <w:jc w:val="right"/>
              <w:rPr>
                <w:rFonts w:ascii="Times New Roman" w:hAnsi="Times New Roman" w:eastAsia="仿宋_GB2312" w:cs="Times New Roman"/>
                <w:kern w:val="0"/>
                <w:sz w:val="22"/>
              </w:rPr>
            </w:pPr>
          </w:p>
        </w:tc>
        <w:tc>
          <w:tcPr>
            <w:tcW w:w="1661"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2"/>
              </w:rPr>
            </w:pPr>
          </w:p>
        </w:tc>
        <w:tc>
          <w:tcPr>
            <w:tcW w:w="1798"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28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69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right"/>
              <w:rPr>
                <w:rFonts w:ascii="Times New Roman" w:hAnsi="Times New Roman" w:eastAsia="仿宋_GB2312" w:cs="Times New Roman"/>
                <w:kern w:val="0"/>
                <w:sz w:val="22"/>
              </w:rPr>
            </w:pPr>
          </w:p>
        </w:tc>
        <w:tc>
          <w:tcPr>
            <w:tcW w:w="29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72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textAlignment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21</w:t>
            </w:r>
          </w:p>
        </w:tc>
        <w:tc>
          <w:tcPr>
            <w:tcW w:w="1074"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right"/>
              <w:rPr>
                <w:rFonts w:ascii="Times New Roman" w:hAnsi="Times New Roman" w:eastAsia="仿宋_GB2312" w:cs="Times New Roman"/>
                <w:kern w:val="0"/>
                <w:sz w:val="22"/>
              </w:rPr>
            </w:pPr>
          </w:p>
        </w:tc>
        <w:tc>
          <w:tcPr>
            <w:tcW w:w="1151" w:type="dxa"/>
            <w:tcBorders>
              <w:top w:val="nil"/>
              <w:left w:val="nil"/>
              <w:bottom w:val="single" w:color="auto" w:sz="4" w:space="0"/>
              <w:right w:val="single" w:color="auto" w:sz="4" w:space="0"/>
            </w:tcBorders>
            <w:shd w:val="clear" w:color="auto" w:fill="auto"/>
            <w:noWrap/>
            <w:vAlign w:val="center"/>
          </w:tcPr>
          <w:p>
            <w:pPr>
              <w:ind w:left="0" w:leftChars="0" w:right="0" w:rightChars="0" w:firstLine="0" w:firstLineChars="0"/>
              <w:jc w:val="right"/>
              <w:rPr>
                <w:rFonts w:ascii="Times New Roman" w:hAnsi="Times New Roman" w:eastAsia="仿宋_GB2312" w:cs="Times New Roman"/>
                <w:kern w:val="0"/>
                <w:sz w:val="22"/>
              </w:rPr>
            </w:pPr>
          </w:p>
        </w:tc>
        <w:tc>
          <w:tcPr>
            <w:tcW w:w="1661"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2"/>
              </w:rPr>
            </w:pPr>
          </w:p>
        </w:tc>
        <w:tc>
          <w:tcPr>
            <w:tcW w:w="1798"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3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69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right"/>
              <w:rPr>
                <w:rFonts w:ascii="Times New Roman" w:hAnsi="Times New Roman" w:eastAsia="仿宋_GB2312" w:cs="Times New Roman"/>
                <w:kern w:val="0"/>
                <w:sz w:val="22"/>
              </w:rPr>
            </w:pPr>
          </w:p>
        </w:tc>
        <w:tc>
          <w:tcPr>
            <w:tcW w:w="29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72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textAlignment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22</w:t>
            </w:r>
          </w:p>
        </w:tc>
        <w:tc>
          <w:tcPr>
            <w:tcW w:w="1074"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right"/>
              <w:rPr>
                <w:rFonts w:ascii="Times New Roman" w:hAnsi="Times New Roman" w:eastAsia="仿宋_GB2312" w:cs="Times New Roman"/>
                <w:kern w:val="0"/>
                <w:sz w:val="22"/>
              </w:rPr>
            </w:pPr>
          </w:p>
        </w:tc>
        <w:tc>
          <w:tcPr>
            <w:tcW w:w="115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523.39</w:t>
            </w:r>
          </w:p>
        </w:tc>
        <w:tc>
          <w:tcPr>
            <w:tcW w:w="1661"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2"/>
              </w:rPr>
            </w:pPr>
          </w:p>
        </w:tc>
        <w:tc>
          <w:tcPr>
            <w:tcW w:w="1798"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3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69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right"/>
              <w:rPr>
                <w:rFonts w:ascii="Times New Roman" w:hAnsi="Times New Roman" w:eastAsia="仿宋_GB2312" w:cs="Times New Roman"/>
                <w:kern w:val="0"/>
                <w:sz w:val="22"/>
              </w:rPr>
            </w:pPr>
          </w:p>
        </w:tc>
        <w:tc>
          <w:tcPr>
            <w:tcW w:w="29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72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textAlignment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23</w:t>
            </w:r>
          </w:p>
        </w:tc>
        <w:tc>
          <w:tcPr>
            <w:tcW w:w="1074"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right"/>
              <w:rPr>
                <w:rFonts w:ascii="Times New Roman" w:hAnsi="Times New Roman" w:eastAsia="仿宋_GB2312" w:cs="Times New Roman"/>
                <w:kern w:val="0"/>
                <w:sz w:val="22"/>
              </w:rPr>
            </w:pPr>
          </w:p>
        </w:tc>
        <w:tc>
          <w:tcPr>
            <w:tcW w:w="1151" w:type="dxa"/>
            <w:tcBorders>
              <w:top w:val="nil"/>
              <w:left w:val="nil"/>
              <w:bottom w:val="single" w:color="auto" w:sz="4" w:space="0"/>
              <w:right w:val="single" w:color="auto" w:sz="4" w:space="0"/>
            </w:tcBorders>
            <w:shd w:val="clear" w:color="auto" w:fill="auto"/>
            <w:noWrap/>
            <w:vAlign w:val="center"/>
          </w:tcPr>
          <w:p>
            <w:pPr>
              <w:ind w:left="0" w:leftChars="0" w:right="0" w:rightChars="0" w:firstLine="0" w:firstLineChars="0"/>
              <w:jc w:val="right"/>
              <w:rPr>
                <w:rFonts w:ascii="Times New Roman" w:hAnsi="Times New Roman" w:eastAsia="仿宋_GB2312" w:cs="Times New Roman"/>
                <w:kern w:val="0"/>
                <w:sz w:val="22"/>
              </w:rPr>
            </w:pPr>
          </w:p>
        </w:tc>
        <w:tc>
          <w:tcPr>
            <w:tcW w:w="1661"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2"/>
              </w:rPr>
            </w:pPr>
          </w:p>
        </w:tc>
        <w:tc>
          <w:tcPr>
            <w:tcW w:w="1798"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69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right"/>
              <w:rPr>
                <w:rFonts w:ascii="Times New Roman" w:hAnsi="Times New Roman" w:eastAsia="仿宋_GB2312" w:cs="Times New Roman"/>
                <w:kern w:val="0"/>
                <w:sz w:val="22"/>
              </w:rPr>
            </w:pPr>
          </w:p>
        </w:tc>
        <w:tc>
          <w:tcPr>
            <w:tcW w:w="29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72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textAlignment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color w:val="000000"/>
                <w:kern w:val="0"/>
                <w:sz w:val="22"/>
                <w:lang w:bidi="ar"/>
              </w:rPr>
              <w:t>2</w:t>
            </w:r>
            <w:r>
              <w:rPr>
                <w:rFonts w:hint="eastAsia" w:ascii="Times New Roman" w:hAnsi="Times New Roman" w:eastAsia="仿宋_GB2312" w:cs="Times New Roman"/>
                <w:color w:val="000000"/>
                <w:kern w:val="0"/>
                <w:sz w:val="22"/>
                <w:lang w:val="en-US" w:eastAsia="zh-CN" w:bidi="ar"/>
              </w:rPr>
              <w:t>4</w:t>
            </w:r>
          </w:p>
        </w:tc>
        <w:tc>
          <w:tcPr>
            <w:tcW w:w="1074"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right"/>
              <w:rPr>
                <w:rFonts w:ascii="Times New Roman" w:hAnsi="Times New Roman" w:eastAsia="仿宋_GB2312" w:cs="Times New Roman"/>
                <w:kern w:val="0"/>
                <w:sz w:val="22"/>
              </w:rPr>
            </w:pPr>
          </w:p>
        </w:tc>
        <w:tc>
          <w:tcPr>
            <w:tcW w:w="1151" w:type="dxa"/>
            <w:tcBorders>
              <w:top w:val="nil"/>
              <w:left w:val="nil"/>
              <w:bottom w:val="single" w:color="auto" w:sz="4" w:space="0"/>
              <w:right w:val="single" w:color="auto" w:sz="4" w:space="0"/>
            </w:tcBorders>
            <w:shd w:val="clear" w:color="auto" w:fill="auto"/>
            <w:noWrap/>
            <w:vAlign w:val="center"/>
          </w:tcPr>
          <w:p>
            <w:pPr>
              <w:ind w:left="0" w:leftChars="0" w:right="0" w:rightChars="0" w:firstLine="0" w:firstLineChars="0"/>
              <w:jc w:val="right"/>
              <w:rPr>
                <w:rFonts w:hint="default" w:ascii="Times New Roman" w:hAnsi="Times New Roman" w:eastAsia="仿宋_GB2312" w:cs="Times New Roman"/>
                <w:color w:val="000000"/>
                <w:kern w:val="2"/>
                <w:sz w:val="22"/>
                <w:szCs w:val="22"/>
                <w:lang w:val="en-US" w:eastAsia="zh-CN" w:bidi="ar-SA"/>
              </w:rPr>
            </w:pPr>
          </w:p>
        </w:tc>
        <w:tc>
          <w:tcPr>
            <w:tcW w:w="1661"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2"/>
              </w:rPr>
            </w:pPr>
          </w:p>
        </w:tc>
        <w:tc>
          <w:tcPr>
            <w:tcW w:w="1798"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69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right"/>
              <w:rPr>
                <w:rFonts w:ascii="Times New Roman" w:hAnsi="Times New Roman" w:eastAsia="仿宋_GB2312" w:cs="Times New Roman"/>
                <w:kern w:val="0"/>
                <w:sz w:val="22"/>
              </w:rPr>
            </w:pPr>
          </w:p>
        </w:tc>
        <w:tc>
          <w:tcPr>
            <w:tcW w:w="29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72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textAlignment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25</w:t>
            </w:r>
          </w:p>
        </w:tc>
        <w:tc>
          <w:tcPr>
            <w:tcW w:w="1074"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right"/>
              <w:rPr>
                <w:rFonts w:ascii="Times New Roman" w:hAnsi="Times New Roman" w:eastAsia="仿宋_GB2312" w:cs="Times New Roman"/>
                <w:kern w:val="0"/>
                <w:sz w:val="22"/>
              </w:rPr>
            </w:pPr>
          </w:p>
        </w:tc>
        <w:tc>
          <w:tcPr>
            <w:tcW w:w="115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ind w:left="0" w:leftChars="0" w:right="0" w:rightChars="0" w:firstLine="0" w:firstLineChars="0"/>
              <w:jc w:val="right"/>
              <w:textAlignment w:val="center"/>
              <w:rPr>
                <w:rFonts w:hint="default" w:ascii="Times New Roman" w:hAnsi="Times New Roman" w:eastAsia="仿宋_GB2312" w:cs="Times New Roman"/>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46.25</w:t>
            </w:r>
          </w:p>
        </w:tc>
        <w:tc>
          <w:tcPr>
            <w:tcW w:w="1661"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2"/>
              </w:rPr>
            </w:pPr>
          </w:p>
        </w:tc>
        <w:tc>
          <w:tcPr>
            <w:tcW w:w="1798"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9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b/>
                <w:bCs/>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9</w:t>
            </w:r>
          </w:p>
        </w:tc>
        <w:tc>
          <w:tcPr>
            <w:tcW w:w="69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right"/>
              <w:rPr>
                <w:rFonts w:ascii="Times New Roman" w:hAnsi="Times New Roman" w:eastAsia="仿宋_GB2312" w:cs="Times New Roman"/>
                <w:kern w:val="0"/>
                <w:sz w:val="22"/>
              </w:rPr>
            </w:pPr>
          </w:p>
        </w:tc>
        <w:tc>
          <w:tcPr>
            <w:tcW w:w="29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九、卫生健康支出</w:t>
            </w:r>
          </w:p>
        </w:tc>
        <w:tc>
          <w:tcPr>
            <w:tcW w:w="72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textAlignment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color w:val="000000"/>
                <w:kern w:val="0"/>
                <w:sz w:val="22"/>
                <w:lang w:bidi="ar"/>
              </w:rPr>
              <w:t>2</w:t>
            </w:r>
            <w:r>
              <w:rPr>
                <w:rFonts w:hint="eastAsia" w:ascii="Times New Roman" w:hAnsi="Times New Roman" w:eastAsia="仿宋_GB2312" w:cs="Times New Roman"/>
                <w:color w:val="000000"/>
                <w:kern w:val="0"/>
                <w:sz w:val="22"/>
                <w:lang w:val="en-US" w:eastAsia="zh-CN" w:bidi="ar"/>
              </w:rPr>
              <w:t>6</w:t>
            </w:r>
          </w:p>
        </w:tc>
        <w:tc>
          <w:tcPr>
            <w:tcW w:w="1074"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right"/>
              <w:rPr>
                <w:rFonts w:ascii="Times New Roman" w:hAnsi="Times New Roman" w:eastAsia="仿宋_GB2312" w:cs="Times New Roman"/>
                <w:kern w:val="0"/>
                <w:sz w:val="22"/>
              </w:rPr>
            </w:pPr>
          </w:p>
        </w:tc>
        <w:tc>
          <w:tcPr>
            <w:tcW w:w="115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ind w:left="0" w:leftChars="0" w:right="0" w:rightChars="0" w:firstLine="0" w:firstLineChars="0"/>
              <w:jc w:val="right"/>
              <w:textAlignment w:val="center"/>
              <w:rPr>
                <w:rFonts w:hint="default" w:ascii="Times New Roman" w:hAnsi="Times New Roman" w:eastAsia="仿宋_GB2312" w:cs="Times New Roman"/>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16.27</w:t>
            </w:r>
          </w:p>
        </w:tc>
        <w:tc>
          <w:tcPr>
            <w:tcW w:w="1661"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2"/>
              </w:rPr>
            </w:pPr>
          </w:p>
        </w:tc>
        <w:tc>
          <w:tcPr>
            <w:tcW w:w="1798"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b/>
                <w:bCs/>
                <w:kern w:val="0"/>
                <w:sz w:val="22"/>
              </w:rPr>
            </w:pPr>
          </w:p>
        </w:tc>
      </w:tr>
      <w:tr>
        <w:tblPrEx>
          <w:tblCellMar>
            <w:top w:w="0" w:type="dxa"/>
            <w:left w:w="108" w:type="dxa"/>
            <w:bottom w:w="0" w:type="dxa"/>
            <w:right w:w="108" w:type="dxa"/>
          </w:tblCellMar>
        </w:tblPrEx>
        <w:trPr>
          <w:trHeight w:val="3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b/>
                <w:bCs/>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10</w:t>
            </w:r>
          </w:p>
        </w:tc>
        <w:tc>
          <w:tcPr>
            <w:tcW w:w="69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right"/>
              <w:rPr>
                <w:rFonts w:ascii="Times New Roman" w:hAnsi="Times New Roman" w:eastAsia="仿宋_GB2312" w:cs="Times New Roman"/>
                <w:kern w:val="0"/>
                <w:sz w:val="22"/>
              </w:rPr>
            </w:pPr>
          </w:p>
        </w:tc>
        <w:tc>
          <w:tcPr>
            <w:tcW w:w="2982" w:type="dxa"/>
            <w:tcBorders>
              <w:top w:val="nil"/>
              <w:left w:val="nil"/>
              <w:bottom w:val="single" w:color="auto" w:sz="4" w:space="0"/>
              <w:right w:val="single" w:color="auto" w:sz="4" w:space="0"/>
            </w:tcBorders>
            <w:shd w:val="clear" w:color="auto" w:fill="auto"/>
            <w:noWrap/>
            <w:vAlign w:val="center"/>
          </w:tcPr>
          <w:p>
            <w:pPr>
              <w:widowControl/>
              <w:tabs>
                <w:tab w:val="left" w:pos="571"/>
              </w:tabs>
              <w:ind w:left="0" w:leftChars="0" w:right="0" w:rightChars="0" w:firstLine="0" w:firstLineChars="0"/>
              <w:jc w:val="left"/>
              <w:textAlignment w:val="center"/>
              <w:rPr>
                <w:rFonts w:ascii="Times New Roman" w:hAnsi="Times New Roman" w:eastAsia="仿宋_GB2312" w:cs="Times New Roman"/>
                <w:b/>
                <w:bCs/>
                <w:kern w:val="0"/>
                <w:sz w:val="22"/>
              </w:rPr>
            </w:pPr>
            <w:r>
              <w:rPr>
                <w:rFonts w:hint="eastAsia" w:ascii="Times New Roman" w:hAnsi="Times New Roman" w:eastAsia="仿宋_GB2312" w:cs="Times New Roman"/>
                <w:b/>
                <w:color w:val="000000"/>
                <w:kern w:val="0"/>
                <w:sz w:val="22"/>
                <w:lang w:val="en-US" w:eastAsia="zh-CN" w:bidi="ar"/>
              </w:rPr>
              <w:t>...</w:t>
            </w:r>
          </w:p>
        </w:tc>
        <w:tc>
          <w:tcPr>
            <w:tcW w:w="72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textAlignment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27</w:t>
            </w:r>
          </w:p>
        </w:tc>
        <w:tc>
          <w:tcPr>
            <w:tcW w:w="1074"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right"/>
              <w:rPr>
                <w:rFonts w:ascii="Times New Roman" w:hAnsi="Times New Roman" w:eastAsia="仿宋_GB2312" w:cs="Times New Roman"/>
                <w:kern w:val="0"/>
                <w:sz w:val="22"/>
              </w:rPr>
            </w:pPr>
          </w:p>
        </w:tc>
        <w:tc>
          <w:tcPr>
            <w:tcW w:w="115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kern w:val="0"/>
                <w:sz w:val="22"/>
                <w:szCs w:val="22"/>
                <w:u w:val="none"/>
                <w:lang w:val="en-US" w:eastAsia="zh-CN" w:bidi="ar"/>
              </w:rPr>
            </w:pPr>
          </w:p>
        </w:tc>
        <w:tc>
          <w:tcPr>
            <w:tcW w:w="1661"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2"/>
              </w:rPr>
            </w:pPr>
          </w:p>
        </w:tc>
        <w:tc>
          <w:tcPr>
            <w:tcW w:w="1798"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b/>
                <w:bCs/>
                <w:kern w:val="0"/>
                <w:sz w:val="22"/>
              </w:rPr>
            </w:pPr>
          </w:p>
        </w:tc>
      </w:tr>
      <w:tr>
        <w:tblPrEx>
          <w:tblCellMar>
            <w:top w:w="0" w:type="dxa"/>
            <w:left w:w="108" w:type="dxa"/>
            <w:bottom w:w="0" w:type="dxa"/>
            <w:right w:w="108" w:type="dxa"/>
          </w:tblCellMar>
        </w:tblPrEx>
        <w:trPr>
          <w:trHeight w:val="318"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b/>
                <w:bCs/>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11</w:t>
            </w:r>
          </w:p>
        </w:tc>
        <w:tc>
          <w:tcPr>
            <w:tcW w:w="69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right"/>
              <w:rPr>
                <w:rFonts w:ascii="Times New Roman" w:hAnsi="Times New Roman" w:eastAsia="仿宋_GB2312" w:cs="Times New Roman"/>
                <w:kern w:val="0"/>
                <w:sz w:val="22"/>
              </w:rPr>
            </w:pPr>
          </w:p>
        </w:tc>
        <w:tc>
          <w:tcPr>
            <w:tcW w:w="29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72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ind w:left="0" w:leftChars="0" w:right="0" w:rightChars="0" w:firstLine="0" w:firstLineChars="0"/>
              <w:jc w:val="center"/>
              <w:textAlignment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28</w:t>
            </w:r>
          </w:p>
        </w:tc>
        <w:tc>
          <w:tcPr>
            <w:tcW w:w="1074"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right"/>
              <w:rPr>
                <w:rFonts w:ascii="Times New Roman" w:hAnsi="Times New Roman" w:eastAsia="仿宋_GB2312" w:cs="Times New Roman"/>
                <w:kern w:val="0"/>
                <w:sz w:val="22"/>
              </w:rPr>
            </w:pPr>
          </w:p>
        </w:tc>
        <w:tc>
          <w:tcPr>
            <w:tcW w:w="115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ind w:left="0" w:leftChars="0" w:right="0" w:rightChars="0" w:firstLine="0" w:firstLineChars="0"/>
              <w:jc w:val="right"/>
              <w:textAlignment w:val="center"/>
              <w:rPr>
                <w:rFonts w:hint="default" w:ascii="宋体" w:hAnsi="宋体" w:eastAsia="宋体" w:cs="宋体"/>
                <w:i w:val="0"/>
                <w:iCs w:val="0"/>
                <w:color w:val="000000"/>
                <w:kern w:val="0"/>
                <w:sz w:val="22"/>
                <w:szCs w:val="22"/>
                <w:u w:val="none"/>
                <w:lang w:val="en-US" w:eastAsia="zh-CN" w:bidi="ar"/>
              </w:rPr>
            </w:pPr>
          </w:p>
        </w:tc>
        <w:tc>
          <w:tcPr>
            <w:tcW w:w="1661"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109.80</w:t>
            </w:r>
          </w:p>
        </w:tc>
        <w:tc>
          <w:tcPr>
            <w:tcW w:w="1798"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b/>
                <w:bCs/>
                <w:kern w:val="0"/>
                <w:sz w:val="22"/>
              </w:rPr>
            </w:pPr>
          </w:p>
        </w:tc>
      </w:tr>
      <w:tr>
        <w:tblPrEx>
          <w:tblCellMar>
            <w:top w:w="0" w:type="dxa"/>
            <w:left w:w="108" w:type="dxa"/>
            <w:bottom w:w="0" w:type="dxa"/>
            <w:right w:w="108" w:type="dxa"/>
          </w:tblCellMar>
        </w:tblPrEx>
        <w:trPr>
          <w:trHeight w:val="3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12</w:t>
            </w:r>
          </w:p>
        </w:tc>
        <w:tc>
          <w:tcPr>
            <w:tcW w:w="69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right"/>
              <w:rPr>
                <w:rFonts w:ascii="Times New Roman" w:hAnsi="Times New Roman" w:eastAsia="仿宋_GB2312" w:cs="Times New Roman"/>
                <w:kern w:val="0"/>
                <w:sz w:val="22"/>
              </w:rPr>
            </w:pPr>
          </w:p>
        </w:tc>
        <w:tc>
          <w:tcPr>
            <w:tcW w:w="2982"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72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textAlignment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29</w:t>
            </w:r>
          </w:p>
        </w:tc>
        <w:tc>
          <w:tcPr>
            <w:tcW w:w="107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778.50</w:t>
            </w:r>
          </w:p>
        </w:tc>
        <w:tc>
          <w:tcPr>
            <w:tcW w:w="115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ind w:left="0" w:leftChars="0" w:right="0" w:rightChars="0" w:firstLine="0" w:firstLineChars="0"/>
              <w:jc w:val="right"/>
              <w:textAlignment w:val="center"/>
              <w:rPr>
                <w:rFonts w:hint="default" w:ascii="Times New Roman" w:hAnsi="Times New Roman" w:eastAsia="仿宋_GB2312" w:cs="Times New Roman"/>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668.70</w:t>
            </w:r>
          </w:p>
        </w:tc>
        <w:tc>
          <w:tcPr>
            <w:tcW w:w="166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109.80</w:t>
            </w:r>
          </w:p>
        </w:tc>
        <w:tc>
          <w:tcPr>
            <w:tcW w:w="1798"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b/>
                <w:bCs/>
                <w:kern w:val="0"/>
                <w:sz w:val="22"/>
              </w:rPr>
            </w:pPr>
          </w:p>
        </w:tc>
      </w:tr>
      <w:tr>
        <w:tblPrEx>
          <w:tblCellMar>
            <w:top w:w="0" w:type="dxa"/>
            <w:left w:w="108" w:type="dxa"/>
            <w:bottom w:w="0" w:type="dxa"/>
            <w:right w:w="108" w:type="dxa"/>
          </w:tblCellMar>
        </w:tblPrEx>
        <w:trPr>
          <w:trHeight w:val="269"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13</w:t>
            </w:r>
          </w:p>
        </w:tc>
        <w:tc>
          <w:tcPr>
            <w:tcW w:w="69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right"/>
              <w:rPr>
                <w:rFonts w:ascii="Times New Roman" w:hAnsi="Times New Roman" w:eastAsia="仿宋_GB2312" w:cs="Times New Roman"/>
                <w:kern w:val="0"/>
                <w:sz w:val="22"/>
              </w:rPr>
            </w:pPr>
          </w:p>
        </w:tc>
        <w:tc>
          <w:tcPr>
            <w:tcW w:w="2982"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left"/>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72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textAlignment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30</w:t>
            </w:r>
          </w:p>
        </w:tc>
        <w:tc>
          <w:tcPr>
            <w:tcW w:w="1074"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right"/>
              <w:rPr>
                <w:rFonts w:ascii="Times New Roman" w:hAnsi="Times New Roman" w:eastAsia="仿宋_GB2312" w:cs="Times New Roman"/>
                <w:kern w:val="0"/>
                <w:sz w:val="22"/>
              </w:rPr>
            </w:pPr>
          </w:p>
        </w:tc>
        <w:tc>
          <w:tcPr>
            <w:tcW w:w="1151"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right"/>
              <w:rPr>
                <w:rFonts w:ascii="Times New Roman" w:hAnsi="Times New Roman" w:eastAsia="仿宋_GB2312" w:cs="Times New Roman"/>
                <w:kern w:val="0"/>
                <w:sz w:val="22"/>
              </w:rPr>
            </w:pPr>
          </w:p>
        </w:tc>
        <w:tc>
          <w:tcPr>
            <w:tcW w:w="1661"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2"/>
              </w:rPr>
            </w:pPr>
          </w:p>
        </w:tc>
        <w:tc>
          <w:tcPr>
            <w:tcW w:w="1798"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269"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14</w:t>
            </w:r>
          </w:p>
        </w:tc>
        <w:tc>
          <w:tcPr>
            <w:tcW w:w="69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right"/>
              <w:rPr>
                <w:rFonts w:ascii="Times New Roman" w:hAnsi="Times New Roman" w:eastAsia="仿宋_GB2312" w:cs="Times New Roman"/>
                <w:kern w:val="0"/>
                <w:sz w:val="22"/>
              </w:rPr>
            </w:pPr>
          </w:p>
        </w:tc>
        <w:tc>
          <w:tcPr>
            <w:tcW w:w="2982"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left"/>
              <w:rPr>
                <w:rFonts w:ascii="Times New Roman" w:hAnsi="Times New Roman" w:eastAsia="仿宋_GB2312" w:cs="Times New Roman"/>
                <w:kern w:val="0"/>
                <w:sz w:val="22"/>
              </w:rPr>
            </w:pPr>
          </w:p>
        </w:tc>
        <w:tc>
          <w:tcPr>
            <w:tcW w:w="72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textAlignment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31</w:t>
            </w:r>
          </w:p>
        </w:tc>
        <w:tc>
          <w:tcPr>
            <w:tcW w:w="1074"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right"/>
              <w:rPr>
                <w:rFonts w:ascii="Times New Roman" w:hAnsi="Times New Roman" w:eastAsia="仿宋_GB2312" w:cs="Times New Roman"/>
                <w:kern w:val="0"/>
                <w:sz w:val="22"/>
              </w:rPr>
            </w:pPr>
          </w:p>
        </w:tc>
        <w:tc>
          <w:tcPr>
            <w:tcW w:w="1151"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right"/>
              <w:rPr>
                <w:rFonts w:ascii="Times New Roman" w:hAnsi="Times New Roman" w:eastAsia="仿宋_GB2312" w:cs="Times New Roman"/>
                <w:kern w:val="0"/>
                <w:sz w:val="22"/>
              </w:rPr>
            </w:pPr>
          </w:p>
        </w:tc>
        <w:tc>
          <w:tcPr>
            <w:tcW w:w="1661"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2"/>
              </w:rPr>
            </w:pPr>
          </w:p>
        </w:tc>
        <w:tc>
          <w:tcPr>
            <w:tcW w:w="1798"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246"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1</w:t>
            </w:r>
            <w:r>
              <w:rPr>
                <w:rFonts w:hint="eastAsia" w:ascii="Times New Roman" w:hAnsi="Times New Roman" w:eastAsia="仿宋_GB2312" w:cs="Times New Roman"/>
                <w:kern w:val="0"/>
                <w:sz w:val="22"/>
                <w:lang w:val="en-US" w:eastAsia="zh-CN"/>
              </w:rPr>
              <w:t>5</w:t>
            </w:r>
          </w:p>
        </w:tc>
        <w:tc>
          <w:tcPr>
            <w:tcW w:w="69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right"/>
              <w:rPr>
                <w:rFonts w:ascii="Times New Roman" w:hAnsi="Times New Roman" w:eastAsia="仿宋_GB2312" w:cs="Times New Roman"/>
                <w:kern w:val="0"/>
                <w:sz w:val="22"/>
              </w:rPr>
            </w:pPr>
          </w:p>
        </w:tc>
        <w:tc>
          <w:tcPr>
            <w:tcW w:w="2982"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left"/>
              <w:rPr>
                <w:rFonts w:ascii="Times New Roman" w:hAnsi="Times New Roman" w:eastAsia="仿宋_GB2312" w:cs="Times New Roman"/>
                <w:kern w:val="0"/>
                <w:sz w:val="22"/>
              </w:rPr>
            </w:pPr>
          </w:p>
        </w:tc>
        <w:tc>
          <w:tcPr>
            <w:tcW w:w="72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textAlignment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32</w:t>
            </w:r>
          </w:p>
        </w:tc>
        <w:tc>
          <w:tcPr>
            <w:tcW w:w="1074"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right"/>
              <w:rPr>
                <w:rFonts w:ascii="Times New Roman" w:hAnsi="Times New Roman" w:eastAsia="仿宋_GB2312" w:cs="Times New Roman"/>
                <w:kern w:val="0"/>
                <w:sz w:val="22"/>
              </w:rPr>
            </w:pPr>
          </w:p>
        </w:tc>
        <w:tc>
          <w:tcPr>
            <w:tcW w:w="1151"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right"/>
              <w:rPr>
                <w:rFonts w:ascii="Times New Roman" w:hAnsi="Times New Roman" w:eastAsia="仿宋_GB2312" w:cs="Times New Roman"/>
                <w:kern w:val="0"/>
                <w:sz w:val="22"/>
              </w:rPr>
            </w:pPr>
          </w:p>
        </w:tc>
        <w:tc>
          <w:tcPr>
            <w:tcW w:w="1661"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2"/>
              </w:rPr>
            </w:pPr>
          </w:p>
        </w:tc>
        <w:tc>
          <w:tcPr>
            <w:tcW w:w="1798"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297"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1</w:t>
            </w:r>
            <w:r>
              <w:rPr>
                <w:rFonts w:hint="eastAsia" w:ascii="Times New Roman" w:hAnsi="Times New Roman" w:eastAsia="仿宋_GB2312" w:cs="Times New Roman"/>
                <w:kern w:val="0"/>
                <w:sz w:val="22"/>
                <w:lang w:val="en-US" w:eastAsia="zh-CN"/>
              </w:rPr>
              <w:t>6</w:t>
            </w:r>
          </w:p>
        </w:tc>
        <w:tc>
          <w:tcPr>
            <w:tcW w:w="69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right"/>
              <w:rPr>
                <w:rFonts w:ascii="Times New Roman" w:hAnsi="Times New Roman" w:eastAsia="仿宋_GB2312" w:cs="Times New Roman"/>
                <w:kern w:val="0"/>
                <w:sz w:val="22"/>
              </w:rPr>
            </w:pPr>
          </w:p>
        </w:tc>
        <w:tc>
          <w:tcPr>
            <w:tcW w:w="2982"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left"/>
              <w:rPr>
                <w:rFonts w:ascii="Times New Roman" w:hAnsi="Times New Roman" w:eastAsia="仿宋_GB2312" w:cs="Times New Roman"/>
                <w:kern w:val="0"/>
                <w:sz w:val="22"/>
              </w:rPr>
            </w:pPr>
          </w:p>
        </w:tc>
        <w:tc>
          <w:tcPr>
            <w:tcW w:w="72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textAlignment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33</w:t>
            </w:r>
          </w:p>
        </w:tc>
        <w:tc>
          <w:tcPr>
            <w:tcW w:w="1074"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right"/>
              <w:rPr>
                <w:rFonts w:ascii="Times New Roman" w:hAnsi="Times New Roman" w:eastAsia="仿宋_GB2312" w:cs="Times New Roman"/>
                <w:kern w:val="0"/>
                <w:sz w:val="22"/>
              </w:rPr>
            </w:pPr>
          </w:p>
        </w:tc>
        <w:tc>
          <w:tcPr>
            <w:tcW w:w="1151"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right"/>
              <w:rPr>
                <w:rFonts w:ascii="Times New Roman" w:hAnsi="Times New Roman" w:eastAsia="仿宋_GB2312" w:cs="Times New Roman"/>
                <w:kern w:val="0"/>
                <w:sz w:val="22"/>
              </w:rPr>
            </w:pPr>
          </w:p>
        </w:tc>
        <w:tc>
          <w:tcPr>
            <w:tcW w:w="1661"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2"/>
              </w:rPr>
            </w:pPr>
          </w:p>
        </w:tc>
        <w:tc>
          <w:tcPr>
            <w:tcW w:w="1798"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337" w:hRule="atLeast"/>
          <w:jc w:val="center"/>
        </w:trPr>
        <w:tc>
          <w:tcPr>
            <w:tcW w:w="3516" w:type="dxa"/>
            <w:tcBorders>
              <w:top w:val="nil"/>
              <w:left w:val="single" w:color="auto" w:sz="4" w:space="0"/>
              <w:bottom w:val="single" w:color="auto" w:sz="4" w:space="0"/>
              <w:right w:val="single" w:color="auto" w:sz="4" w:space="0"/>
            </w:tcBorders>
            <w:shd w:val="clear" w:color="000000" w:fill="FFFFFF"/>
            <w:noWrap/>
            <w:vAlign w:val="center"/>
          </w:tcPr>
          <w:p>
            <w:pPr>
              <w:widowControl/>
              <w:ind w:left="0" w:leftChars="0" w:right="0" w:rightChars="0" w:firstLine="0" w:firstLineChars="0"/>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pPr>
              <w:widowControl/>
              <w:ind w:left="0" w:leftChars="0" w:right="0" w:rightChars="0" w:firstLine="0" w:firstLineChars="0"/>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1</w:t>
            </w:r>
            <w:r>
              <w:rPr>
                <w:rFonts w:hint="eastAsia" w:ascii="Times New Roman" w:hAnsi="Times New Roman" w:eastAsia="仿宋_GB2312" w:cs="Times New Roman"/>
                <w:kern w:val="0"/>
                <w:sz w:val="22"/>
                <w:lang w:val="en-US" w:eastAsia="zh-CN"/>
              </w:rPr>
              <w:t>7</w:t>
            </w:r>
          </w:p>
        </w:tc>
        <w:tc>
          <w:tcPr>
            <w:tcW w:w="696"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right"/>
              <w:rPr>
                <w:rFonts w:ascii="Times New Roman" w:hAnsi="Times New Roman" w:eastAsia="仿宋_GB2312" w:cs="Times New Roman"/>
                <w:kern w:val="0"/>
                <w:sz w:val="22"/>
              </w:rPr>
            </w:pPr>
          </w:p>
        </w:tc>
        <w:tc>
          <w:tcPr>
            <w:tcW w:w="2982" w:type="dxa"/>
            <w:tcBorders>
              <w:top w:val="nil"/>
              <w:left w:val="nil"/>
              <w:bottom w:val="single" w:color="auto" w:sz="4" w:space="0"/>
              <w:right w:val="single" w:color="auto" w:sz="4" w:space="0"/>
            </w:tcBorders>
            <w:shd w:val="clear" w:color="000000" w:fill="FFFFFF"/>
            <w:noWrap/>
            <w:vAlign w:val="center"/>
          </w:tcPr>
          <w:p>
            <w:pPr>
              <w:widowControl/>
              <w:ind w:left="0" w:leftChars="0" w:right="0" w:rightChars="0" w:firstLine="0" w:firstLineChars="0"/>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726" w:type="dxa"/>
            <w:tcBorders>
              <w:top w:val="nil"/>
              <w:left w:val="nil"/>
              <w:bottom w:val="single" w:color="auto" w:sz="4" w:space="0"/>
              <w:right w:val="single" w:color="auto" w:sz="4" w:space="0"/>
            </w:tcBorders>
            <w:shd w:val="clear" w:color="000000" w:fill="FFFFFF"/>
            <w:noWrap/>
            <w:vAlign w:val="center"/>
          </w:tcPr>
          <w:p>
            <w:pPr>
              <w:widowControl/>
              <w:ind w:left="0" w:leftChars="0" w:right="0" w:rightChars="0" w:firstLine="0" w:firstLineChars="0"/>
              <w:jc w:val="center"/>
              <w:textAlignment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34</w:t>
            </w:r>
          </w:p>
        </w:tc>
        <w:tc>
          <w:tcPr>
            <w:tcW w:w="107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778.50</w:t>
            </w:r>
          </w:p>
        </w:tc>
        <w:tc>
          <w:tcPr>
            <w:tcW w:w="1151"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ind w:left="0" w:leftChars="0" w:right="0" w:rightChars="0" w:firstLine="0" w:firstLineChars="0"/>
              <w:jc w:val="right"/>
              <w:textAlignment w:val="center"/>
              <w:rPr>
                <w:rFonts w:hint="default" w:ascii="Times New Roman" w:hAnsi="Times New Roman" w:eastAsia="仿宋_GB2312" w:cs="Times New Roman"/>
                <w:kern w:val="0"/>
                <w:sz w:val="22"/>
                <w:lang w:val="en-US" w:eastAsia="zh-CN"/>
              </w:rPr>
            </w:pPr>
            <w:r>
              <w:rPr>
                <w:rFonts w:hint="eastAsia" w:ascii="宋体" w:hAnsi="宋体" w:eastAsia="宋体" w:cs="宋体"/>
                <w:i w:val="0"/>
                <w:iCs w:val="0"/>
                <w:color w:val="000000"/>
                <w:kern w:val="0"/>
                <w:sz w:val="22"/>
                <w:szCs w:val="22"/>
                <w:u w:val="none"/>
                <w:lang w:val="en-US" w:eastAsia="zh-CN" w:bidi="ar"/>
              </w:rPr>
              <w:t>668.70</w:t>
            </w:r>
          </w:p>
        </w:tc>
        <w:tc>
          <w:tcPr>
            <w:tcW w:w="166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109.80</w:t>
            </w:r>
          </w:p>
        </w:tc>
        <w:tc>
          <w:tcPr>
            <w:tcW w:w="1798" w:type="dxa"/>
            <w:tcBorders>
              <w:top w:val="nil"/>
              <w:left w:val="nil"/>
              <w:bottom w:val="single" w:color="auto" w:sz="4" w:space="0"/>
              <w:right w:val="single" w:color="auto" w:sz="4" w:space="0"/>
            </w:tcBorders>
            <w:shd w:val="clear" w:color="auto" w:fill="auto"/>
            <w:noWrap/>
            <w:vAlign w:val="center"/>
          </w:tcPr>
          <w:p>
            <w:pPr>
              <w:widowControl/>
              <w:ind w:left="0" w:leftChars="0" w:right="0" w:rightChars="0" w:firstLine="0" w:firstLineChars="0"/>
              <w:jc w:val="center"/>
              <w:rPr>
                <w:rFonts w:ascii="Times New Roman" w:hAnsi="Times New Roman" w:eastAsia="仿宋_GB2312" w:cs="Times New Roman"/>
                <w:b/>
                <w:bCs/>
                <w:kern w:val="0"/>
                <w:sz w:val="22"/>
              </w:rPr>
            </w:pPr>
          </w:p>
        </w:tc>
      </w:tr>
    </w:tbl>
    <w:p>
      <w:pPr>
        <w:widowControl/>
        <w:jc w:val="left"/>
        <w:rPr>
          <w:rFonts w:ascii="Times New Roman" w:hAnsi="Times New Roman" w:eastAsia="方正小标宋_GBK" w:cs="Times New Roman"/>
          <w:kern w:val="0"/>
          <w:sz w:val="36"/>
          <w:szCs w:val="36"/>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7" w:type="dxa"/>
        <w:jc w:val="center"/>
        <w:tblLayout w:type="autofit"/>
        <w:tblCellMar>
          <w:top w:w="0" w:type="dxa"/>
          <w:left w:w="108" w:type="dxa"/>
          <w:bottom w:w="0" w:type="dxa"/>
          <w:right w:w="108" w:type="dxa"/>
        </w:tblCellMar>
      </w:tblPr>
      <w:tblGrid>
        <w:gridCol w:w="3128"/>
        <w:gridCol w:w="6149"/>
        <w:gridCol w:w="1450"/>
        <w:gridCol w:w="1743"/>
        <w:gridCol w:w="1747"/>
      </w:tblGrid>
      <w:tr>
        <w:tblPrEx>
          <w:tblCellMar>
            <w:top w:w="0" w:type="dxa"/>
            <w:left w:w="108" w:type="dxa"/>
            <w:bottom w:w="0" w:type="dxa"/>
            <w:right w:w="108" w:type="dxa"/>
          </w:tblCellMar>
        </w:tblPrEx>
        <w:trPr>
          <w:trHeight w:val="342" w:hRule="atLeast"/>
          <w:jc w:val="center"/>
        </w:trPr>
        <w:tc>
          <w:tcPr>
            <w:tcW w:w="0" w:type="auto"/>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ind w:left="0" w:leftChars="0" w:right="0" w:rightChars="0" w:firstLine="0" w:firstLineChars="0"/>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w:t>
            </w:r>
          </w:p>
        </w:tc>
        <w:tc>
          <w:tcPr>
            <w:tcW w:w="4940" w:type="dxa"/>
            <w:gridSpan w:val="3"/>
            <w:tcBorders>
              <w:top w:val="single" w:color="auto" w:sz="8" w:space="0"/>
              <w:left w:val="nil"/>
              <w:bottom w:val="single" w:color="auto" w:sz="4" w:space="0"/>
              <w:right w:val="single" w:color="000000" w:sz="8" w:space="0"/>
            </w:tcBorders>
            <w:shd w:val="clear" w:color="auto" w:fill="auto"/>
            <w:vAlign w:val="center"/>
          </w:tcPr>
          <w:p>
            <w:pPr>
              <w:widowControl/>
              <w:ind w:left="0" w:leftChars="0" w:right="0" w:rightChars="0" w:firstLine="0" w:firstLineChars="0"/>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0" w:type="auto"/>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ind w:left="0" w:leftChars="0" w:right="0" w:rightChars="0" w:firstLine="0" w:firstLineChars="0"/>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0" w:type="auto"/>
            <w:vMerge w:val="restart"/>
            <w:tcBorders>
              <w:top w:val="nil"/>
              <w:left w:val="single" w:color="auto" w:sz="4" w:space="0"/>
              <w:bottom w:val="single" w:color="auto" w:sz="4" w:space="0"/>
              <w:right w:val="single" w:color="auto" w:sz="4" w:space="0"/>
            </w:tcBorders>
            <w:shd w:val="clear" w:color="auto" w:fill="auto"/>
            <w:vAlign w:val="center"/>
          </w:tcPr>
          <w:p>
            <w:pPr>
              <w:widowControl/>
              <w:ind w:left="0" w:leftChars="0" w:right="0" w:rightChars="0" w:firstLine="0" w:firstLineChars="0"/>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0" w:type="auto"/>
            <w:vMerge w:val="restart"/>
            <w:tcBorders>
              <w:top w:val="nil"/>
              <w:left w:val="single" w:color="auto" w:sz="4" w:space="0"/>
              <w:bottom w:val="single" w:color="000000" w:sz="4" w:space="0"/>
              <w:right w:val="single" w:color="auto" w:sz="4" w:space="0"/>
            </w:tcBorders>
            <w:shd w:val="clear" w:color="auto" w:fill="auto"/>
            <w:vAlign w:val="center"/>
          </w:tcPr>
          <w:p>
            <w:pPr>
              <w:widowControl/>
              <w:ind w:left="0" w:leftChars="0" w:right="0" w:rightChars="0" w:firstLine="0" w:firstLineChars="0"/>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0" w:type="auto"/>
            <w:vMerge w:val="restart"/>
            <w:tcBorders>
              <w:top w:val="nil"/>
              <w:left w:val="single" w:color="auto" w:sz="4" w:space="0"/>
              <w:bottom w:val="single" w:color="000000" w:sz="4" w:space="0"/>
              <w:right w:val="single" w:color="auto" w:sz="4" w:space="0"/>
            </w:tcBorders>
            <w:shd w:val="clear" w:color="auto" w:fill="auto"/>
            <w:vAlign w:val="center"/>
          </w:tcPr>
          <w:p>
            <w:pPr>
              <w:widowControl/>
              <w:ind w:left="0" w:leftChars="0" w:right="0" w:rightChars="0" w:firstLine="0" w:firstLineChars="0"/>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1747" w:type="dxa"/>
            <w:vMerge w:val="restart"/>
            <w:tcBorders>
              <w:top w:val="nil"/>
              <w:left w:val="single" w:color="auto" w:sz="4" w:space="0"/>
              <w:bottom w:val="single" w:color="000000" w:sz="4" w:space="0"/>
              <w:right w:val="single" w:color="auto" w:sz="8" w:space="0"/>
            </w:tcBorders>
            <w:shd w:val="clear" w:color="auto" w:fill="auto"/>
            <w:vAlign w:val="center"/>
          </w:tcPr>
          <w:p>
            <w:pPr>
              <w:widowControl/>
              <w:ind w:left="0" w:leftChars="0" w:right="0" w:rightChars="0" w:firstLine="0" w:firstLineChars="0"/>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0" w:type="auto"/>
            <w:vMerge w:val="continue"/>
            <w:tcBorders>
              <w:top w:val="single" w:color="auto" w:sz="4" w:space="0"/>
              <w:left w:val="single" w:color="auto" w:sz="8" w:space="0"/>
              <w:bottom w:val="single" w:color="auto" w:sz="4" w:space="0"/>
              <w:right w:val="single" w:color="auto" w:sz="4" w:space="0"/>
            </w:tcBorders>
            <w:vAlign w:val="center"/>
          </w:tcPr>
          <w:p>
            <w:pPr>
              <w:widowControl/>
              <w:ind w:left="0" w:leftChars="0" w:right="0" w:rightChars="0" w:firstLine="0" w:firstLineChars="0"/>
              <w:jc w:val="left"/>
              <w:rPr>
                <w:rFonts w:ascii="Times New Roman" w:hAnsi="Times New Roman" w:eastAsia="仿宋_GB2312" w:cs="Times New Roman"/>
                <w:kern w:val="0"/>
                <w:szCs w:val="21"/>
              </w:rPr>
            </w:pPr>
          </w:p>
        </w:tc>
        <w:tc>
          <w:tcPr>
            <w:tcW w:w="0" w:type="auto"/>
            <w:vMerge w:val="continue"/>
            <w:tcBorders>
              <w:top w:val="nil"/>
              <w:left w:val="single" w:color="auto" w:sz="4" w:space="0"/>
              <w:bottom w:val="single" w:color="auto" w:sz="4" w:space="0"/>
              <w:right w:val="single" w:color="auto" w:sz="4" w:space="0"/>
            </w:tcBorders>
            <w:vAlign w:val="center"/>
          </w:tcPr>
          <w:p>
            <w:pPr>
              <w:widowControl/>
              <w:ind w:left="0" w:leftChars="0" w:right="0" w:rightChars="0" w:firstLine="0" w:firstLineChars="0"/>
              <w:jc w:val="left"/>
              <w:rPr>
                <w:rFonts w:ascii="Times New Roman" w:hAnsi="Times New Roman" w:eastAsia="仿宋_GB2312" w:cs="Times New Roman"/>
                <w:kern w:val="0"/>
                <w:szCs w:val="21"/>
              </w:rPr>
            </w:pPr>
          </w:p>
        </w:tc>
        <w:tc>
          <w:tcPr>
            <w:tcW w:w="0" w:type="auto"/>
            <w:vMerge w:val="continue"/>
            <w:tcBorders>
              <w:top w:val="nil"/>
              <w:left w:val="single" w:color="auto" w:sz="4" w:space="0"/>
              <w:bottom w:val="single" w:color="000000" w:sz="4" w:space="0"/>
              <w:right w:val="single" w:color="auto" w:sz="4" w:space="0"/>
            </w:tcBorders>
            <w:vAlign w:val="center"/>
          </w:tcPr>
          <w:p>
            <w:pPr>
              <w:widowControl/>
              <w:ind w:left="0" w:leftChars="0" w:right="0" w:rightChars="0" w:firstLine="0" w:firstLineChars="0"/>
              <w:jc w:val="left"/>
              <w:rPr>
                <w:rFonts w:ascii="Times New Roman" w:hAnsi="Times New Roman" w:eastAsia="仿宋_GB2312" w:cs="Times New Roman"/>
                <w:kern w:val="0"/>
                <w:szCs w:val="21"/>
              </w:rPr>
            </w:pPr>
          </w:p>
        </w:tc>
        <w:tc>
          <w:tcPr>
            <w:tcW w:w="0" w:type="auto"/>
            <w:vMerge w:val="continue"/>
            <w:tcBorders>
              <w:top w:val="nil"/>
              <w:left w:val="single" w:color="auto" w:sz="4" w:space="0"/>
              <w:bottom w:val="single" w:color="000000" w:sz="4" w:space="0"/>
              <w:right w:val="single" w:color="auto" w:sz="4" w:space="0"/>
            </w:tcBorders>
            <w:vAlign w:val="center"/>
          </w:tcPr>
          <w:p>
            <w:pPr>
              <w:widowControl/>
              <w:ind w:left="0" w:leftChars="0" w:right="0" w:rightChars="0" w:firstLine="0" w:firstLineChars="0"/>
              <w:jc w:val="left"/>
              <w:rPr>
                <w:rFonts w:ascii="Times New Roman" w:hAnsi="Times New Roman" w:eastAsia="仿宋_GB2312" w:cs="Times New Roman"/>
                <w:kern w:val="0"/>
                <w:szCs w:val="21"/>
              </w:rPr>
            </w:pPr>
          </w:p>
        </w:tc>
        <w:tc>
          <w:tcPr>
            <w:tcW w:w="1747" w:type="dxa"/>
            <w:vMerge w:val="continue"/>
            <w:tcBorders>
              <w:top w:val="nil"/>
              <w:left w:val="single" w:color="auto" w:sz="4" w:space="0"/>
              <w:bottom w:val="single" w:color="000000" w:sz="4" w:space="0"/>
              <w:right w:val="single" w:color="auto" w:sz="8" w:space="0"/>
            </w:tcBorders>
            <w:vAlign w:val="center"/>
          </w:tcPr>
          <w:p>
            <w:pPr>
              <w:widowControl/>
              <w:ind w:left="0" w:leftChars="0" w:right="0" w:rightChars="0" w:firstLine="0" w:firstLineChars="0"/>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0" w:type="auto"/>
            <w:vMerge w:val="continue"/>
            <w:tcBorders>
              <w:top w:val="single" w:color="auto" w:sz="4" w:space="0"/>
              <w:left w:val="single" w:color="auto" w:sz="8" w:space="0"/>
              <w:bottom w:val="single" w:color="auto" w:sz="4" w:space="0"/>
              <w:right w:val="single" w:color="auto" w:sz="4" w:space="0"/>
            </w:tcBorders>
            <w:vAlign w:val="center"/>
          </w:tcPr>
          <w:p>
            <w:pPr>
              <w:widowControl/>
              <w:ind w:left="0" w:leftChars="0" w:right="0" w:rightChars="0" w:firstLine="0" w:firstLineChars="0"/>
              <w:jc w:val="left"/>
              <w:rPr>
                <w:rFonts w:ascii="Times New Roman" w:hAnsi="Times New Roman" w:eastAsia="仿宋_GB2312" w:cs="Times New Roman"/>
                <w:kern w:val="0"/>
                <w:szCs w:val="21"/>
              </w:rPr>
            </w:pPr>
          </w:p>
        </w:tc>
        <w:tc>
          <w:tcPr>
            <w:tcW w:w="0" w:type="auto"/>
            <w:vMerge w:val="continue"/>
            <w:tcBorders>
              <w:top w:val="nil"/>
              <w:left w:val="single" w:color="auto" w:sz="4" w:space="0"/>
              <w:bottom w:val="single" w:color="auto" w:sz="4" w:space="0"/>
              <w:right w:val="single" w:color="auto" w:sz="4" w:space="0"/>
            </w:tcBorders>
            <w:vAlign w:val="center"/>
          </w:tcPr>
          <w:p>
            <w:pPr>
              <w:widowControl/>
              <w:ind w:left="0" w:leftChars="0" w:right="0" w:rightChars="0" w:firstLine="0" w:firstLineChars="0"/>
              <w:jc w:val="left"/>
              <w:rPr>
                <w:rFonts w:ascii="Times New Roman" w:hAnsi="Times New Roman" w:eastAsia="仿宋_GB2312" w:cs="Times New Roman"/>
                <w:kern w:val="0"/>
                <w:szCs w:val="21"/>
              </w:rPr>
            </w:pPr>
          </w:p>
        </w:tc>
        <w:tc>
          <w:tcPr>
            <w:tcW w:w="0" w:type="auto"/>
            <w:vMerge w:val="continue"/>
            <w:tcBorders>
              <w:top w:val="nil"/>
              <w:left w:val="single" w:color="auto" w:sz="4" w:space="0"/>
              <w:bottom w:val="single" w:color="000000" w:sz="4" w:space="0"/>
              <w:right w:val="single" w:color="auto" w:sz="4" w:space="0"/>
            </w:tcBorders>
            <w:vAlign w:val="center"/>
          </w:tcPr>
          <w:p>
            <w:pPr>
              <w:widowControl/>
              <w:ind w:left="0" w:leftChars="0" w:right="0" w:rightChars="0" w:firstLine="0" w:firstLineChars="0"/>
              <w:jc w:val="left"/>
              <w:rPr>
                <w:rFonts w:ascii="Times New Roman" w:hAnsi="Times New Roman" w:eastAsia="仿宋_GB2312" w:cs="Times New Roman"/>
                <w:kern w:val="0"/>
                <w:szCs w:val="21"/>
              </w:rPr>
            </w:pPr>
          </w:p>
        </w:tc>
        <w:tc>
          <w:tcPr>
            <w:tcW w:w="0" w:type="auto"/>
            <w:vMerge w:val="continue"/>
            <w:tcBorders>
              <w:top w:val="nil"/>
              <w:left w:val="single" w:color="auto" w:sz="4" w:space="0"/>
              <w:bottom w:val="single" w:color="000000" w:sz="4" w:space="0"/>
              <w:right w:val="single" w:color="auto" w:sz="4" w:space="0"/>
            </w:tcBorders>
            <w:vAlign w:val="center"/>
          </w:tcPr>
          <w:p>
            <w:pPr>
              <w:widowControl/>
              <w:ind w:left="0" w:leftChars="0" w:right="0" w:rightChars="0" w:firstLine="0" w:firstLineChars="0"/>
              <w:jc w:val="left"/>
              <w:rPr>
                <w:rFonts w:ascii="Times New Roman" w:hAnsi="Times New Roman" w:eastAsia="仿宋_GB2312" w:cs="Times New Roman"/>
                <w:kern w:val="0"/>
                <w:szCs w:val="21"/>
              </w:rPr>
            </w:pPr>
          </w:p>
        </w:tc>
        <w:tc>
          <w:tcPr>
            <w:tcW w:w="1747" w:type="dxa"/>
            <w:vMerge w:val="continue"/>
            <w:tcBorders>
              <w:top w:val="nil"/>
              <w:left w:val="single" w:color="auto" w:sz="4" w:space="0"/>
              <w:bottom w:val="single" w:color="000000" w:sz="4" w:space="0"/>
              <w:right w:val="single" w:color="auto" w:sz="8" w:space="0"/>
            </w:tcBorders>
            <w:vAlign w:val="center"/>
          </w:tcPr>
          <w:p>
            <w:pPr>
              <w:widowControl/>
              <w:ind w:left="0" w:leftChars="0" w:right="0" w:rightChars="0" w:firstLine="0" w:firstLineChars="0"/>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0" w:type="auto"/>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ind w:left="0" w:leftChars="0" w:right="0" w:rightChars="0" w:firstLine="0" w:firstLineChars="0"/>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0" w:type="auto"/>
            <w:tcBorders>
              <w:top w:val="nil"/>
              <w:left w:val="nil"/>
              <w:bottom w:val="single" w:color="auto" w:sz="4" w:space="0"/>
              <w:right w:val="single" w:color="auto" w:sz="4" w:space="0"/>
            </w:tcBorders>
            <w:shd w:val="clear" w:color="auto" w:fill="auto"/>
            <w:vAlign w:val="center"/>
          </w:tcPr>
          <w:p>
            <w:pPr>
              <w:widowControl/>
              <w:ind w:left="0" w:leftChars="0" w:right="0" w:rightChars="0" w:firstLine="0" w:firstLineChars="0"/>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0" w:type="auto"/>
            <w:tcBorders>
              <w:top w:val="nil"/>
              <w:left w:val="nil"/>
              <w:bottom w:val="single" w:color="auto" w:sz="4" w:space="0"/>
              <w:right w:val="single" w:color="auto" w:sz="4" w:space="0"/>
            </w:tcBorders>
            <w:shd w:val="clear" w:color="auto" w:fill="auto"/>
            <w:vAlign w:val="center"/>
          </w:tcPr>
          <w:p>
            <w:pPr>
              <w:widowControl/>
              <w:ind w:left="0" w:leftChars="0" w:right="0" w:rightChars="0" w:firstLine="0" w:firstLineChars="0"/>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1747" w:type="dxa"/>
            <w:tcBorders>
              <w:top w:val="nil"/>
              <w:left w:val="nil"/>
              <w:bottom w:val="single" w:color="auto" w:sz="4" w:space="0"/>
              <w:right w:val="single" w:color="auto" w:sz="8" w:space="0"/>
            </w:tcBorders>
            <w:shd w:val="clear" w:color="auto" w:fill="auto"/>
            <w:vAlign w:val="center"/>
          </w:tcPr>
          <w:p>
            <w:pPr>
              <w:widowControl/>
              <w:ind w:left="0" w:leftChars="0" w:right="0" w:rightChars="0" w:firstLine="0" w:firstLineChars="0"/>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312" w:hRule="atLeast"/>
          <w:jc w:val="center"/>
        </w:trPr>
        <w:tc>
          <w:tcPr>
            <w:tcW w:w="0" w:type="auto"/>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ind w:left="0" w:leftChars="0" w:right="0" w:rightChars="0" w:firstLine="0" w:firstLineChars="0"/>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0" w:type="auto"/>
            <w:tcBorders>
              <w:top w:val="nil"/>
              <w:left w:val="nil"/>
              <w:bottom w:val="single" w:color="auto" w:sz="4" w:space="0"/>
              <w:right w:val="single" w:color="auto" w:sz="4" w:space="0"/>
            </w:tcBorders>
            <w:shd w:val="clear" w:color="auto" w:fill="auto"/>
            <w:vAlign w:val="center"/>
          </w:tcPr>
          <w:p>
            <w:pPr>
              <w:keepNext w:val="0"/>
              <w:keepLines w:val="0"/>
              <w:widowControl/>
              <w:suppressLineNumbers w:val="0"/>
              <w:ind w:left="0" w:leftChars="0" w:right="0" w:rightChars="0" w:firstLine="0" w:firstLineChars="0"/>
              <w:jc w:val="center"/>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b/>
                <w:bCs/>
                <w:i w:val="0"/>
                <w:iCs w:val="0"/>
                <w:color w:val="000000"/>
                <w:kern w:val="0"/>
                <w:sz w:val="22"/>
                <w:szCs w:val="22"/>
                <w:u w:val="none"/>
                <w:lang w:val="en-US" w:eastAsia="zh-CN" w:bidi="ar"/>
              </w:rPr>
              <w:t>668.70</w:t>
            </w:r>
          </w:p>
        </w:tc>
        <w:tc>
          <w:tcPr>
            <w:tcW w:w="0" w:type="auto"/>
            <w:tcBorders>
              <w:top w:val="nil"/>
              <w:left w:val="nil"/>
              <w:bottom w:val="single" w:color="auto" w:sz="4" w:space="0"/>
              <w:right w:val="single" w:color="auto" w:sz="4" w:space="0"/>
            </w:tcBorders>
            <w:shd w:val="clear" w:color="auto" w:fill="auto"/>
            <w:vAlign w:val="center"/>
          </w:tcPr>
          <w:p>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4"/>
                <w:szCs w:val="24"/>
                <w:lang w:val="en-US" w:eastAsia="zh-CN" w:bidi="ar-SA"/>
              </w:rPr>
            </w:pPr>
            <w:r>
              <w:rPr>
                <w:rFonts w:hint="eastAsia" w:ascii="宋体" w:hAnsi="宋体" w:eastAsia="宋体" w:cs="宋体"/>
                <w:b/>
                <w:bCs/>
                <w:i w:val="0"/>
                <w:iCs w:val="0"/>
                <w:color w:val="000000"/>
                <w:kern w:val="0"/>
                <w:sz w:val="22"/>
                <w:szCs w:val="22"/>
                <w:u w:val="none"/>
                <w:lang w:val="en-US" w:eastAsia="zh-CN" w:bidi="ar"/>
              </w:rPr>
              <w:t>385.46</w:t>
            </w:r>
          </w:p>
        </w:tc>
        <w:tc>
          <w:tcPr>
            <w:tcW w:w="1747"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4"/>
                <w:szCs w:val="24"/>
                <w:lang w:val="en-US" w:eastAsia="zh-CN" w:bidi="ar-SA"/>
              </w:rPr>
            </w:pPr>
            <w:r>
              <w:rPr>
                <w:rFonts w:hint="eastAsia" w:ascii="宋体" w:hAnsi="宋体" w:eastAsia="宋体" w:cs="宋体"/>
                <w:b/>
                <w:bCs/>
                <w:i w:val="0"/>
                <w:iCs w:val="0"/>
                <w:color w:val="000000"/>
                <w:kern w:val="0"/>
                <w:sz w:val="22"/>
                <w:szCs w:val="22"/>
                <w:u w:val="none"/>
                <w:lang w:val="en-US" w:eastAsia="zh-CN" w:bidi="ar"/>
              </w:rPr>
              <w:t>283.24</w:t>
            </w:r>
          </w:p>
        </w:tc>
      </w:tr>
      <w:tr>
        <w:tblPrEx>
          <w:tblCellMar>
            <w:top w:w="0" w:type="dxa"/>
            <w:left w:w="108" w:type="dxa"/>
            <w:bottom w:w="0" w:type="dxa"/>
            <w:right w:w="108" w:type="dxa"/>
          </w:tblCellMar>
        </w:tblPrEx>
        <w:trPr>
          <w:trHeight w:val="312" w:hRule="atLeast"/>
          <w:jc w:val="center"/>
        </w:trPr>
        <w:tc>
          <w:tcPr>
            <w:tcW w:w="0" w:type="auto"/>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ind w:left="0" w:leftChars="0" w:right="0" w:rightChars="0" w:firstLine="0" w:firstLineChars="0"/>
              <w:jc w:val="left"/>
              <w:textAlignment w:val="center"/>
              <w:rPr>
                <w:rFonts w:hint="default"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ind w:left="0" w:leftChars="0" w:right="0" w:rightChars="0" w:firstLine="0" w:firstLineChars="0"/>
              <w:jc w:val="left"/>
              <w:textAlignment w:val="center"/>
              <w:rPr>
                <w:rFonts w:hint="eastAsia"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一般公共服务支出</w:t>
            </w:r>
          </w:p>
        </w:tc>
        <w:tc>
          <w:tcPr>
            <w:tcW w:w="0" w:type="auto"/>
            <w:tcBorders>
              <w:top w:val="nil"/>
              <w:left w:val="nil"/>
              <w:bottom w:val="single" w:color="auto" w:sz="4" w:space="0"/>
              <w:right w:val="single" w:color="auto" w:sz="4" w:space="0"/>
            </w:tcBorders>
            <w:shd w:val="clear" w:color="auto" w:fill="auto"/>
            <w:vAlign w:val="center"/>
          </w:tcPr>
          <w:p>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82.79</w:t>
            </w:r>
          </w:p>
        </w:tc>
        <w:tc>
          <w:tcPr>
            <w:tcW w:w="0" w:type="auto"/>
            <w:tcBorders>
              <w:top w:val="nil"/>
              <w:left w:val="nil"/>
              <w:bottom w:val="single" w:color="auto" w:sz="4" w:space="0"/>
              <w:right w:val="single" w:color="auto" w:sz="4" w:space="0"/>
            </w:tcBorders>
            <w:shd w:val="clear" w:color="auto" w:fill="auto"/>
            <w:vAlign w:val="center"/>
          </w:tcPr>
          <w:p>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82.79</w:t>
            </w:r>
          </w:p>
        </w:tc>
        <w:tc>
          <w:tcPr>
            <w:tcW w:w="1747" w:type="dxa"/>
            <w:tcBorders>
              <w:top w:val="nil"/>
              <w:left w:val="nil"/>
              <w:bottom w:val="single" w:color="auto" w:sz="4" w:space="0"/>
              <w:right w:val="single" w:color="auto" w:sz="8" w:space="0"/>
            </w:tcBorders>
            <w:shd w:val="clear" w:color="auto" w:fill="auto"/>
            <w:vAlign w:val="center"/>
          </w:tcPr>
          <w:p>
            <w:pPr>
              <w:ind w:left="0" w:leftChars="0" w:right="0" w:rightChars="0" w:firstLine="0" w:firstLineChars="0"/>
              <w:jc w:val="center"/>
              <w:rPr>
                <w:rFonts w:ascii="Times New Roman" w:hAnsi="Times New Roman" w:eastAsia="仿宋_GB2312" w:cs="Times New Roman"/>
                <w:kern w:val="0"/>
                <w:sz w:val="24"/>
                <w:szCs w:val="24"/>
                <w:lang w:val="en-US" w:eastAsia="zh-CN" w:bidi="ar-SA"/>
              </w:rPr>
            </w:pPr>
          </w:p>
        </w:tc>
      </w:tr>
      <w:tr>
        <w:tblPrEx>
          <w:tblCellMar>
            <w:top w:w="0" w:type="dxa"/>
            <w:left w:w="108" w:type="dxa"/>
            <w:bottom w:w="0" w:type="dxa"/>
            <w:right w:w="108" w:type="dxa"/>
          </w:tblCellMar>
        </w:tblPrEx>
        <w:trPr>
          <w:trHeight w:val="312" w:hRule="atLeast"/>
          <w:jc w:val="center"/>
        </w:trPr>
        <w:tc>
          <w:tcPr>
            <w:tcW w:w="0" w:type="auto"/>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ind w:left="0" w:leftChars="0" w:right="0" w:rightChars="0" w:firstLine="0" w:firstLineChars="0"/>
              <w:jc w:val="left"/>
              <w:textAlignment w:val="center"/>
              <w:rPr>
                <w:rFonts w:hint="default"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20131</w:t>
            </w:r>
          </w:p>
        </w:tc>
        <w:tc>
          <w:tcPr>
            <w:tcW w:w="0" w:type="auto"/>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ind w:left="0" w:leftChars="0" w:right="0" w:rightChars="0" w:firstLine="0" w:firstLineChars="0"/>
              <w:jc w:val="left"/>
              <w:textAlignment w:val="center"/>
              <w:rPr>
                <w:rFonts w:hint="eastAsia"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党委办公厅（室）及相关机构事务</w:t>
            </w:r>
          </w:p>
        </w:tc>
        <w:tc>
          <w:tcPr>
            <w:tcW w:w="0" w:type="auto"/>
            <w:tcBorders>
              <w:top w:val="nil"/>
              <w:left w:val="nil"/>
              <w:bottom w:val="single" w:color="auto" w:sz="4" w:space="0"/>
              <w:right w:val="single" w:color="auto" w:sz="4" w:space="0"/>
            </w:tcBorders>
            <w:shd w:val="clear" w:color="auto" w:fill="auto"/>
            <w:vAlign w:val="center"/>
          </w:tcPr>
          <w:p>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82.79</w:t>
            </w:r>
          </w:p>
        </w:tc>
        <w:tc>
          <w:tcPr>
            <w:tcW w:w="0" w:type="auto"/>
            <w:tcBorders>
              <w:top w:val="nil"/>
              <w:left w:val="nil"/>
              <w:bottom w:val="single" w:color="auto" w:sz="4" w:space="0"/>
              <w:right w:val="single" w:color="auto" w:sz="4" w:space="0"/>
            </w:tcBorders>
            <w:shd w:val="clear" w:color="auto" w:fill="auto"/>
            <w:vAlign w:val="center"/>
          </w:tcPr>
          <w:p>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82.79</w:t>
            </w:r>
          </w:p>
        </w:tc>
        <w:tc>
          <w:tcPr>
            <w:tcW w:w="1747" w:type="dxa"/>
            <w:tcBorders>
              <w:top w:val="nil"/>
              <w:left w:val="nil"/>
              <w:bottom w:val="single" w:color="auto" w:sz="4" w:space="0"/>
              <w:right w:val="single" w:color="auto" w:sz="8" w:space="0"/>
            </w:tcBorders>
            <w:shd w:val="clear" w:color="auto" w:fill="auto"/>
            <w:vAlign w:val="center"/>
          </w:tcPr>
          <w:p>
            <w:pPr>
              <w:ind w:left="0" w:leftChars="0" w:right="0" w:rightChars="0" w:firstLine="0" w:firstLineChars="0"/>
              <w:jc w:val="center"/>
              <w:rPr>
                <w:rFonts w:ascii="Times New Roman" w:hAnsi="Times New Roman" w:eastAsia="仿宋_GB2312" w:cs="Times New Roman"/>
                <w:kern w:val="0"/>
                <w:sz w:val="24"/>
                <w:szCs w:val="24"/>
                <w:lang w:val="en-US" w:eastAsia="zh-CN" w:bidi="ar-SA"/>
              </w:rPr>
            </w:pPr>
          </w:p>
        </w:tc>
      </w:tr>
      <w:tr>
        <w:tblPrEx>
          <w:tblCellMar>
            <w:top w:w="0" w:type="dxa"/>
            <w:left w:w="108" w:type="dxa"/>
            <w:bottom w:w="0" w:type="dxa"/>
            <w:right w:w="108" w:type="dxa"/>
          </w:tblCellMar>
        </w:tblPrEx>
        <w:trPr>
          <w:trHeight w:val="312" w:hRule="atLeast"/>
          <w:jc w:val="center"/>
        </w:trPr>
        <w:tc>
          <w:tcPr>
            <w:tcW w:w="0" w:type="auto"/>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ind w:left="0" w:leftChars="0" w:right="0" w:rightChars="0" w:firstLine="0" w:firstLineChars="0"/>
              <w:jc w:val="left"/>
              <w:textAlignment w:val="center"/>
              <w:rPr>
                <w:rFonts w:hint="default"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2013101</w:t>
            </w:r>
          </w:p>
        </w:tc>
        <w:tc>
          <w:tcPr>
            <w:tcW w:w="0" w:type="auto"/>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ind w:left="0" w:leftChars="0" w:right="0" w:rightChars="0" w:firstLine="0" w:firstLineChars="0"/>
              <w:jc w:val="left"/>
              <w:textAlignment w:val="center"/>
              <w:rPr>
                <w:rFonts w:hint="eastAsia"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nil"/>
              <w:left w:val="nil"/>
              <w:bottom w:val="single" w:color="auto" w:sz="4" w:space="0"/>
              <w:right w:val="single" w:color="auto" w:sz="4" w:space="0"/>
            </w:tcBorders>
            <w:shd w:val="clear" w:color="auto" w:fill="auto"/>
            <w:vAlign w:val="center"/>
          </w:tcPr>
          <w:p>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82.79</w:t>
            </w:r>
          </w:p>
        </w:tc>
        <w:tc>
          <w:tcPr>
            <w:tcW w:w="0" w:type="auto"/>
            <w:tcBorders>
              <w:top w:val="nil"/>
              <w:left w:val="nil"/>
              <w:bottom w:val="single" w:color="auto" w:sz="4" w:space="0"/>
              <w:right w:val="single" w:color="auto" w:sz="4" w:space="0"/>
            </w:tcBorders>
            <w:shd w:val="clear" w:color="auto" w:fill="auto"/>
            <w:vAlign w:val="center"/>
          </w:tcPr>
          <w:p>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82.79</w:t>
            </w:r>
          </w:p>
        </w:tc>
        <w:tc>
          <w:tcPr>
            <w:tcW w:w="1747" w:type="dxa"/>
            <w:tcBorders>
              <w:top w:val="nil"/>
              <w:left w:val="nil"/>
              <w:bottom w:val="single" w:color="auto" w:sz="4" w:space="0"/>
              <w:right w:val="single" w:color="auto" w:sz="8" w:space="0"/>
            </w:tcBorders>
            <w:shd w:val="clear" w:color="auto" w:fill="auto"/>
            <w:vAlign w:val="center"/>
          </w:tcPr>
          <w:p>
            <w:pPr>
              <w:ind w:left="0" w:leftChars="0" w:right="0" w:rightChars="0" w:firstLine="0" w:firstLineChars="0"/>
              <w:jc w:val="center"/>
              <w:rPr>
                <w:rFonts w:ascii="Times New Roman" w:hAnsi="Times New Roman" w:eastAsia="仿宋_GB2312" w:cs="Times New Roman"/>
                <w:kern w:val="0"/>
                <w:sz w:val="24"/>
                <w:szCs w:val="24"/>
                <w:lang w:val="en-US" w:eastAsia="zh-CN" w:bidi="ar-SA"/>
              </w:rPr>
            </w:pPr>
          </w:p>
        </w:tc>
      </w:tr>
      <w:tr>
        <w:tblPrEx>
          <w:tblCellMar>
            <w:top w:w="0" w:type="dxa"/>
            <w:left w:w="108" w:type="dxa"/>
            <w:bottom w:w="0" w:type="dxa"/>
            <w:right w:w="108" w:type="dxa"/>
          </w:tblCellMar>
        </w:tblPrEx>
        <w:trPr>
          <w:trHeight w:val="312" w:hRule="atLeast"/>
          <w:jc w:val="center"/>
        </w:trPr>
        <w:tc>
          <w:tcPr>
            <w:tcW w:w="0" w:type="auto"/>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ind w:left="0" w:leftChars="0" w:right="0" w:rightChars="0" w:firstLine="0" w:firstLineChars="0"/>
              <w:jc w:val="left"/>
              <w:textAlignment w:val="center"/>
              <w:rPr>
                <w:rFonts w:hint="default"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205</w:t>
            </w:r>
          </w:p>
        </w:tc>
        <w:tc>
          <w:tcPr>
            <w:tcW w:w="0" w:type="auto"/>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ind w:left="0" w:leftChars="0" w:right="0" w:rightChars="0" w:firstLine="0" w:firstLineChars="0"/>
              <w:jc w:val="left"/>
              <w:textAlignment w:val="center"/>
              <w:rPr>
                <w:rFonts w:hint="default"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教育支出</w:t>
            </w:r>
          </w:p>
        </w:tc>
        <w:tc>
          <w:tcPr>
            <w:tcW w:w="0" w:type="auto"/>
            <w:tcBorders>
              <w:top w:val="nil"/>
              <w:left w:val="nil"/>
              <w:bottom w:val="single" w:color="auto" w:sz="4" w:space="0"/>
              <w:right w:val="single" w:color="auto" w:sz="4" w:space="0"/>
            </w:tcBorders>
            <w:shd w:val="clear" w:color="auto" w:fill="auto"/>
            <w:vAlign w:val="center"/>
          </w:tcPr>
          <w:p>
            <w:pPr>
              <w:keepNext w:val="0"/>
              <w:keepLines w:val="0"/>
              <w:widowControl/>
              <w:suppressLineNumbers w:val="0"/>
              <w:ind w:left="0" w:leftChars="0" w:right="0" w:rightChars="0" w:firstLine="0" w:firstLineChars="0"/>
              <w:jc w:val="center"/>
              <w:textAlignment w:val="center"/>
              <w:rPr>
                <w:rFonts w:hint="eastAsia"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523.39</w:t>
            </w:r>
          </w:p>
        </w:tc>
        <w:tc>
          <w:tcPr>
            <w:tcW w:w="0" w:type="auto"/>
            <w:tcBorders>
              <w:top w:val="nil"/>
              <w:left w:val="nil"/>
              <w:bottom w:val="single" w:color="auto" w:sz="4" w:space="0"/>
              <w:right w:val="single" w:color="auto" w:sz="4" w:space="0"/>
            </w:tcBorders>
            <w:shd w:val="clear" w:color="auto" w:fill="auto"/>
            <w:vAlign w:val="center"/>
          </w:tcPr>
          <w:p>
            <w:pPr>
              <w:keepNext w:val="0"/>
              <w:keepLines w:val="0"/>
              <w:widowControl/>
              <w:suppressLineNumbers w:val="0"/>
              <w:ind w:left="0" w:leftChars="0" w:right="0" w:rightChars="0" w:firstLine="0" w:firstLineChars="0"/>
              <w:jc w:val="center"/>
              <w:textAlignment w:val="center"/>
              <w:rPr>
                <w:rFonts w:hint="eastAsia"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240.15</w:t>
            </w:r>
          </w:p>
        </w:tc>
        <w:tc>
          <w:tcPr>
            <w:tcW w:w="1747"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ind w:left="0" w:leftChars="0" w:right="0" w:rightChars="0" w:firstLine="0" w:firstLineChars="0"/>
              <w:jc w:val="center"/>
              <w:textAlignment w:val="center"/>
              <w:rPr>
                <w:rFonts w:hint="eastAsia"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283.24</w:t>
            </w:r>
          </w:p>
        </w:tc>
      </w:tr>
      <w:tr>
        <w:tblPrEx>
          <w:tblCellMar>
            <w:top w:w="0" w:type="dxa"/>
            <w:left w:w="108" w:type="dxa"/>
            <w:bottom w:w="0" w:type="dxa"/>
            <w:right w:w="108" w:type="dxa"/>
          </w:tblCellMar>
        </w:tblPrEx>
        <w:trPr>
          <w:trHeight w:val="312" w:hRule="atLeast"/>
          <w:jc w:val="center"/>
        </w:trPr>
        <w:tc>
          <w:tcPr>
            <w:tcW w:w="0" w:type="auto"/>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ind w:left="0" w:leftChars="0" w:right="0" w:rightChars="0" w:firstLine="0" w:firstLineChars="0"/>
              <w:jc w:val="left"/>
              <w:textAlignment w:val="center"/>
              <w:rPr>
                <w:rFonts w:hint="default"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20508</w:t>
            </w:r>
          </w:p>
        </w:tc>
        <w:tc>
          <w:tcPr>
            <w:tcW w:w="0" w:type="auto"/>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ind w:left="0" w:leftChars="0" w:right="0" w:rightChars="0" w:firstLine="0" w:firstLineChars="0"/>
              <w:jc w:val="left"/>
              <w:textAlignment w:val="center"/>
              <w:rPr>
                <w:rFonts w:hint="default"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进修及培训</w:t>
            </w:r>
          </w:p>
        </w:tc>
        <w:tc>
          <w:tcPr>
            <w:tcW w:w="0" w:type="auto"/>
            <w:tcBorders>
              <w:top w:val="nil"/>
              <w:left w:val="nil"/>
              <w:bottom w:val="single" w:color="auto" w:sz="4" w:space="0"/>
              <w:right w:val="single" w:color="auto" w:sz="4" w:space="0"/>
            </w:tcBorders>
            <w:shd w:val="clear" w:color="auto" w:fill="auto"/>
            <w:vAlign w:val="center"/>
          </w:tcPr>
          <w:p>
            <w:pPr>
              <w:keepNext w:val="0"/>
              <w:keepLines w:val="0"/>
              <w:widowControl/>
              <w:suppressLineNumbers w:val="0"/>
              <w:ind w:left="0" w:leftChars="0" w:right="0" w:rightChars="0" w:firstLine="0" w:firstLineChars="0"/>
              <w:jc w:val="center"/>
              <w:textAlignment w:val="center"/>
              <w:rPr>
                <w:rFonts w:hint="eastAsia"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523.39</w:t>
            </w:r>
          </w:p>
        </w:tc>
        <w:tc>
          <w:tcPr>
            <w:tcW w:w="0" w:type="auto"/>
            <w:tcBorders>
              <w:top w:val="nil"/>
              <w:left w:val="nil"/>
              <w:bottom w:val="single" w:color="auto" w:sz="4" w:space="0"/>
              <w:right w:val="single" w:color="auto" w:sz="4" w:space="0"/>
            </w:tcBorders>
            <w:shd w:val="clear" w:color="auto" w:fill="auto"/>
            <w:vAlign w:val="center"/>
          </w:tcPr>
          <w:p>
            <w:pPr>
              <w:keepNext w:val="0"/>
              <w:keepLines w:val="0"/>
              <w:widowControl/>
              <w:suppressLineNumbers w:val="0"/>
              <w:ind w:left="0" w:leftChars="0" w:right="0" w:rightChars="0" w:firstLine="0" w:firstLineChars="0"/>
              <w:jc w:val="center"/>
              <w:textAlignment w:val="center"/>
              <w:rPr>
                <w:rFonts w:hint="eastAsia"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240.15</w:t>
            </w:r>
          </w:p>
        </w:tc>
        <w:tc>
          <w:tcPr>
            <w:tcW w:w="1747"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ind w:left="0" w:leftChars="0" w:right="0" w:rightChars="0" w:firstLine="0" w:firstLineChars="0"/>
              <w:jc w:val="center"/>
              <w:textAlignment w:val="center"/>
              <w:rPr>
                <w:rFonts w:hint="eastAsia"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283.24</w:t>
            </w:r>
          </w:p>
        </w:tc>
      </w:tr>
      <w:tr>
        <w:tblPrEx>
          <w:tblCellMar>
            <w:top w:w="0" w:type="dxa"/>
            <w:left w:w="108" w:type="dxa"/>
            <w:bottom w:w="0" w:type="dxa"/>
            <w:right w:w="108" w:type="dxa"/>
          </w:tblCellMar>
        </w:tblPrEx>
        <w:trPr>
          <w:trHeight w:val="312" w:hRule="atLeast"/>
          <w:jc w:val="center"/>
        </w:trPr>
        <w:tc>
          <w:tcPr>
            <w:tcW w:w="0" w:type="auto"/>
            <w:tcBorders>
              <w:top w:val="single" w:color="auto" w:sz="4" w:space="0"/>
              <w:left w:val="single" w:color="auto" w:sz="8" w:space="0"/>
              <w:bottom w:val="single" w:color="auto" w:sz="8" w:space="0"/>
              <w:right w:val="single" w:color="auto" w:sz="4" w:space="0"/>
            </w:tcBorders>
            <w:shd w:val="clear" w:color="000000" w:fill="FFFFFF"/>
            <w:vAlign w:val="center"/>
          </w:tcPr>
          <w:p>
            <w:pPr>
              <w:keepNext w:val="0"/>
              <w:keepLines w:val="0"/>
              <w:widowControl/>
              <w:suppressLineNumbers w:val="0"/>
              <w:ind w:left="0" w:leftChars="0" w:right="0" w:rightChars="0" w:firstLine="0" w:firstLineChars="0"/>
              <w:jc w:val="left"/>
              <w:textAlignment w:val="center"/>
              <w:rPr>
                <w:rFonts w:hint="default"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2050802</w:t>
            </w:r>
          </w:p>
        </w:tc>
        <w:tc>
          <w:tcPr>
            <w:tcW w:w="0" w:type="auto"/>
            <w:tcBorders>
              <w:top w:val="nil"/>
              <w:left w:val="nil"/>
              <w:bottom w:val="single" w:color="auto" w:sz="8" w:space="0"/>
              <w:right w:val="single" w:color="auto" w:sz="4" w:space="0"/>
            </w:tcBorders>
            <w:shd w:val="clear" w:color="000000" w:fill="FFFFFF"/>
            <w:vAlign w:val="center"/>
          </w:tcPr>
          <w:p>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干部教育</w:t>
            </w:r>
          </w:p>
        </w:tc>
        <w:tc>
          <w:tcPr>
            <w:tcW w:w="0" w:type="auto"/>
            <w:tcBorders>
              <w:top w:val="nil"/>
              <w:left w:val="nil"/>
              <w:bottom w:val="single" w:color="auto" w:sz="8" w:space="0"/>
              <w:right w:val="single" w:color="auto" w:sz="4" w:space="0"/>
            </w:tcBorders>
            <w:shd w:val="clear" w:color="auto" w:fill="auto"/>
            <w:vAlign w:val="center"/>
          </w:tcPr>
          <w:p>
            <w:pPr>
              <w:keepNext w:val="0"/>
              <w:keepLines w:val="0"/>
              <w:widowControl/>
              <w:suppressLineNumbers w:val="0"/>
              <w:ind w:left="0" w:leftChars="0" w:right="0" w:rightChars="0" w:firstLine="0" w:firstLineChars="0"/>
              <w:jc w:val="center"/>
              <w:textAlignment w:val="center"/>
              <w:rPr>
                <w:rFonts w:hint="eastAsia"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473.02</w:t>
            </w:r>
          </w:p>
        </w:tc>
        <w:tc>
          <w:tcPr>
            <w:tcW w:w="0" w:type="auto"/>
            <w:tcBorders>
              <w:top w:val="nil"/>
              <w:left w:val="nil"/>
              <w:bottom w:val="single" w:color="auto" w:sz="8" w:space="0"/>
              <w:right w:val="single" w:color="auto" w:sz="4" w:space="0"/>
            </w:tcBorders>
            <w:shd w:val="clear" w:color="auto" w:fill="auto"/>
            <w:vAlign w:val="center"/>
          </w:tcPr>
          <w:p>
            <w:pPr>
              <w:keepNext w:val="0"/>
              <w:keepLines w:val="0"/>
              <w:widowControl/>
              <w:suppressLineNumbers w:val="0"/>
              <w:ind w:left="0" w:leftChars="0" w:right="0" w:rightChars="0" w:firstLine="0" w:firstLineChars="0"/>
              <w:jc w:val="center"/>
              <w:textAlignment w:val="center"/>
              <w:rPr>
                <w:rFonts w:hint="eastAsia"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240.15</w:t>
            </w:r>
          </w:p>
        </w:tc>
        <w:tc>
          <w:tcPr>
            <w:tcW w:w="1747"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ind w:left="0" w:leftChars="0" w:right="0" w:rightChars="0" w:firstLine="0" w:firstLineChars="0"/>
              <w:jc w:val="center"/>
              <w:textAlignment w:val="center"/>
              <w:rPr>
                <w:rFonts w:hint="eastAsia"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232.87</w:t>
            </w:r>
          </w:p>
        </w:tc>
      </w:tr>
      <w:tr>
        <w:tblPrEx>
          <w:tblCellMar>
            <w:top w:w="0" w:type="dxa"/>
            <w:left w:w="108" w:type="dxa"/>
            <w:bottom w:w="0" w:type="dxa"/>
            <w:right w:w="108" w:type="dxa"/>
          </w:tblCellMar>
        </w:tblPrEx>
        <w:trPr>
          <w:trHeight w:val="312" w:hRule="atLeast"/>
          <w:jc w:val="center"/>
        </w:trPr>
        <w:tc>
          <w:tcPr>
            <w:tcW w:w="0" w:type="auto"/>
            <w:tcBorders>
              <w:top w:val="single" w:color="auto" w:sz="4" w:space="0"/>
              <w:left w:val="single" w:color="auto" w:sz="8" w:space="0"/>
              <w:bottom w:val="single" w:color="auto" w:sz="8" w:space="0"/>
              <w:right w:val="single" w:color="auto" w:sz="4" w:space="0"/>
            </w:tcBorders>
            <w:shd w:val="clear" w:color="000000" w:fill="FFFFFF"/>
            <w:vAlign w:val="center"/>
          </w:tcPr>
          <w:p>
            <w:pPr>
              <w:keepNext w:val="0"/>
              <w:keepLines w:val="0"/>
              <w:widowControl/>
              <w:suppressLineNumbers w:val="0"/>
              <w:ind w:left="0" w:leftChars="0" w:right="0" w:rightChars="0" w:firstLine="0" w:firstLineChars="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2050803</w:t>
            </w:r>
          </w:p>
        </w:tc>
        <w:tc>
          <w:tcPr>
            <w:tcW w:w="0" w:type="auto"/>
            <w:tcBorders>
              <w:top w:val="nil"/>
              <w:left w:val="nil"/>
              <w:bottom w:val="single" w:color="auto" w:sz="8" w:space="0"/>
              <w:right w:val="single" w:color="auto" w:sz="4" w:space="0"/>
            </w:tcBorders>
            <w:shd w:val="clear" w:color="000000" w:fill="FFFFFF"/>
            <w:vAlign w:val="center"/>
          </w:tcPr>
          <w:p>
            <w:pPr>
              <w:keepNext w:val="0"/>
              <w:keepLines w:val="0"/>
              <w:widowControl/>
              <w:suppressLineNumbers w:val="0"/>
              <w:ind w:left="0" w:leftChars="0" w:right="0" w:rightChars="0" w:firstLine="0" w:firstLineChars="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培训支出</w:t>
            </w:r>
          </w:p>
        </w:tc>
        <w:tc>
          <w:tcPr>
            <w:tcW w:w="0" w:type="auto"/>
            <w:tcBorders>
              <w:top w:val="nil"/>
              <w:left w:val="nil"/>
              <w:bottom w:val="single" w:color="auto" w:sz="8" w:space="0"/>
              <w:right w:val="single" w:color="auto" w:sz="4" w:space="0"/>
            </w:tcBorders>
            <w:shd w:val="clear" w:color="auto" w:fill="auto"/>
            <w:vAlign w:val="center"/>
          </w:tcPr>
          <w:p>
            <w:pPr>
              <w:keepNext w:val="0"/>
              <w:keepLines w:val="0"/>
              <w:widowControl/>
              <w:suppressLineNumbers w:val="0"/>
              <w:ind w:left="0" w:leftChars="0" w:right="0" w:rightChars="0" w:firstLine="0" w:firstLineChars="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50.37</w:t>
            </w:r>
          </w:p>
        </w:tc>
        <w:tc>
          <w:tcPr>
            <w:tcW w:w="0" w:type="auto"/>
            <w:tcBorders>
              <w:top w:val="nil"/>
              <w:left w:val="nil"/>
              <w:bottom w:val="single" w:color="auto" w:sz="8" w:space="0"/>
              <w:right w:val="single" w:color="auto" w:sz="4" w:space="0"/>
            </w:tcBorders>
            <w:shd w:val="clear" w:color="auto" w:fill="auto"/>
            <w:vAlign w:val="center"/>
          </w:tcPr>
          <w:p>
            <w:pPr>
              <w:ind w:left="0" w:leftChars="0" w:right="0" w:rightChars="0" w:firstLine="0" w:firstLineChars="0"/>
              <w:jc w:val="center"/>
              <w:rPr>
                <w:rFonts w:hint="eastAsia" w:ascii="Times New Roman" w:hAnsi="Times New Roman" w:eastAsia="仿宋_GB2312" w:cs="Times New Roman"/>
                <w:kern w:val="0"/>
                <w:sz w:val="24"/>
                <w:szCs w:val="24"/>
                <w:lang w:val="en-US" w:eastAsia="zh-CN"/>
              </w:rPr>
            </w:pPr>
          </w:p>
        </w:tc>
        <w:tc>
          <w:tcPr>
            <w:tcW w:w="1747"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ind w:left="0" w:leftChars="0" w:right="0" w:rightChars="0" w:firstLine="0" w:firstLineChars="0"/>
              <w:jc w:val="center"/>
              <w:textAlignment w:val="center"/>
              <w:rPr>
                <w:rFonts w:hint="eastAsia"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50.37</w:t>
            </w:r>
          </w:p>
        </w:tc>
      </w:tr>
      <w:tr>
        <w:tblPrEx>
          <w:tblCellMar>
            <w:top w:w="0" w:type="dxa"/>
            <w:left w:w="108" w:type="dxa"/>
            <w:bottom w:w="0" w:type="dxa"/>
            <w:right w:w="108" w:type="dxa"/>
          </w:tblCellMar>
        </w:tblPrEx>
        <w:trPr>
          <w:trHeight w:val="312" w:hRule="atLeast"/>
          <w:jc w:val="center"/>
        </w:trPr>
        <w:tc>
          <w:tcPr>
            <w:tcW w:w="0" w:type="auto"/>
            <w:tcBorders>
              <w:top w:val="single" w:color="auto" w:sz="4" w:space="0"/>
              <w:left w:val="single" w:color="auto" w:sz="8" w:space="0"/>
              <w:bottom w:val="single" w:color="auto" w:sz="8" w:space="0"/>
              <w:right w:val="single" w:color="auto" w:sz="4" w:space="0"/>
            </w:tcBorders>
            <w:shd w:val="clear" w:color="000000" w:fill="FFFFFF"/>
            <w:vAlign w:val="center"/>
          </w:tcPr>
          <w:p>
            <w:pPr>
              <w:keepNext w:val="0"/>
              <w:keepLines w:val="0"/>
              <w:widowControl/>
              <w:suppressLineNumbers w:val="0"/>
              <w:ind w:left="0" w:leftChars="0" w:right="0" w:rightChars="0" w:firstLine="0" w:firstLineChars="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nil"/>
              <w:left w:val="nil"/>
              <w:bottom w:val="single" w:color="auto" w:sz="8" w:space="0"/>
              <w:right w:val="single" w:color="auto" w:sz="4" w:space="0"/>
            </w:tcBorders>
            <w:shd w:val="clear" w:color="000000" w:fill="FFFFFF"/>
            <w:vAlign w:val="center"/>
          </w:tcPr>
          <w:p>
            <w:pPr>
              <w:keepNext w:val="0"/>
              <w:keepLines w:val="0"/>
              <w:widowControl/>
              <w:suppressLineNumbers w:val="0"/>
              <w:ind w:left="0" w:leftChars="0" w:right="0" w:rightChars="0" w:firstLine="0" w:firstLineChars="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nil"/>
              <w:left w:val="nil"/>
              <w:bottom w:val="single" w:color="auto" w:sz="8" w:space="0"/>
              <w:right w:val="single" w:color="auto" w:sz="4" w:space="0"/>
            </w:tcBorders>
            <w:shd w:val="clear" w:color="auto" w:fill="auto"/>
            <w:vAlign w:val="center"/>
          </w:tcPr>
          <w:p>
            <w:pPr>
              <w:keepNext w:val="0"/>
              <w:keepLines w:val="0"/>
              <w:widowControl/>
              <w:suppressLineNumbers w:val="0"/>
              <w:ind w:left="0" w:leftChars="0" w:right="0" w:rightChars="0" w:firstLine="0" w:firstLineChars="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46.25</w:t>
            </w:r>
          </w:p>
        </w:tc>
        <w:tc>
          <w:tcPr>
            <w:tcW w:w="0" w:type="auto"/>
            <w:tcBorders>
              <w:top w:val="nil"/>
              <w:left w:val="nil"/>
              <w:bottom w:val="single" w:color="auto" w:sz="8" w:space="0"/>
              <w:right w:val="single" w:color="auto" w:sz="4" w:space="0"/>
            </w:tcBorders>
            <w:shd w:val="clear" w:color="auto" w:fill="auto"/>
            <w:vAlign w:val="center"/>
          </w:tcPr>
          <w:p>
            <w:pPr>
              <w:keepNext w:val="0"/>
              <w:keepLines w:val="0"/>
              <w:widowControl/>
              <w:suppressLineNumbers w:val="0"/>
              <w:ind w:left="0" w:leftChars="0" w:right="0" w:rightChars="0" w:firstLine="0" w:firstLineChars="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46.25</w:t>
            </w:r>
          </w:p>
        </w:tc>
        <w:tc>
          <w:tcPr>
            <w:tcW w:w="1747" w:type="dxa"/>
            <w:tcBorders>
              <w:top w:val="nil"/>
              <w:left w:val="nil"/>
              <w:bottom w:val="single" w:color="auto" w:sz="8" w:space="0"/>
              <w:right w:val="single" w:color="auto" w:sz="8" w:space="0"/>
            </w:tcBorders>
            <w:shd w:val="clear" w:color="auto" w:fill="auto"/>
            <w:vAlign w:val="center"/>
          </w:tcPr>
          <w:p>
            <w:pPr>
              <w:ind w:left="0" w:leftChars="0" w:right="0" w:rightChars="0" w:firstLine="0" w:firstLineChars="0"/>
              <w:jc w:val="center"/>
              <w:rPr>
                <w:rFonts w:hint="eastAsia" w:ascii="Times New Roman" w:hAnsi="Times New Roman" w:eastAsia="仿宋_GB2312" w:cs="Times New Roman"/>
                <w:kern w:val="0"/>
                <w:sz w:val="24"/>
                <w:szCs w:val="24"/>
                <w:lang w:val="en-US" w:eastAsia="zh-CN" w:bidi="ar-SA"/>
              </w:rPr>
            </w:pPr>
          </w:p>
        </w:tc>
      </w:tr>
      <w:tr>
        <w:tblPrEx>
          <w:tblCellMar>
            <w:top w:w="0" w:type="dxa"/>
            <w:left w:w="108" w:type="dxa"/>
            <w:bottom w:w="0" w:type="dxa"/>
            <w:right w:w="108" w:type="dxa"/>
          </w:tblCellMar>
        </w:tblPrEx>
        <w:trPr>
          <w:trHeight w:val="312" w:hRule="atLeast"/>
          <w:jc w:val="center"/>
        </w:trPr>
        <w:tc>
          <w:tcPr>
            <w:tcW w:w="0" w:type="auto"/>
            <w:tcBorders>
              <w:top w:val="single" w:color="auto" w:sz="4" w:space="0"/>
              <w:left w:val="single" w:color="auto" w:sz="8" w:space="0"/>
              <w:bottom w:val="single" w:color="auto" w:sz="8" w:space="0"/>
              <w:right w:val="single" w:color="auto" w:sz="4" w:space="0"/>
            </w:tcBorders>
            <w:shd w:val="clear" w:color="000000" w:fill="FFFFFF"/>
            <w:vAlign w:val="center"/>
          </w:tcPr>
          <w:p>
            <w:pPr>
              <w:keepNext w:val="0"/>
              <w:keepLines w:val="0"/>
              <w:widowControl/>
              <w:suppressLineNumbers w:val="0"/>
              <w:ind w:left="0" w:leftChars="0" w:right="0" w:rightChars="0" w:firstLine="0" w:firstLineChars="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nil"/>
              <w:left w:val="nil"/>
              <w:bottom w:val="single" w:color="auto" w:sz="8" w:space="0"/>
              <w:right w:val="single" w:color="auto" w:sz="4" w:space="0"/>
            </w:tcBorders>
            <w:shd w:val="clear" w:color="000000" w:fill="FFFFFF"/>
            <w:vAlign w:val="center"/>
          </w:tcPr>
          <w:p>
            <w:pPr>
              <w:keepNext w:val="0"/>
              <w:keepLines w:val="0"/>
              <w:widowControl/>
              <w:suppressLineNumbers w:val="0"/>
              <w:ind w:left="0" w:leftChars="0" w:right="0" w:rightChars="0" w:firstLine="0" w:firstLineChars="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nil"/>
              <w:left w:val="nil"/>
              <w:bottom w:val="single" w:color="auto" w:sz="8" w:space="0"/>
              <w:right w:val="single" w:color="auto" w:sz="4" w:space="0"/>
            </w:tcBorders>
            <w:shd w:val="clear" w:color="auto" w:fill="auto"/>
            <w:vAlign w:val="center"/>
          </w:tcPr>
          <w:p>
            <w:pPr>
              <w:keepNext w:val="0"/>
              <w:keepLines w:val="0"/>
              <w:widowControl/>
              <w:suppressLineNumbers w:val="0"/>
              <w:ind w:left="0" w:leftChars="0" w:right="0" w:rightChars="0" w:firstLine="0" w:firstLineChars="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29.93</w:t>
            </w:r>
          </w:p>
        </w:tc>
        <w:tc>
          <w:tcPr>
            <w:tcW w:w="0" w:type="auto"/>
            <w:tcBorders>
              <w:top w:val="nil"/>
              <w:left w:val="nil"/>
              <w:bottom w:val="single" w:color="auto" w:sz="8" w:space="0"/>
              <w:right w:val="single" w:color="auto" w:sz="4" w:space="0"/>
            </w:tcBorders>
            <w:shd w:val="clear" w:color="auto" w:fill="auto"/>
            <w:vAlign w:val="center"/>
          </w:tcPr>
          <w:p>
            <w:pPr>
              <w:keepNext w:val="0"/>
              <w:keepLines w:val="0"/>
              <w:widowControl/>
              <w:suppressLineNumbers w:val="0"/>
              <w:ind w:left="0" w:leftChars="0" w:right="0" w:rightChars="0" w:firstLine="0" w:firstLineChars="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29.93</w:t>
            </w:r>
          </w:p>
        </w:tc>
        <w:tc>
          <w:tcPr>
            <w:tcW w:w="1747" w:type="dxa"/>
            <w:tcBorders>
              <w:top w:val="nil"/>
              <w:left w:val="nil"/>
              <w:bottom w:val="single" w:color="auto" w:sz="8" w:space="0"/>
              <w:right w:val="single" w:color="auto" w:sz="8" w:space="0"/>
            </w:tcBorders>
            <w:shd w:val="clear" w:color="auto" w:fill="auto"/>
            <w:vAlign w:val="center"/>
          </w:tcPr>
          <w:p>
            <w:pPr>
              <w:ind w:left="0" w:leftChars="0" w:right="0" w:rightChars="0" w:firstLine="0" w:firstLineChars="0"/>
              <w:jc w:val="center"/>
              <w:rPr>
                <w:rFonts w:hint="eastAsia" w:ascii="Times New Roman" w:hAnsi="Times New Roman" w:eastAsia="仿宋_GB2312" w:cs="Times New Roman"/>
                <w:kern w:val="0"/>
                <w:sz w:val="24"/>
                <w:szCs w:val="24"/>
                <w:lang w:val="en-US" w:eastAsia="zh-CN" w:bidi="ar-SA"/>
              </w:rPr>
            </w:pPr>
          </w:p>
        </w:tc>
      </w:tr>
      <w:tr>
        <w:tblPrEx>
          <w:tblCellMar>
            <w:top w:w="0" w:type="dxa"/>
            <w:left w:w="108" w:type="dxa"/>
            <w:bottom w:w="0" w:type="dxa"/>
            <w:right w:w="108" w:type="dxa"/>
          </w:tblCellMar>
        </w:tblPrEx>
        <w:trPr>
          <w:trHeight w:val="312" w:hRule="atLeast"/>
          <w:jc w:val="center"/>
        </w:trPr>
        <w:tc>
          <w:tcPr>
            <w:tcW w:w="0" w:type="auto"/>
            <w:tcBorders>
              <w:top w:val="single" w:color="auto" w:sz="4" w:space="0"/>
              <w:left w:val="single" w:color="auto" w:sz="8" w:space="0"/>
              <w:bottom w:val="single" w:color="auto" w:sz="8" w:space="0"/>
              <w:right w:val="single" w:color="auto" w:sz="4" w:space="0"/>
            </w:tcBorders>
            <w:shd w:val="clear" w:color="000000" w:fill="FFFFFF"/>
            <w:vAlign w:val="center"/>
          </w:tcPr>
          <w:p>
            <w:pPr>
              <w:keepNext w:val="0"/>
              <w:keepLines w:val="0"/>
              <w:widowControl/>
              <w:suppressLineNumbers w:val="0"/>
              <w:ind w:left="0" w:leftChars="0" w:right="0" w:rightChars="0" w:firstLine="0" w:firstLineChars="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nil"/>
              <w:left w:val="nil"/>
              <w:bottom w:val="single" w:color="auto" w:sz="8" w:space="0"/>
              <w:right w:val="single" w:color="auto" w:sz="4" w:space="0"/>
            </w:tcBorders>
            <w:shd w:val="clear" w:color="000000" w:fill="FFFFFF"/>
            <w:vAlign w:val="center"/>
          </w:tcPr>
          <w:p>
            <w:pPr>
              <w:keepNext w:val="0"/>
              <w:keepLines w:val="0"/>
              <w:widowControl/>
              <w:suppressLineNumbers w:val="0"/>
              <w:ind w:left="0" w:leftChars="0" w:right="0" w:rightChars="0" w:firstLine="0" w:firstLineChars="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nil"/>
              <w:left w:val="nil"/>
              <w:bottom w:val="single" w:color="auto" w:sz="8" w:space="0"/>
              <w:right w:val="single" w:color="auto" w:sz="4" w:space="0"/>
            </w:tcBorders>
            <w:shd w:val="clear" w:color="auto" w:fill="auto"/>
            <w:vAlign w:val="center"/>
          </w:tcPr>
          <w:p>
            <w:pPr>
              <w:keepNext w:val="0"/>
              <w:keepLines w:val="0"/>
              <w:widowControl/>
              <w:suppressLineNumbers w:val="0"/>
              <w:ind w:left="0" w:leftChars="0" w:right="0" w:rightChars="0" w:firstLine="0" w:firstLineChars="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29.93</w:t>
            </w:r>
          </w:p>
        </w:tc>
        <w:tc>
          <w:tcPr>
            <w:tcW w:w="0" w:type="auto"/>
            <w:tcBorders>
              <w:top w:val="nil"/>
              <w:left w:val="nil"/>
              <w:bottom w:val="single" w:color="auto" w:sz="8" w:space="0"/>
              <w:right w:val="single" w:color="auto" w:sz="4" w:space="0"/>
            </w:tcBorders>
            <w:shd w:val="clear" w:color="auto" w:fill="auto"/>
            <w:vAlign w:val="center"/>
          </w:tcPr>
          <w:p>
            <w:pPr>
              <w:keepNext w:val="0"/>
              <w:keepLines w:val="0"/>
              <w:widowControl/>
              <w:suppressLineNumbers w:val="0"/>
              <w:ind w:left="0" w:leftChars="0" w:right="0" w:rightChars="0" w:firstLine="0" w:firstLineChars="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29.93</w:t>
            </w:r>
          </w:p>
        </w:tc>
        <w:tc>
          <w:tcPr>
            <w:tcW w:w="1747" w:type="dxa"/>
            <w:tcBorders>
              <w:top w:val="nil"/>
              <w:left w:val="nil"/>
              <w:bottom w:val="single" w:color="auto" w:sz="8" w:space="0"/>
              <w:right w:val="single" w:color="auto" w:sz="8" w:space="0"/>
            </w:tcBorders>
            <w:shd w:val="clear" w:color="auto" w:fill="auto"/>
            <w:vAlign w:val="center"/>
          </w:tcPr>
          <w:p>
            <w:pPr>
              <w:ind w:left="0" w:leftChars="0" w:right="0" w:rightChars="0" w:firstLine="0" w:firstLineChars="0"/>
              <w:jc w:val="center"/>
              <w:rPr>
                <w:rFonts w:hint="eastAsia" w:ascii="Times New Roman" w:hAnsi="Times New Roman" w:eastAsia="仿宋_GB2312" w:cs="Times New Roman"/>
                <w:kern w:val="0"/>
                <w:sz w:val="24"/>
                <w:szCs w:val="24"/>
                <w:lang w:val="en-US" w:eastAsia="zh-CN" w:bidi="ar-SA"/>
              </w:rPr>
            </w:pPr>
          </w:p>
        </w:tc>
      </w:tr>
      <w:tr>
        <w:tblPrEx>
          <w:tblCellMar>
            <w:top w:w="0" w:type="dxa"/>
            <w:left w:w="108" w:type="dxa"/>
            <w:bottom w:w="0" w:type="dxa"/>
            <w:right w:w="108" w:type="dxa"/>
          </w:tblCellMar>
        </w:tblPrEx>
        <w:trPr>
          <w:trHeight w:val="312" w:hRule="atLeast"/>
          <w:jc w:val="center"/>
        </w:trPr>
        <w:tc>
          <w:tcPr>
            <w:tcW w:w="0" w:type="auto"/>
            <w:tcBorders>
              <w:top w:val="single" w:color="auto" w:sz="4" w:space="0"/>
              <w:left w:val="single" w:color="auto" w:sz="8" w:space="0"/>
              <w:bottom w:val="single" w:color="auto" w:sz="8" w:space="0"/>
              <w:right w:val="single" w:color="auto" w:sz="4" w:space="0"/>
            </w:tcBorders>
            <w:shd w:val="clear" w:color="000000" w:fill="FFFFFF"/>
            <w:vAlign w:val="center"/>
          </w:tcPr>
          <w:p>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w:t>
            </w:r>
          </w:p>
        </w:tc>
        <w:tc>
          <w:tcPr>
            <w:tcW w:w="0" w:type="auto"/>
            <w:tcBorders>
              <w:top w:val="nil"/>
              <w:left w:val="nil"/>
              <w:bottom w:val="single" w:color="auto" w:sz="8" w:space="0"/>
              <w:right w:val="single" w:color="auto" w:sz="4" w:space="0"/>
            </w:tcBorders>
            <w:shd w:val="clear" w:color="000000" w:fill="FFFFFF"/>
            <w:vAlign w:val="center"/>
          </w:tcPr>
          <w:p>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抚恤</w:t>
            </w:r>
          </w:p>
        </w:tc>
        <w:tc>
          <w:tcPr>
            <w:tcW w:w="0" w:type="auto"/>
            <w:tcBorders>
              <w:top w:val="nil"/>
              <w:left w:val="nil"/>
              <w:bottom w:val="single" w:color="auto" w:sz="8" w:space="0"/>
              <w:right w:val="single" w:color="auto" w:sz="4" w:space="0"/>
            </w:tcBorders>
            <w:shd w:val="clear" w:color="auto" w:fill="auto"/>
            <w:vAlign w:val="center"/>
          </w:tcPr>
          <w:p>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16.32</w:t>
            </w:r>
          </w:p>
        </w:tc>
        <w:tc>
          <w:tcPr>
            <w:tcW w:w="0" w:type="auto"/>
            <w:tcBorders>
              <w:top w:val="nil"/>
              <w:left w:val="nil"/>
              <w:bottom w:val="single" w:color="auto" w:sz="8" w:space="0"/>
              <w:right w:val="single" w:color="auto" w:sz="4" w:space="0"/>
            </w:tcBorders>
            <w:shd w:val="clear" w:color="auto" w:fill="auto"/>
            <w:vAlign w:val="center"/>
          </w:tcPr>
          <w:p>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16.32</w:t>
            </w:r>
          </w:p>
        </w:tc>
        <w:tc>
          <w:tcPr>
            <w:tcW w:w="1747" w:type="dxa"/>
            <w:tcBorders>
              <w:top w:val="nil"/>
              <w:left w:val="nil"/>
              <w:bottom w:val="single" w:color="auto" w:sz="8" w:space="0"/>
              <w:right w:val="single" w:color="auto" w:sz="8" w:space="0"/>
            </w:tcBorders>
            <w:shd w:val="clear" w:color="auto" w:fill="auto"/>
            <w:vAlign w:val="center"/>
          </w:tcPr>
          <w:p>
            <w:pPr>
              <w:ind w:left="0" w:leftChars="0" w:right="0" w:rightChars="0" w:firstLine="0" w:firstLineChars="0"/>
              <w:jc w:val="center"/>
              <w:rPr>
                <w:rFonts w:hint="eastAsia" w:ascii="Times New Roman" w:hAnsi="Times New Roman" w:eastAsia="仿宋_GB2312" w:cs="Times New Roman"/>
                <w:kern w:val="0"/>
                <w:sz w:val="24"/>
                <w:szCs w:val="24"/>
                <w:lang w:val="en-US" w:eastAsia="zh-CN" w:bidi="ar-SA"/>
              </w:rPr>
            </w:pPr>
          </w:p>
        </w:tc>
      </w:tr>
      <w:tr>
        <w:tblPrEx>
          <w:tblCellMar>
            <w:top w:w="0" w:type="dxa"/>
            <w:left w:w="108" w:type="dxa"/>
            <w:bottom w:w="0" w:type="dxa"/>
            <w:right w:w="108" w:type="dxa"/>
          </w:tblCellMar>
        </w:tblPrEx>
        <w:trPr>
          <w:trHeight w:val="312" w:hRule="atLeast"/>
          <w:jc w:val="center"/>
        </w:trPr>
        <w:tc>
          <w:tcPr>
            <w:tcW w:w="0" w:type="auto"/>
            <w:tcBorders>
              <w:top w:val="single" w:color="auto" w:sz="4" w:space="0"/>
              <w:left w:val="single" w:color="auto" w:sz="8" w:space="0"/>
              <w:bottom w:val="single" w:color="auto" w:sz="8" w:space="0"/>
              <w:right w:val="single" w:color="auto" w:sz="4" w:space="0"/>
            </w:tcBorders>
            <w:shd w:val="clear" w:color="000000" w:fill="FFFFFF"/>
            <w:vAlign w:val="center"/>
          </w:tcPr>
          <w:p>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nil"/>
              <w:left w:val="nil"/>
              <w:bottom w:val="single" w:color="auto" w:sz="8" w:space="0"/>
              <w:right w:val="single" w:color="auto" w:sz="4" w:space="0"/>
            </w:tcBorders>
            <w:shd w:val="clear" w:color="000000" w:fill="FFFFFF"/>
            <w:vAlign w:val="center"/>
          </w:tcPr>
          <w:p>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死亡抚恤</w:t>
            </w:r>
          </w:p>
        </w:tc>
        <w:tc>
          <w:tcPr>
            <w:tcW w:w="0" w:type="auto"/>
            <w:tcBorders>
              <w:top w:val="nil"/>
              <w:left w:val="nil"/>
              <w:bottom w:val="single" w:color="auto" w:sz="8" w:space="0"/>
              <w:right w:val="single" w:color="auto" w:sz="4" w:space="0"/>
            </w:tcBorders>
            <w:shd w:val="clear" w:color="auto" w:fill="auto"/>
            <w:vAlign w:val="center"/>
          </w:tcPr>
          <w:p>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16.32</w:t>
            </w:r>
          </w:p>
        </w:tc>
        <w:tc>
          <w:tcPr>
            <w:tcW w:w="0" w:type="auto"/>
            <w:tcBorders>
              <w:top w:val="nil"/>
              <w:left w:val="nil"/>
              <w:bottom w:val="single" w:color="auto" w:sz="8" w:space="0"/>
              <w:right w:val="single" w:color="auto" w:sz="4" w:space="0"/>
            </w:tcBorders>
            <w:shd w:val="clear" w:color="auto" w:fill="auto"/>
            <w:vAlign w:val="center"/>
          </w:tcPr>
          <w:p>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16.32</w:t>
            </w:r>
          </w:p>
        </w:tc>
        <w:tc>
          <w:tcPr>
            <w:tcW w:w="1747" w:type="dxa"/>
            <w:tcBorders>
              <w:top w:val="nil"/>
              <w:left w:val="nil"/>
              <w:bottom w:val="single" w:color="auto" w:sz="8" w:space="0"/>
              <w:right w:val="single" w:color="auto" w:sz="8" w:space="0"/>
            </w:tcBorders>
            <w:shd w:val="clear" w:color="auto" w:fill="auto"/>
            <w:vAlign w:val="center"/>
          </w:tcPr>
          <w:p>
            <w:pPr>
              <w:ind w:left="0" w:leftChars="0" w:right="0" w:rightChars="0" w:firstLine="0" w:firstLineChars="0"/>
              <w:jc w:val="center"/>
              <w:rPr>
                <w:rFonts w:hint="eastAsia" w:ascii="Times New Roman" w:hAnsi="Times New Roman" w:eastAsia="仿宋_GB2312" w:cs="Times New Roman"/>
                <w:kern w:val="0"/>
                <w:sz w:val="24"/>
                <w:szCs w:val="24"/>
                <w:lang w:val="en-US" w:eastAsia="zh-CN" w:bidi="ar-SA"/>
              </w:rPr>
            </w:pPr>
          </w:p>
        </w:tc>
      </w:tr>
      <w:tr>
        <w:tblPrEx>
          <w:tblCellMar>
            <w:top w:w="0" w:type="dxa"/>
            <w:left w:w="108" w:type="dxa"/>
            <w:bottom w:w="0" w:type="dxa"/>
            <w:right w:w="108" w:type="dxa"/>
          </w:tblCellMar>
        </w:tblPrEx>
        <w:trPr>
          <w:trHeight w:val="312" w:hRule="atLeast"/>
          <w:jc w:val="center"/>
        </w:trPr>
        <w:tc>
          <w:tcPr>
            <w:tcW w:w="0" w:type="auto"/>
            <w:tcBorders>
              <w:top w:val="single" w:color="auto" w:sz="4" w:space="0"/>
              <w:left w:val="single" w:color="auto" w:sz="8" w:space="0"/>
              <w:bottom w:val="single" w:color="auto" w:sz="8" w:space="0"/>
              <w:right w:val="single" w:color="auto" w:sz="4" w:space="0"/>
            </w:tcBorders>
            <w:shd w:val="clear" w:color="000000" w:fill="FFFFFF"/>
            <w:vAlign w:val="center"/>
          </w:tcPr>
          <w:p>
            <w:pPr>
              <w:keepNext w:val="0"/>
              <w:keepLines w:val="0"/>
              <w:widowControl/>
              <w:suppressLineNumbers w:val="0"/>
              <w:ind w:left="0" w:leftChars="0" w:right="0" w:rightChars="0" w:firstLine="0" w:firstLineChars="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nil"/>
              <w:left w:val="nil"/>
              <w:bottom w:val="single" w:color="auto" w:sz="8" w:space="0"/>
              <w:right w:val="single" w:color="auto" w:sz="4" w:space="0"/>
            </w:tcBorders>
            <w:shd w:val="clear" w:color="000000" w:fill="FFFFFF"/>
            <w:vAlign w:val="center"/>
          </w:tcPr>
          <w:p>
            <w:pPr>
              <w:keepNext w:val="0"/>
              <w:keepLines w:val="0"/>
              <w:widowControl/>
              <w:suppressLineNumbers w:val="0"/>
              <w:ind w:left="0" w:leftChars="0" w:right="0" w:rightChars="0" w:firstLine="0" w:firstLineChars="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nil"/>
              <w:left w:val="nil"/>
              <w:bottom w:val="single" w:color="auto" w:sz="8" w:space="0"/>
              <w:right w:val="single" w:color="auto" w:sz="4" w:space="0"/>
            </w:tcBorders>
            <w:shd w:val="clear" w:color="auto" w:fill="auto"/>
            <w:vAlign w:val="center"/>
          </w:tcPr>
          <w:p>
            <w:pPr>
              <w:keepNext w:val="0"/>
              <w:keepLines w:val="0"/>
              <w:widowControl/>
              <w:suppressLineNumbers w:val="0"/>
              <w:ind w:left="0" w:leftChars="0" w:right="0" w:rightChars="0" w:firstLine="0" w:firstLineChars="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16.27</w:t>
            </w:r>
          </w:p>
        </w:tc>
        <w:tc>
          <w:tcPr>
            <w:tcW w:w="0" w:type="auto"/>
            <w:tcBorders>
              <w:top w:val="nil"/>
              <w:left w:val="nil"/>
              <w:bottom w:val="single" w:color="auto" w:sz="8" w:space="0"/>
              <w:right w:val="single" w:color="auto" w:sz="4" w:space="0"/>
            </w:tcBorders>
            <w:shd w:val="clear" w:color="auto" w:fill="auto"/>
            <w:vAlign w:val="center"/>
          </w:tcPr>
          <w:p>
            <w:pPr>
              <w:keepNext w:val="0"/>
              <w:keepLines w:val="0"/>
              <w:widowControl/>
              <w:suppressLineNumbers w:val="0"/>
              <w:ind w:left="0" w:leftChars="0" w:right="0" w:rightChars="0" w:firstLine="0" w:firstLineChars="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16.27</w:t>
            </w:r>
          </w:p>
        </w:tc>
        <w:tc>
          <w:tcPr>
            <w:tcW w:w="1747" w:type="dxa"/>
            <w:tcBorders>
              <w:top w:val="nil"/>
              <w:left w:val="nil"/>
              <w:bottom w:val="single" w:color="auto" w:sz="8" w:space="0"/>
              <w:right w:val="single" w:color="auto" w:sz="8" w:space="0"/>
            </w:tcBorders>
            <w:shd w:val="clear" w:color="auto" w:fill="auto"/>
            <w:vAlign w:val="center"/>
          </w:tcPr>
          <w:p>
            <w:pPr>
              <w:ind w:left="0" w:leftChars="0" w:right="0" w:rightChars="0" w:firstLine="0" w:firstLineChars="0"/>
              <w:jc w:val="center"/>
              <w:rPr>
                <w:rFonts w:hint="eastAsia" w:ascii="Times New Roman" w:hAnsi="Times New Roman" w:eastAsia="仿宋_GB2312" w:cs="Times New Roman"/>
                <w:kern w:val="0"/>
                <w:sz w:val="24"/>
                <w:szCs w:val="24"/>
                <w:lang w:val="en-US" w:eastAsia="zh-CN" w:bidi="ar-SA"/>
              </w:rPr>
            </w:pPr>
          </w:p>
        </w:tc>
      </w:tr>
      <w:tr>
        <w:tblPrEx>
          <w:tblCellMar>
            <w:top w:w="0" w:type="dxa"/>
            <w:left w:w="108" w:type="dxa"/>
            <w:bottom w:w="0" w:type="dxa"/>
            <w:right w:w="108" w:type="dxa"/>
          </w:tblCellMar>
        </w:tblPrEx>
        <w:trPr>
          <w:trHeight w:val="312" w:hRule="atLeast"/>
          <w:jc w:val="center"/>
        </w:trPr>
        <w:tc>
          <w:tcPr>
            <w:tcW w:w="0" w:type="auto"/>
            <w:tcBorders>
              <w:top w:val="single" w:color="auto" w:sz="4" w:space="0"/>
              <w:left w:val="single" w:color="auto" w:sz="8" w:space="0"/>
              <w:bottom w:val="single" w:color="auto" w:sz="8" w:space="0"/>
              <w:right w:val="single" w:color="auto" w:sz="4" w:space="0"/>
            </w:tcBorders>
            <w:shd w:val="clear" w:color="000000" w:fill="FFFFFF"/>
            <w:vAlign w:val="center"/>
          </w:tcPr>
          <w:p>
            <w:pPr>
              <w:keepNext w:val="0"/>
              <w:keepLines w:val="0"/>
              <w:widowControl/>
              <w:suppressLineNumbers w:val="0"/>
              <w:ind w:left="0" w:leftChars="0" w:right="0" w:rightChars="0" w:firstLine="0" w:firstLineChars="0"/>
              <w:jc w:val="left"/>
              <w:textAlignment w:val="center"/>
              <w:rPr>
                <w:rFonts w:hint="default"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nil"/>
              <w:left w:val="nil"/>
              <w:bottom w:val="single" w:color="auto" w:sz="8" w:space="0"/>
              <w:right w:val="single" w:color="auto" w:sz="4" w:space="0"/>
            </w:tcBorders>
            <w:shd w:val="clear" w:color="000000" w:fill="FFFFFF"/>
            <w:vAlign w:val="center"/>
          </w:tcPr>
          <w:p>
            <w:pPr>
              <w:keepNext w:val="0"/>
              <w:keepLines w:val="0"/>
              <w:widowControl/>
              <w:suppressLineNumbers w:val="0"/>
              <w:ind w:left="0" w:leftChars="0" w:right="0" w:rightChars="0" w:firstLine="0" w:firstLineChars="0"/>
              <w:jc w:val="left"/>
              <w:textAlignment w:val="center"/>
              <w:rPr>
                <w:rFonts w:hint="default"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nil"/>
              <w:left w:val="nil"/>
              <w:bottom w:val="single" w:color="auto" w:sz="8" w:space="0"/>
              <w:right w:val="single" w:color="auto" w:sz="4" w:space="0"/>
            </w:tcBorders>
            <w:shd w:val="clear" w:color="auto" w:fill="auto"/>
            <w:vAlign w:val="center"/>
          </w:tcPr>
          <w:p>
            <w:pPr>
              <w:keepNext w:val="0"/>
              <w:keepLines w:val="0"/>
              <w:widowControl/>
              <w:suppressLineNumbers w:val="0"/>
              <w:ind w:left="0" w:leftChars="0" w:right="0" w:rightChars="0" w:firstLine="0" w:firstLineChars="0"/>
              <w:jc w:val="center"/>
              <w:textAlignment w:val="center"/>
              <w:rPr>
                <w:rFonts w:hint="eastAsia"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16.27</w:t>
            </w:r>
          </w:p>
        </w:tc>
        <w:tc>
          <w:tcPr>
            <w:tcW w:w="0" w:type="auto"/>
            <w:tcBorders>
              <w:top w:val="nil"/>
              <w:left w:val="nil"/>
              <w:bottom w:val="single" w:color="auto" w:sz="8" w:space="0"/>
              <w:right w:val="single" w:color="auto" w:sz="4" w:space="0"/>
            </w:tcBorders>
            <w:shd w:val="clear" w:color="auto" w:fill="auto"/>
            <w:vAlign w:val="center"/>
          </w:tcPr>
          <w:p>
            <w:pPr>
              <w:keepNext w:val="0"/>
              <w:keepLines w:val="0"/>
              <w:widowControl/>
              <w:suppressLineNumbers w:val="0"/>
              <w:ind w:left="0" w:leftChars="0" w:right="0" w:rightChars="0" w:firstLine="0" w:firstLineChars="0"/>
              <w:jc w:val="center"/>
              <w:textAlignment w:val="center"/>
              <w:rPr>
                <w:rFonts w:hint="eastAsia"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16.27</w:t>
            </w:r>
          </w:p>
        </w:tc>
        <w:tc>
          <w:tcPr>
            <w:tcW w:w="1747" w:type="dxa"/>
            <w:tcBorders>
              <w:top w:val="nil"/>
              <w:left w:val="nil"/>
              <w:bottom w:val="single" w:color="auto" w:sz="8" w:space="0"/>
              <w:right w:val="single" w:color="auto" w:sz="8" w:space="0"/>
            </w:tcBorders>
            <w:shd w:val="clear" w:color="auto" w:fill="auto"/>
            <w:vAlign w:val="center"/>
          </w:tcPr>
          <w:p>
            <w:pPr>
              <w:ind w:left="0" w:leftChars="0" w:right="0" w:rightChars="0" w:firstLine="0" w:firstLineChars="0"/>
              <w:jc w:val="center"/>
              <w:rPr>
                <w:rFonts w:hint="eastAsia" w:ascii="Times New Roman" w:hAnsi="Times New Roman" w:eastAsia="仿宋_GB2312" w:cs="Times New Roman"/>
                <w:kern w:val="0"/>
                <w:sz w:val="24"/>
                <w:szCs w:val="24"/>
                <w:lang w:val="en-US" w:eastAsia="zh-CN" w:bidi="ar-SA"/>
              </w:rPr>
            </w:pPr>
          </w:p>
        </w:tc>
      </w:tr>
      <w:tr>
        <w:tblPrEx>
          <w:tblCellMar>
            <w:top w:w="0" w:type="dxa"/>
            <w:left w:w="108" w:type="dxa"/>
            <w:bottom w:w="0" w:type="dxa"/>
            <w:right w:w="108" w:type="dxa"/>
          </w:tblCellMar>
        </w:tblPrEx>
        <w:trPr>
          <w:trHeight w:val="312" w:hRule="atLeast"/>
          <w:jc w:val="center"/>
        </w:trPr>
        <w:tc>
          <w:tcPr>
            <w:tcW w:w="3128" w:type="dxa"/>
            <w:tcBorders>
              <w:top w:val="single" w:color="auto" w:sz="4" w:space="0"/>
              <w:left w:val="single" w:color="auto" w:sz="8" w:space="0"/>
              <w:bottom w:val="single" w:color="auto" w:sz="8" w:space="0"/>
              <w:right w:val="single" w:color="auto" w:sz="4" w:space="0"/>
            </w:tcBorders>
            <w:shd w:val="clear" w:color="000000" w:fill="FFFFFF"/>
            <w:vAlign w:val="center"/>
          </w:tcPr>
          <w:p>
            <w:pPr>
              <w:keepNext w:val="0"/>
              <w:keepLines w:val="0"/>
              <w:widowControl/>
              <w:suppressLineNumbers w:val="0"/>
              <w:ind w:left="0" w:leftChars="0" w:right="0" w:rightChars="0" w:firstLine="0" w:firstLineChars="0"/>
              <w:jc w:val="left"/>
              <w:textAlignment w:val="center"/>
              <w:rPr>
                <w:rFonts w:hint="default"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2101102</w:t>
            </w:r>
          </w:p>
        </w:tc>
        <w:tc>
          <w:tcPr>
            <w:tcW w:w="6149" w:type="dxa"/>
            <w:tcBorders>
              <w:top w:val="nil"/>
              <w:left w:val="nil"/>
              <w:bottom w:val="single" w:color="auto" w:sz="8" w:space="0"/>
              <w:right w:val="single" w:color="auto" w:sz="4" w:space="0"/>
            </w:tcBorders>
            <w:shd w:val="clear" w:color="000000" w:fill="FFFFFF"/>
            <w:vAlign w:val="center"/>
          </w:tcPr>
          <w:p>
            <w:pPr>
              <w:keepNext w:val="0"/>
              <w:keepLines w:val="0"/>
              <w:widowControl/>
              <w:suppressLineNumbers w:val="0"/>
              <w:ind w:left="0" w:leftChars="0" w:right="0" w:rightChars="0" w:firstLine="0" w:firstLineChars="0"/>
              <w:jc w:val="left"/>
              <w:textAlignment w:val="center"/>
              <w:rPr>
                <w:rFonts w:hint="default"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事业单位医疗</w:t>
            </w:r>
          </w:p>
        </w:tc>
        <w:tc>
          <w:tcPr>
            <w:tcW w:w="1450"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ind w:left="0" w:leftChars="0" w:right="0" w:rightChars="0" w:firstLine="0" w:firstLineChars="0"/>
              <w:jc w:val="center"/>
              <w:textAlignment w:val="center"/>
              <w:rPr>
                <w:rFonts w:hint="eastAsia"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16.27</w:t>
            </w:r>
          </w:p>
        </w:tc>
        <w:tc>
          <w:tcPr>
            <w:tcW w:w="1743"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ind w:left="0" w:leftChars="0" w:right="0" w:rightChars="0" w:firstLine="0" w:firstLineChars="0"/>
              <w:jc w:val="center"/>
              <w:textAlignment w:val="center"/>
              <w:rPr>
                <w:rFonts w:hint="eastAsia"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16.27</w:t>
            </w:r>
          </w:p>
        </w:tc>
        <w:tc>
          <w:tcPr>
            <w:tcW w:w="1747" w:type="dxa"/>
            <w:tcBorders>
              <w:top w:val="nil"/>
              <w:left w:val="nil"/>
              <w:bottom w:val="single" w:color="auto" w:sz="8" w:space="0"/>
              <w:right w:val="single" w:color="auto" w:sz="8" w:space="0"/>
            </w:tcBorders>
            <w:shd w:val="clear" w:color="auto" w:fill="auto"/>
            <w:vAlign w:val="center"/>
          </w:tcPr>
          <w:p>
            <w:pPr>
              <w:ind w:left="0" w:leftChars="0" w:right="0" w:rightChars="0" w:firstLine="0" w:firstLineChars="0"/>
              <w:jc w:val="center"/>
              <w:rPr>
                <w:rFonts w:hint="eastAsia" w:ascii="Times New Roman" w:hAnsi="Times New Roman" w:eastAsia="仿宋_GB2312" w:cs="Times New Roman"/>
                <w:kern w:val="0"/>
                <w:sz w:val="24"/>
                <w:szCs w:val="24"/>
                <w:lang w:val="en-US" w:eastAsia="zh-CN" w:bidi="ar-SA"/>
              </w:rPr>
            </w:pP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CellMar>
            <w:top w:w="0" w:type="dxa"/>
            <w:left w:w="108" w:type="dxa"/>
            <w:bottom w:w="0" w:type="dxa"/>
            <w:right w:w="108" w:type="dxa"/>
          </w:tblCellMar>
        </w:tblPrEx>
        <w:trPr>
          <w:trHeight w:val="565"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325.60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40.74</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162.71</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jc w:val="center"/>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55.09</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13.92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47.67</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29.93</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16.27</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1.50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19.12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16.32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100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6.00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1.60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11.97</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8.67</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344.72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40.74</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325.60</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18"/>
                <w:lang w:val="en-US" w:eastAsia="zh-CN"/>
              </w:rPr>
            </w:pPr>
            <w:r>
              <w:rPr>
                <w:rFonts w:hint="eastAsia" w:ascii="Times New Roman" w:hAnsi="Times New Roman" w:eastAsia="仿宋_GB2312" w:cs="Times New Roman"/>
                <w:color w:val="000000"/>
                <w:kern w:val="0"/>
                <w:szCs w:val="18"/>
                <w:lang w:val="en-US" w:eastAsia="zh-CN"/>
              </w:rPr>
              <w:t>40.74</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163"/>
        <w:gridCol w:w="2234"/>
        <w:gridCol w:w="1450"/>
        <w:gridCol w:w="1788"/>
        <w:gridCol w:w="1919"/>
        <w:gridCol w:w="1935"/>
        <w:gridCol w:w="1918"/>
        <w:gridCol w:w="1919"/>
      </w:tblGrid>
      <w:tr>
        <w:tblPrEx>
          <w:tblCellMar>
            <w:top w:w="0" w:type="dxa"/>
            <w:left w:w="108" w:type="dxa"/>
            <w:bottom w:w="0" w:type="dxa"/>
            <w:right w:w="108" w:type="dxa"/>
          </w:tblCellMar>
        </w:tblPrEx>
        <w:trPr>
          <w:trHeight w:val="459" w:hRule="atLeast"/>
          <w:jc w:val="center"/>
        </w:trPr>
        <w:tc>
          <w:tcPr>
            <w:tcW w:w="33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6"/>
                <w:rFonts w:hint="default" w:ascii="Times New Roman" w:hAnsi="Times New Roman" w:eastAsia="仿宋_GB2312" w:cs="Times New Roman"/>
                <w:b/>
                <w:bCs/>
                <w:lang w:bidi="ar"/>
              </w:rPr>
              <w:t xml:space="preserve">   </w:t>
            </w:r>
            <w:r>
              <w:rPr>
                <w:rStyle w:val="17"/>
                <w:rFonts w:hint="default" w:ascii="Times New Roman" w:hAnsi="Times New Roman" w:eastAsia="仿宋_GB2312" w:cs="Times New Roman"/>
                <w:b/>
                <w:bCs/>
                <w:lang w:bidi="ar"/>
              </w:rPr>
              <w:t>目</w:t>
            </w:r>
          </w:p>
        </w:tc>
        <w:tc>
          <w:tcPr>
            <w:tcW w:w="14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7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1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22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4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7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1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4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7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1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4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7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33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7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33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7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b/>
                <w:bCs/>
                <w:i w:val="0"/>
                <w:iCs w:val="0"/>
                <w:color w:val="000000"/>
                <w:kern w:val="0"/>
                <w:sz w:val="22"/>
                <w:szCs w:val="22"/>
                <w:u w:val="none"/>
                <w:lang w:val="en-US" w:eastAsia="zh-CN" w:bidi="ar"/>
              </w:rPr>
              <w:t>109.80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b/>
                <w:bCs/>
                <w:i w:val="0"/>
                <w:iCs w:val="0"/>
                <w:color w:val="000000"/>
                <w:kern w:val="0"/>
                <w:sz w:val="22"/>
                <w:szCs w:val="22"/>
                <w:u w:val="none"/>
                <w:lang w:val="en-US" w:eastAsia="zh-CN" w:bidi="ar"/>
              </w:rPr>
              <w:t>109.80</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b/>
                <w:bCs/>
                <w:i w:val="0"/>
                <w:iCs w:val="0"/>
                <w:color w:val="000000"/>
                <w:kern w:val="0"/>
                <w:sz w:val="22"/>
                <w:szCs w:val="22"/>
                <w:u w:val="none"/>
                <w:lang w:val="en-US" w:eastAsia="zh-CN" w:bidi="ar"/>
              </w:rPr>
              <w:t>109.80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231</w:t>
            </w:r>
          </w:p>
        </w:tc>
        <w:tc>
          <w:tcPr>
            <w:tcW w:w="22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债务还本支出</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7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109.80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109.80</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109.80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23104</w:t>
            </w:r>
          </w:p>
        </w:tc>
        <w:tc>
          <w:tcPr>
            <w:tcW w:w="22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地方政府专项债务还本支出</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7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109.80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109.80</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109.80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2310499</w:t>
            </w:r>
          </w:p>
        </w:tc>
        <w:tc>
          <w:tcPr>
            <w:tcW w:w="22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其他政府性基金债务还本支出</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7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109.80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109.80</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109.80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szCs w:val="24"/>
              </w:rPr>
            </w:pPr>
          </w:p>
        </w:tc>
        <w:tc>
          <w:tcPr>
            <w:tcW w:w="22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szCs w:val="24"/>
              </w:rPr>
            </w:pP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78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szCs w:val="24"/>
              </w:rPr>
            </w:pPr>
          </w:p>
        </w:tc>
        <w:tc>
          <w:tcPr>
            <w:tcW w:w="22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szCs w:val="24"/>
              </w:rPr>
            </w:pP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78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szCs w:val="24"/>
              </w:rPr>
            </w:pPr>
          </w:p>
        </w:tc>
        <w:tc>
          <w:tcPr>
            <w:tcW w:w="22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szCs w:val="24"/>
              </w:rPr>
            </w:pP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78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center"/>
        <w:rPr>
          <w:rFonts w:hint="eastAsia" w:ascii="Times New Roman" w:hAnsi="Times New Roman" w:eastAsia="方正小标宋_GBK" w:cs="Times New Roman"/>
          <w:color w:val="000000"/>
          <w:kern w:val="0"/>
          <w:sz w:val="36"/>
          <w:szCs w:val="36"/>
          <w:lang w:eastAsia="zh-CN"/>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pPr>
        <w:widowControl/>
        <w:jc w:val="center"/>
        <w:rPr>
          <w:rFonts w:ascii="Times New Roman" w:hAnsi="Times New Roman" w:eastAsia="方正小标宋_GBK" w:cs="Times New Roman"/>
          <w:color w:val="000000"/>
          <w:kern w:val="0"/>
          <w:sz w:val="36"/>
          <w:szCs w:val="36"/>
        </w:rPr>
      </w:pPr>
    </w:p>
    <w:p>
      <w:pPr>
        <w:pStyle w:val="7"/>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4.50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3.00</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1.5</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1.6</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1.60</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3"/>
        <w:rPr>
          <w:rFonts w:ascii="Times New Roman" w:hAnsi="Times New Roman" w:cs="Times New Roman"/>
          <w:sz w:val="72"/>
          <w:szCs w:val="72"/>
        </w:rPr>
      </w:pPr>
    </w:p>
    <w:p>
      <w:pPr>
        <w:pStyle w:val="13"/>
        <w:rPr>
          <w:rFonts w:ascii="Times New Roman" w:hAnsi="Times New Roman" w:cs="Times New Roman"/>
          <w:sz w:val="72"/>
          <w:szCs w:val="72"/>
        </w:rPr>
      </w:pPr>
    </w:p>
    <w:p>
      <w:pPr>
        <w:pStyle w:val="13"/>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eastAsia="方正小标宋_GBK"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778.50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增加197.02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增加33.89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人员经费增加和项目经费——政府化债款增加109.80万元</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人员经费和项目经费</w:t>
      </w:r>
      <w:r>
        <w:rPr>
          <w:rFonts w:hint="eastAsia" w:ascii="Times New Roman" w:hAnsi="Times New Roman" w:eastAsia="仿宋_GB2312" w:cs="Times New Roman"/>
          <w:sz w:val="32"/>
          <w:szCs w:val="32"/>
          <w:lang w:eastAsia="zh-CN"/>
        </w:rPr>
        <w:t>等重点支出，体现在有关支出科目中。</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778.50</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778.50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77.50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385.46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49.52</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393.38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50.48</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778.50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增加197.02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增加33.89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人员经费增加和项目经费——政府化债款增加109.80万元</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778.50</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增加197.02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增加33.89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人员经费增加和项目经费——政府化债款增加109.80万元</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w:t>
      </w:r>
      <w:r>
        <w:rPr>
          <w:rFonts w:ascii="Times New Roman" w:hAnsi="Times New Roman" w:eastAsia="仿宋_GB2312" w:cs="Times New Roman"/>
          <w:sz w:val="32"/>
          <w:szCs w:val="32"/>
          <w:lang w:val="en-US" w:eastAsia="zh-CN"/>
        </w:rPr>
        <w:t>度财政拨款支出</w:t>
      </w:r>
      <w:r>
        <w:rPr>
          <w:rFonts w:hint="eastAsia" w:ascii="Times New Roman" w:hAnsi="Times New Roman" w:eastAsia="仿宋_GB2312" w:cs="Times New Roman"/>
          <w:sz w:val="32"/>
          <w:szCs w:val="32"/>
          <w:lang w:val="en-US" w:eastAsia="zh-CN"/>
        </w:rPr>
        <w:t>778.50</w:t>
      </w:r>
      <w:r>
        <w:rPr>
          <w:rFonts w:ascii="Times New Roman" w:hAnsi="Times New Roman" w:eastAsia="仿宋_GB2312" w:cs="Times New Roman"/>
          <w:sz w:val="32"/>
          <w:szCs w:val="32"/>
          <w:lang w:val="en-US" w:eastAsia="zh-CN"/>
        </w:rPr>
        <w:t>万元，主要用于以下方面：</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1、一般公共服务支出</w:t>
      </w:r>
      <w:r>
        <w:rPr>
          <w:rFonts w:ascii="Times New Roman" w:hAnsi="Times New Roman" w:eastAsia="仿宋_GB2312" w:cs="Times New Roman"/>
          <w:sz w:val="32"/>
          <w:szCs w:val="32"/>
          <w:lang w:val="en-US" w:eastAsia="zh-CN"/>
        </w:rPr>
        <w:t>（类）</w:t>
      </w:r>
      <w:r>
        <w:rPr>
          <w:rFonts w:hint="eastAsia" w:ascii="Times New Roman" w:hAnsi="Times New Roman" w:eastAsia="仿宋_GB2312" w:cs="Times New Roman"/>
          <w:sz w:val="32"/>
          <w:szCs w:val="32"/>
          <w:lang w:val="en-US" w:eastAsia="zh-CN"/>
        </w:rPr>
        <w:t>党委办公厅（室）及相关机构事务</w:t>
      </w:r>
      <w:r>
        <w:rPr>
          <w:rFonts w:ascii="Times New Roman" w:hAnsi="Times New Roman" w:eastAsia="仿宋_GB2312" w:cs="Times New Roman"/>
          <w:sz w:val="32"/>
          <w:szCs w:val="32"/>
          <w:lang w:val="en-US" w:eastAsia="zh-CN"/>
        </w:rPr>
        <w:t>（款）</w:t>
      </w:r>
      <w:r>
        <w:rPr>
          <w:rFonts w:hint="eastAsia" w:ascii="Times New Roman" w:hAnsi="Times New Roman" w:eastAsia="仿宋_GB2312" w:cs="Times New Roman"/>
          <w:sz w:val="32"/>
          <w:szCs w:val="32"/>
          <w:lang w:val="en-US" w:eastAsia="zh-CN"/>
        </w:rPr>
        <w:t>行政运行</w:t>
      </w:r>
      <w:r>
        <w:rPr>
          <w:rFonts w:ascii="Times New Roman" w:hAnsi="Times New Roman" w:eastAsia="仿宋_GB2312" w:cs="Times New Roman"/>
          <w:sz w:val="32"/>
          <w:szCs w:val="32"/>
          <w:lang w:val="en-US" w:eastAsia="zh-CN"/>
        </w:rPr>
        <w:t xml:space="preserve">（项）。 </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lang w:val="en-US" w:eastAsia="zh-CN"/>
        </w:rPr>
        <w:t>万元，支出决算为</w:t>
      </w:r>
      <w:r>
        <w:rPr>
          <w:rFonts w:hint="eastAsia" w:ascii="Times New Roman" w:hAnsi="Times New Roman" w:eastAsia="仿宋_GB2312" w:cs="Times New Roman"/>
          <w:sz w:val="32"/>
          <w:szCs w:val="32"/>
          <w:lang w:val="en-US" w:eastAsia="zh-CN"/>
        </w:rPr>
        <w:t>82.79</w:t>
      </w:r>
      <w:r>
        <w:rPr>
          <w:rFonts w:ascii="Times New Roman" w:hAnsi="Times New Roman" w:eastAsia="仿宋_GB2312" w:cs="Times New Roman"/>
          <w:sz w:val="32"/>
          <w:szCs w:val="32"/>
          <w:lang w:val="en-US" w:eastAsia="zh-CN"/>
        </w:rPr>
        <w:t>万元，</w:t>
      </w:r>
      <w:r>
        <w:rPr>
          <w:rFonts w:hint="eastAsia" w:ascii="楷体" w:hAnsi="楷体" w:eastAsia="楷体" w:cs="楷体"/>
          <w:b w:val="0"/>
          <w:bCs/>
          <w:sz w:val="32"/>
          <w:szCs w:val="32"/>
          <w:lang w:val="en-US" w:eastAsia="zh-CN"/>
        </w:rPr>
        <w:t>占总支出的10.64%</w:t>
      </w:r>
      <w:r>
        <w:rPr>
          <w:rFonts w:hint="eastAsia"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lang w:val="en-US" w:eastAsia="zh-CN"/>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lang w:val="en-US" w:eastAsia="zh-CN"/>
        </w:rPr>
        <w:t>于预算数</w:t>
      </w:r>
      <w:r>
        <w:rPr>
          <w:rFonts w:hint="eastAsia" w:ascii="Times New Roman" w:hAnsi="Times New Roman" w:eastAsia="仿宋_GB2312" w:cs="Times New Roman"/>
          <w:sz w:val="32"/>
          <w:szCs w:val="32"/>
          <w:lang w:val="en-US" w:eastAsia="zh-CN"/>
        </w:rPr>
        <w:t>的原因是人员经费增加。</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w:t>
      </w:r>
      <w:r>
        <w:rPr>
          <w:rFonts w:hint="eastAsia" w:ascii="楷体" w:hAnsi="楷体" w:eastAsia="楷体" w:cs="楷体"/>
          <w:b w:val="0"/>
          <w:bCs/>
          <w:sz w:val="32"/>
          <w:szCs w:val="32"/>
          <w:lang w:val="en-US" w:eastAsia="zh-CN"/>
        </w:rPr>
        <w:t>教育支出（类）教育及培训（款）干部教育（项）。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年初预算为</w:t>
      </w:r>
      <w:r>
        <w:rPr>
          <w:rFonts w:hint="eastAsia" w:ascii="Times New Roman" w:hAnsi="Times New Roman" w:eastAsia="仿宋_GB2312" w:cs="Times New Roman"/>
          <w:sz w:val="32"/>
          <w:szCs w:val="32"/>
          <w:lang w:val="en-US" w:eastAsia="zh-CN"/>
        </w:rPr>
        <w:t>643.60</w:t>
      </w:r>
      <w:r>
        <w:rPr>
          <w:rFonts w:ascii="Times New Roman" w:hAnsi="Times New Roman" w:eastAsia="仿宋_GB2312" w:cs="Times New Roman"/>
          <w:sz w:val="32"/>
          <w:szCs w:val="32"/>
          <w:lang w:val="en-US" w:eastAsia="zh-CN"/>
        </w:rPr>
        <w:t>万元，支出决算为</w:t>
      </w:r>
      <w:r>
        <w:rPr>
          <w:rFonts w:hint="eastAsia" w:ascii="Times New Roman" w:hAnsi="Times New Roman" w:eastAsia="仿宋_GB2312" w:cs="Times New Roman"/>
          <w:sz w:val="32"/>
          <w:szCs w:val="32"/>
          <w:lang w:val="en-US" w:eastAsia="zh-CN"/>
        </w:rPr>
        <w:t>473.02</w:t>
      </w:r>
      <w:r>
        <w:rPr>
          <w:rFonts w:ascii="Times New Roman" w:hAnsi="Times New Roman" w:eastAsia="仿宋_GB2312" w:cs="Times New Roman"/>
          <w:sz w:val="32"/>
          <w:szCs w:val="32"/>
          <w:lang w:val="en-US" w:eastAsia="zh-CN"/>
        </w:rPr>
        <w:t>万元，</w:t>
      </w:r>
      <w:r>
        <w:rPr>
          <w:rFonts w:hint="eastAsia" w:ascii="楷体" w:hAnsi="楷体" w:eastAsia="楷体" w:cs="楷体"/>
          <w:b w:val="0"/>
          <w:bCs/>
          <w:sz w:val="32"/>
          <w:szCs w:val="32"/>
          <w:lang w:val="en-US" w:eastAsia="zh-CN"/>
        </w:rPr>
        <w:t>占总支出的60.08%，</w:t>
      </w:r>
      <w:r>
        <w:rPr>
          <w:rFonts w:ascii="Times New Roman" w:hAnsi="Times New Roman" w:eastAsia="仿宋_GB2312" w:cs="Times New Roman"/>
          <w:sz w:val="32"/>
          <w:szCs w:val="32"/>
          <w:lang w:val="en-US" w:eastAsia="zh-CN"/>
        </w:rPr>
        <w:t>完成年初预算的</w:t>
      </w:r>
      <w:r>
        <w:rPr>
          <w:rFonts w:hint="eastAsia" w:ascii="Times New Roman" w:hAnsi="Times New Roman" w:eastAsia="仿宋_GB2312" w:cs="Times New Roman"/>
          <w:sz w:val="32"/>
          <w:szCs w:val="32"/>
          <w:lang w:val="en-US" w:eastAsia="zh-CN"/>
        </w:rPr>
        <w:t>118.26%，</w:t>
      </w:r>
      <w:r>
        <w:rPr>
          <w:rFonts w:ascii="Times New Roman" w:hAnsi="Times New Roman" w:eastAsia="仿宋_GB2312" w:cs="Times New Roman"/>
          <w:sz w:val="32"/>
          <w:szCs w:val="32"/>
          <w:lang w:val="en-US" w:eastAsia="zh-CN"/>
        </w:rPr>
        <w:t>决算数</w:t>
      </w:r>
      <w:r>
        <w:rPr>
          <w:rFonts w:hint="eastAsia" w:ascii="Times New Roman" w:hAnsi="Times New Roman" w:eastAsia="仿宋_GB2312" w:cs="Times New Roman"/>
          <w:sz w:val="32"/>
          <w:szCs w:val="32"/>
          <w:lang w:val="en-US" w:eastAsia="zh-CN"/>
        </w:rPr>
        <w:t>小</w:t>
      </w:r>
      <w:r>
        <w:rPr>
          <w:rFonts w:ascii="Times New Roman" w:hAnsi="Times New Roman" w:eastAsia="仿宋_GB2312" w:cs="Times New Roman"/>
          <w:sz w:val="32"/>
          <w:szCs w:val="32"/>
          <w:lang w:val="en-US" w:eastAsia="zh-CN"/>
        </w:rPr>
        <w:t>于预算数</w:t>
      </w:r>
      <w:r>
        <w:rPr>
          <w:rFonts w:hint="eastAsia" w:ascii="Times New Roman" w:hAnsi="Times New Roman" w:eastAsia="仿宋_GB2312" w:cs="Times New Roman"/>
          <w:sz w:val="32"/>
          <w:szCs w:val="32"/>
          <w:lang w:val="en-US" w:eastAsia="zh-CN"/>
        </w:rPr>
        <w:t>的原因是人员经费增加。</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lang w:val="en-US" w:eastAsia="zh-CN"/>
        </w:rPr>
      </w:pPr>
      <w:r>
        <w:rPr>
          <w:rFonts w:hint="eastAsia" w:ascii="Times New Roman" w:hAnsi="Times New Roman" w:eastAsia="仿宋_GB2312" w:cs="Times New Roman"/>
          <w:sz w:val="32"/>
          <w:szCs w:val="32"/>
          <w:lang w:val="en-US" w:eastAsia="zh-CN"/>
        </w:rPr>
        <w:t>3、</w:t>
      </w:r>
      <w:r>
        <w:rPr>
          <w:rFonts w:hint="eastAsia" w:ascii="楷体" w:hAnsi="楷体" w:eastAsia="楷体" w:cs="楷体"/>
          <w:b w:val="0"/>
          <w:bCs/>
          <w:sz w:val="32"/>
          <w:szCs w:val="32"/>
          <w:lang w:val="en-US" w:eastAsia="zh-CN"/>
        </w:rPr>
        <w:t>教育支出（类）教育及培训（款）培训支出（项）。</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 xml:space="preserve"> 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lang w:val="en-US" w:eastAsia="zh-CN"/>
        </w:rPr>
        <w:t>万元，支出决算为</w:t>
      </w:r>
      <w:r>
        <w:rPr>
          <w:rFonts w:hint="eastAsia" w:ascii="Times New Roman" w:hAnsi="Times New Roman" w:eastAsia="仿宋_GB2312" w:cs="Times New Roman"/>
          <w:sz w:val="32"/>
          <w:szCs w:val="32"/>
          <w:lang w:val="en-US" w:eastAsia="zh-CN"/>
        </w:rPr>
        <w:t>50.37</w:t>
      </w:r>
      <w:r>
        <w:rPr>
          <w:rFonts w:ascii="Times New Roman" w:hAnsi="Times New Roman" w:eastAsia="仿宋_GB2312" w:cs="Times New Roman"/>
          <w:sz w:val="32"/>
          <w:szCs w:val="32"/>
          <w:lang w:val="en-US" w:eastAsia="zh-CN"/>
        </w:rPr>
        <w:t>万元，</w:t>
      </w:r>
      <w:r>
        <w:rPr>
          <w:rFonts w:hint="eastAsia" w:ascii="楷体" w:hAnsi="楷体" w:eastAsia="楷体" w:cs="楷体"/>
          <w:b w:val="0"/>
          <w:bCs/>
          <w:sz w:val="32"/>
          <w:szCs w:val="32"/>
          <w:lang w:val="en-US" w:eastAsia="zh-CN"/>
        </w:rPr>
        <w:t>占总支出的6.47%，</w:t>
      </w:r>
      <w:r>
        <w:rPr>
          <w:rFonts w:ascii="Times New Roman" w:hAnsi="Times New Roman" w:eastAsia="仿宋_GB2312" w:cs="Times New Roman"/>
          <w:sz w:val="32"/>
          <w:szCs w:val="32"/>
          <w:lang w:val="en-US" w:eastAsia="zh-CN"/>
        </w:rPr>
        <w:t>支出决算</w:t>
      </w:r>
      <w:r>
        <w:rPr>
          <w:rFonts w:hint="eastAsia" w:ascii="Times New Roman" w:hAnsi="Times New Roman" w:eastAsia="仿宋_GB2312" w:cs="Times New Roman"/>
          <w:sz w:val="32"/>
          <w:szCs w:val="32"/>
          <w:lang w:val="en-US" w:eastAsia="zh-CN"/>
        </w:rPr>
        <w:t>大于</w:t>
      </w:r>
      <w:r>
        <w:rPr>
          <w:rFonts w:ascii="Times New Roman" w:hAnsi="Times New Roman" w:eastAsia="仿宋_GB2312" w:cs="Times New Roman"/>
          <w:sz w:val="32"/>
          <w:szCs w:val="32"/>
          <w:lang w:val="en-US" w:eastAsia="zh-CN"/>
        </w:rPr>
        <w:t>年初预算</w:t>
      </w:r>
      <w:r>
        <w:rPr>
          <w:rFonts w:hint="eastAsia" w:ascii="楷体" w:hAnsi="楷体" w:eastAsia="楷体" w:cs="楷体"/>
          <w:b w:val="0"/>
          <w:bCs/>
          <w:sz w:val="32"/>
          <w:szCs w:val="32"/>
          <w:lang w:val="en-US" w:eastAsia="zh-CN"/>
        </w:rPr>
        <w:t>主要原因是调整预算所致。</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lang w:val="en-US" w:eastAsia="zh-CN"/>
        </w:rPr>
        <w:t>、社会保障和就业支出（类）行政事业单位养老支出（款）机关事业单位基本养老保险缴费支出（项）。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年初预算为29.93万元，支出决算为29.93万元，</w:t>
      </w:r>
      <w:r>
        <w:rPr>
          <w:rFonts w:hint="eastAsia" w:ascii="楷体" w:hAnsi="楷体" w:eastAsia="楷体" w:cs="楷体"/>
          <w:b w:val="0"/>
          <w:bCs/>
          <w:sz w:val="32"/>
          <w:szCs w:val="32"/>
          <w:lang w:val="en-US" w:eastAsia="zh-CN"/>
        </w:rPr>
        <w:t>占总支出的3.85%，</w:t>
      </w:r>
      <w:r>
        <w:rPr>
          <w:rFonts w:ascii="Times New Roman" w:hAnsi="Times New Roman" w:eastAsia="仿宋_GB2312" w:cs="Times New Roman"/>
          <w:sz w:val="32"/>
          <w:szCs w:val="32"/>
          <w:lang w:val="en-US" w:eastAsia="zh-CN"/>
        </w:rPr>
        <w:t>完成年初预算的</w:t>
      </w:r>
      <w:r>
        <w:rPr>
          <w:rFonts w:hint="eastAsia" w:ascii="Times New Roman" w:hAnsi="Times New Roman" w:eastAsia="仿宋_GB2312" w:cs="Times New Roman"/>
          <w:sz w:val="32"/>
          <w:szCs w:val="32"/>
          <w:lang w:val="en-US" w:eastAsia="zh-CN"/>
        </w:rPr>
        <w:t>100.00%。</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lang w:val="en-US" w:eastAsia="zh-CN"/>
        </w:rPr>
        <w:t>、社会保障和就业支出（类）</w:t>
      </w:r>
      <w:r>
        <w:rPr>
          <w:rFonts w:hint="eastAsia" w:ascii="Times New Roman" w:hAnsi="Times New Roman" w:eastAsia="仿宋_GB2312" w:cs="Times New Roman"/>
          <w:sz w:val="32"/>
          <w:szCs w:val="32"/>
          <w:lang w:val="en-US" w:eastAsia="zh-CN"/>
        </w:rPr>
        <w:t>抚恤</w:t>
      </w:r>
      <w:r>
        <w:rPr>
          <w:rFonts w:ascii="Times New Roman" w:hAnsi="Times New Roman" w:eastAsia="仿宋_GB2312" w:cs="Times New Roman"/>
          <w:sz w:val="32"/>
          <w:szCs w:val="32"/>
          <w:lang w:val="en-US" w:eastAsia="zh-CN"/>
        </w:rPr>
        <w:t>（款）</w:t>
      </w:r>
      <w:r>
        <w:rPr>
          <w:rFonts w:hint="eastAsia" w:ascii="Times New Roman" w:hAnsi="Times New Roman" w:eastAsia="仿宋_GB2312" w:cs="Times New Roman"/>
          <w:sz w:val="32"/>
          <w:szCs w:val="32"/>
          <w:lang w:val="en-US" w:eastAsia="zh-CN"/>
        </w:rPr>
        <w:t>死亡抚恤</w:t>
      </w:r>
      <w:r>
        <w:rPr>
          <w:rFonts w:ascii="Times New Roman" w:hAnsi="Times New Roman" w:eastAsia="仿宋_GB2312" w:cs="Times New Roman"/>
          <w:sz w:val="32"/>
          <w:szCs w:val="32"/>
          <w:lang w:val="en-US" w:eastAsia="zh-CN"/>
        </w:rPr>
        <w:t>（项）。</w:t>
      </w:r>
    </w:p>
    <w:p>
      <w:pPr>
        <w:pStyle w:val="13"/>
        <w:overflowPunct w:val="0"/>
        <w:autoSpaceDE/>
        <w:autoSpaceDN/>
        <w:spacing w:line="600" w:lineRule="exact"/>
        <w:ind w:firstLine="640" w:firstLineChars="200"/>
        <w:jc w:val="both"/>
        <w:rPr>
          <w:rFonts w:hint="eastAsia" w:ascii="楷体" w:hAnsi="楷体" w:eastAsia="楷体" w:cs="楷体"/>
          <w:b w:val="0"/>
          <w:bCs/>
          <w:sz w:val="32"/>
          <w:szCs w:val="32"/>
          <w:lang w:val="en-US" w:eastAsia="zh-CN"/>
        </w:rPr>
      </w:pPr>
      <w:r>
        <w:rPr>
          <w:rFonts w:hint="eastAsia" w:ascii="Times New Roman" w:hAnsi="Times New Roman" w:eastAsia="仿宋_GB2312" w:cs="Times New Roman"/>
          <w:sz w:val="32"/>
          <w:szCs w:val="32"/>
          <w:lang w:val="en-US" w:eastAsia="zh-CN"/>
        </w:rPr>
        <w:t>年初预算为0万元，支出决算为16.32万元，</w:t>
      </w:r>
      <w:r>
        <w:rPr>
          <w:rFonts w:hint="eastAsia" w:ascii="楷体" w:hAnsi="楷体" w:eastAsia="楷体" w:cs="楷体"/>
          <w:b w:val="0"/>
          <w:bCs/>
          <w:sz w:val="32"/>
          <w:szCs w:val="32"/>
          <w:lang w:val="en-US" w:eastAsia="zh-CN"/>
        </w:rPr>
        <w:t>占总支出的2.10%，</w:t>
      </w:r>
      <w:r>
        <w:rPr>
          <w:rFonts w:ascii="Times New Roman" w:hAnsi="Times New Roman" w:eastAsia="仿宋_GB2312" w:cs="Times New Roman"/>
          <w:sz w:val="32"/>
          <w:szCs w:val="32"/>
          <w:lang w:val="en-US" w:eastAsia="zh-CN"/>
        </w:rPr>
        <w:t>支出决算</w:t>
      </w:r>
      <w:r>
        <w:rPr>
          <w:rFonts w:hint="eastAsia" w:ascii="Times New Roman" w:hAnsi="Times New Roman" w:eastAsia="仿宋_GB2312" w:cs="Times New Roman"/>
          <w:sz w:val="32"/>
          <w:szCs w:val="32"/>
          <w:lang w:val="en-US" w:eastAsia="zh-CN"/>
        </w:rPr>
        <w:t>大于</w:t>
      </w:r>
      <w:r>
        <w:rPr>
          <w:rFonts w:ascii="Times New Roman" w:hAnsi="Times New Roman" w:eastAsia="仿宋_GB2312" w:cs="Times New Roman"/>
          <w:sz w:val="32"/>
          <w:szCs w:val="32"/>
          <w:lang w:val="en-US" w:eastAsia="zh-CN"/>
        </w:rPr>
        <w:t>年初预算</w:t>
      </w:r>
      <w:r>
        <w:rPr>
          <w:rFonts w:hint="eastAsia" w:ascii="楷体" w:hAnsi="楷体" w:eastAsia="楷体" w:cs="楷体"/>
          <w:b w:val="0"/>
          <w:bCs/>
          <w:sz w:val="32"/>
          <w:szCs w:val="32"/>
          <w:lang w:val="en-US" w:eastAsia="zh-CN"/>
        </w:rPr>
        <w:t>主要原因是调整预算所致。</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lang w:val="en-US" w:eastAsia="zh-CN"/>
        </w:rPr>
        <w:t>卫生健康支出（类）行政事业单位医疗（款）行政单位医疗（项）。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年初预算为</w:t>
      </w:r>
      <w:r>
        <w:rPr>
          <w:rFonts w:hint="eastAsia" w:ascii="Times New Roman" w:hAnsi="Times New Roman" w:eastAsia="仿宋_GB2312" w:cs="Times New Roman"/>
          <w:sz w:val="32"/>
          <w:szCs w:val="32"/>
          <w:lang w:val="en-US" w:eastAsia="zh-CN"/>
        </w:rPr>
        <w:t>16.27</w:t>
      </w:r>
      <w:r>
        <w:rPr>
          <w:rFonts w:ascii="Times New Roman" w:hAnsi="Times New Roman" w:eastAsia="仿宋_GB2312" w:cs="Times New Roman"/>
          <w:sz w:val="32"/>
          <w:szCs w:val="32"/>
          <w:lang w:val="en-US" w:eastAsia="zh-CN"/>
        </w:rPr>
        <w:t>万元，支出决算为</w:t>
      </w:r>
      <w:r>
        <w:rPr>
          <w:rFonts w:hint="eastAsia" w:ascii="Times New Roman" w:hAnsi="Times New Roman" w:eastAsia="仿宋_GB2312" w:cs="Times New Roman"/>
          <w:sz w:val="32"/>
          <w:szCs w:val="32"/>
          <w:lang w:val="en-US" w:eastAsia="zh-CN"/>
        </w:rPr>
        <w:t>16.27</w:t>
      </w:r>
      <w:r>
        <w:rPr>
          <w:rFonts w:ascii="Times New Roman" w:hAnsi="Times New Roman" w:eastAsia="仿宋_GB2312" w:cs="Times New Roman"/>
          <w:sz w:val="32"/>
          <w:szCs w:val="32"/>
          <w:lang w:val="en-US" w:eastAsia="zh-CN"/>
        </w:rPr>
        <w:t>万元，</w:t>
      </w:r>
      <w:r>
        <w:rPr>
          <w:rFonts w:hint="eastAsia" w:ascii="楷体" w:hAnsi="楷体" w:eastAsia="楷体" w:cs="楷体"/>
          <w:b w:val="0"/>
          <w:bCs/>
          <w:sz w:val="32"/>
          <w:szCs w:val="32"/>
          <w:lang w:val="en-US" w:eastAsia="zh-CN"/>
        </w:rPr>
        <w:t>占总支出的2.09%，</w:t>
      </w:r>
      <w:r>
        <w:rPr>
          <w:rFonts w:ascii="Times New Roman" w:hAnsi="Times New Roman" w:eastAsia="仿宋_GB2312" w:cs="Times New Roman"/>
          <w:sz w:val="32"/>
          <w:szCs w:val="32"/>
          <w:lang w:val="en-US" w:eastAsia="zh-CN"/>
        </w:rPr>
        <w:t>完成年初预算的</w:t>
      </w:r>
      <w:r>
        <w:rPr>
          <w:rFonts w:hint="eastAsia" w:ascii="Times New Roman" w:hAnsi="Times New Roman" w:eastAsia="仿宋_GB2312" w:cs="Times New Roman"/>
          <w:sz w:val="32"/>
          <w:szCs w:val="32"/>
          <w:lang w:val="en-US" w:eastAsia="zh-CN"/>
        </w:rPr>
        <w:t>100.00%。</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7、债务还本支出</w:t>
      </w:r>
      <w:r>
        <w:rPr>
          <w:rFonts w:ascii="Times New Roman" w:hAnsi="Times New Roman" w:eastAsia="仿宋_GB2312" w:cs="Times New Roman"/>
          <w:sz w:val="32"/>
          <w:szCs w:val="32"/>
          <w:lang w:val="en-US" w:eastAsia="zh-CN"/>
        </w:rPr>
        <w:t>（类）</w:t>
      </w:r>
      <w:r>
        <w:rPr>
          <w:rFonts w:hint="eastAsia" w:ascii="Times New Roman" w:hAnsi="Times New Roman" w:eastAsia="仿宋_GB2312" w:cs="Times New Roman"/>
          <w:sz w:val="32"/>
          <w:szCs w:val="32"/>
          <w:lang w:val="en-US" w:eastAsia="zh-CN"/>
        </w:rPr>
        <w:t>地方政府专项债务还本支出</w:t>
      </w:r>
      <w:r>
        <w:rPr>
          <w:rFonts w:ascii="Times New Roman" w:hAnsi="Times New Roman" w:eastAsia="仿宋_GB2312" w:cs="Times New Roman"/>
          <w:sz w:val="32"/>
          <w:szCs w:val="32"/>
          <w:lang w:val="en-US" w:eastAsia="zh-CN"/>
        </w:rPr>
        <w:t>（款）</w:t>
      </w:r>
      <w:r>
        <w:rPr>
          <w:rFonts w:hint="eastAsia" w:ascii="Times New Roman" w:hAnsi="Times New Roman" w:eastAsia="仿宋_GB2312" w:cs="Times New Roman"/>
          <w:sz w:val="32"/>
          <w:szCs w:val="32"/>
          <w:lang w:val="en-US" w:eastAsia="zh-CN"/>
        </w:rPr>
        <w:t>其他政府性基金债务还本支出</w:t>
      </w:r>
      <w:r>
        <w:rPr>
          <w:rFonts w:ascii="Times New Roman" w:hAnsi="Times New Roman" w:eastAsia="仿宋_GB2312" w:cs="Times New Roman"/>
          <w:sz w:val="32"/>
          <w:szCs w:val="32"/>
          <w:lang w:val="en-US" w:eastAsia="zh-CN"/>
        </w:rPr>
        <w:t>（项）。</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lang w:val="en-US" w:eastAsia="zh-CN"/>
        </w:rPr>
        <w:t>万元，支出决算为</w:t>
      </w:r>
      <w:r>
        <w:rPr>
          <w:rFonts w:hint="eastAsia" w:ascii="Times New Roman" w:hAnsi="Times New Roman" w:eastAsia="仿宋_GB2312" w:cs="Times New Roman"/>
          <w:sz w:val="32"/>
          <w:szCs w:val="32"/>
          <w:lang w:val="en-US" w:eastAsia="zh-CN"/>
        </w:rPr>
        <w:t>109.80</w:t>
      </w:r>
      <w:r>
        <w:rPr>
          <w:rFonts w:ascii="Times New Roman" w:hAnsi="Times New Roman" w:eastAsia="仿宋_GB2312" w:cs="Times New Roman"/>
          <w:sz w:val="32"/>
          <w:szCs w:val="32"/>
          <w:lang w:val="en-US" w:eastAsia="zh-CN"/>
        </w:rPr>
        <w:t>万元，</w:t>
      </w:r>
      <w:r>
        <w:rPr>
          <w:rFonts w:hint="eastAsia" w:ascii="楷体" w:hAnsi="楷体" w:eastAsia="楷体" w:cs="楷体"/>
          <w:b w:val="0"/>
          <w:bCs/>
          <w:sz w:val="32"/>
          <w:szCs w:val="32"/>
          <w:lang w:val="en-US" w:eastAsia="zh-CN"/>
        </w:rPr>
        <w:t>占总支出的14.11%，</w:t>
      </w:r>
      <w:r>
        <w:rPr>
          <w:rFonts w:ascii="Times New Roman" w:hAnsi="Times New Roman" w:eastAsia="仿宋_GB2312" w:cs="Times New Roman"/>
          <w:sz w:val="32"/>
          <w:szCs w:val="32"/>
          <w:lang w:val="en-US" w:eastAsia="zh-CN"/>
        </w:rPr>
        <w:t>支出决算</w:t>
      </w:r>
      <w:r>
        <w:rPr>
          <w:rFonts w:hint="eastAsia" w:ascii="Times New Roman" w:hAnsi="Times New Roman" w:eastAsia="仿宋_GB2312" w:cs="Times New Roman"/>
          <w:sz w:val="32"/>
          <w:szCs w:val="32"/>
          <w:lang w:val="en-US" w:eastAsia="zh-CN"/>
        </w:rPr>
        <w:t>大于</w:t>
      </w:r>
      <w:r>
        <w:rPr>
          <w:rFonts w:ascii="Times New Roman" w:hAnsi="Times New Roman" w:eastAsia="仿宋_GB2312" w:cs="Times New Roman"/>
          <w:sz w:val="32"/>
          <w:szCs w:val="32"/>
          <w:lang w:val="en-US" w:eastAsia="zh-CN"/>
        </w:rPr>
        <w:t>年初预算</w:t>
      </w:r>
      <w:r>
        <w:rPr>
          <w:rFonts w:hint="eastAsia" w:ascii="楷体" w:hAnsi="楷体" w:eastAsia="楷体" w:cs="楷体"/>
          <w:b w:val="0"/>
          <w:bCs/>
          <w:sz w:val="32"/>
          <w:szCs w:val="32"/>
          <w:lang w:val="en-US" w:eastAsia="zh-CN"/>
        </w:rPr>
        <w:t>主要原因是调整预算所致。</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951.76</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778.50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81.80</w:t>
      </w:r>
      <w:r>
        <w:rPr>
          <w:rFonts w:ascii="Times New Roman" w:hAnsi="Times New Roman" w:eastAsia="仿宋_GB2312" w:cs="Times New Roman"/>
          <w:sz w:val="32"/>
          <w:szCs w:val="32"/>
        </w:rPr>
        <w:t>%，其中：</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1、一般公共服务支出</w:t>
      </w:r>
      <w:r>
        <w:rPr>
          <w:rFonts w:ascii="Times New Roman" w:hAnsi="Times New Roman" w:eastAsia="仿宋_GB2312" w:cs="Times New Roman"/>
          <w:sz w:val="32"/>
          <w:szCs w:val="32"/>
          <w:lang w:val="en-US" w:eastAsia="zh-CN"/>
        </w:rPr>
        <w:t>（类）</w:t>
      </w:r>
      <w:r>
        <w:rPr>
          <w:rFonts w:hint="eastAsia" w:ascii="Times New Roman" w:hAnsi="Times New Roman" w:eastAsia="仿宋_GB2312" w:cs="Times New Roman"/>
          <w:sz w:val="32"/>
          <w:szCs w:val="32"/>
          <w:lang w:val="en-US" w:eastAsia="zh-CN"/>
        </w:rPr>
        <w:t>党委办公厅（室）及相关机构事务</w:t>
      </w:r>
      <w:r>
        <w:rPr>
          <w:rFonts w:ascii="Times New Roman" w:hAnsi="Times New Roman" w:eastAsia="仿宋_GB2312" w:cs="Times New Roman"/>
          <w:sz w:val="32"/>
          <w:szCs w:val="32"/>
          <w:lang w:val="en-US" w:eastAsia="zh-CN"/>
        </w:rPr>
        <w:t>（款）</w:t>
      </w:r>
      <w:r>
        <w:rPr>
          <w:rFonts w:hint="eastAsia" w:ascii="Times New Roman" w:hAnsi="Times New Roman" w:eastAsia="仿宋_GB2312" w:cs="Times New Roman"/>
          <w:sz w:val="32"/>
          <w:szCs w:val="32"/>
          <w:lang w:val="en-US" w:eastAsia="zh-CN"/>
        </w:rPr>
        <w:t>行政运行</w:t>
      </w:r>
      <w:r>
        <w:rPr>
          <w:rFonts w:ascii="Times New Roman" w:hAnsi="Times New Roman" w:eastAsia="仿宋_GB2312" w:cs="Times New Roman"/>
          <w:sz w:val="32"/>
          <w:szCs w:val="32"/>
          <w:lang w:val="en-US" w:eastAsia="zh-CN"/>
        </w:rPr>
        <w:t xml:space="preserve">（项）。 </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lang w:val="en-US" w:eastAsia="zh-CN"/>
        </w:rPr>
        <w:t>万元，支出决算为</w:t>
      </w:r>
      <w:r>
        <w:rPr>
          <w:rFonts w:hint="eastAsia" w:ascii="Times New Roman" w:hAnsi="Times New Roman" w:eastAsia="仿宋_GB2312" w:cs="Times New Roman"/>
          <w:sz w:val="32"/>
          <w:szCs w:val="32"/>
          <w:lang w:val="en-US" w:eastAsia="zh-CN"/>
        </w:rPr>
        <w:t>82.79</w:t>
      </w:r>
      <w:r>
        <w:rPr>
          <w:rFonts w:ascii="Times New Roman" w:hAnsi="Times New Roman" w:eastAsia="仿宋_GB2312" w:cs="Times New Roman"/>
          <w:sz w:val="32"/>
          <w:szCs w:val="32"/>
          <w:lang w:val="en-US" w:eastAsia="zh-CN"/>
        </w:rPr>
        <w:t>万元，</w:t>
      </w:r>
      <w:r>
        <w:rPr>
          <w:rFonts w:hint="eastAsia" w:ascii="楷体" w:hAnsi="楷体" w:eastAsia="楷体" w:cs="楷体"/>
          <w:b w:val="0"/>
          <w:bCs/>
          <w:sz w:val="32"/>
          <w:szCs w:val="32"/>
          <w:lang w:val="en-US" w:eastAsia="zh-CN"/>
        </w:rPr>
        <w:t>占总支出的10.64%</w:t>
      </w:r>
      <w:r>
        <w:rPr>
          <w:rFonts w:hint="eastAsia"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lang w:val="en-US" w:eastAsia="zh-CN"/>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lang w:val="en-US" w:eastAsia="zh-CN"/>
        </w:rPr>
        <w:t>于预算数</w:t>
      </w:r>
      <w:r>
        <w:rPr>
          <w:rFonts w:hint="eastAsia" w:ascii="Times New Roman" w:hAnsi="Times New Roman" w:eastAsia="仿宋_GB2312" w:cs="Times New Roman"/>
          <w:sz w:val="32"/>
          <w:szCs w:val="32"/>
          <w:lang w:val="en-US" w:eastAsia="zh-CN"/>
        </w:rPr>
        <w:t>的原因是人员经费增加。</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w:t>
      </w:r>
      <w:r>
        <w:rPr>
          <w:rFonts w:hint="eastAsia" w:ascii="楷体" w:hAnsi="楷体" w:eastAsia="楷体" w:cs="楷体"/>
          <w:b w:val="0"/>
          <w:bCs/>
          <w:sz w:val="32"/>
          <w:szCs w:val="32"/>
          <w:lang w:val="en-US" w:eastAsia="zh-CN"/>
        </w:rPr>
        <w:t>教育支出（类）教育及培训（款）干部教育（项）。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年初预算为</w:t>
      </w:r>
      <w:r>
        <w:rPr>
          <w:rFonts w:hint="eastAsia" w:ascii="Times New Roman" w:hAnsi="Times New Roman" w:eastAsia="仿宋_GB2312" w:cs="Times New Roman"/>
          <w:sz w:val="32"/>
          <w:szCs w:val="32"/>
          <w:lang w:val="en-US" w:eastAsia="zh-CN"/>
        </w:rPr>
        <w:t>643.60</w:t>
      </w:r>
      <w:r>
        <w:rPr>
          <w:rFonts w:ascii="Times New Roman" w:hAnsi="Times New Roman" w:eastAsia="仿宋_GB2312" w:cs="Times New Roman"/>
          <w:sz w:val="32"/>
          <w:szCs w:val="32"/>
          <w:lang w:val="en-US" w:eastAsia="zh-CN"/>
        </w:rPr>
        <w:t>万元，支出决算为</w:t>
      </w:r>
      <w:r>
        <w:rPr>
          <w:rFonts w:hint="eastAsia" w:ascii="Times New Roman" w:hAnsi="Times New Roman" w:eastAsia="仿宋_GB2312" w:cs="Times New Roman"/>
          <w:sz w:val="32"/>
          <w:szCs w:val="32"/>
          <w:lang w:val="en-US" w:eastAsia="zh-CN"/>
        </w:rPr>
        <w:t>473.02</w:t>
      </w:r>
      <w:r>
        <w:rPr>
          <w:rFonts w:ascii="Times New Roman" w:hAnsi="Times New Roman" w:eastAsia="仿宋_GB2312" w:cs="Times New Roman"/>
          <w:sz w:val="32"/>
          <w:szCs w:val="32"/>
          <w:lang w:val="en-US" w:eastAsia="zh-CN"/>
        </w:rPr>
        <w:t>万元，</w:t>
      </w:r>
      <w:r>
        <w:rPr>
          <w:rFonts w:hint="eastAsia" w:ascii="楷体" w:hAnsi="楷体" w:eastAsia="楷体" w:cs="楷体"/>
          <w:b w:val="0"/>
          <w:bCs/>
          <w:sz w:val="32"/>
          <w:szCs w:val="32"/>
          <w:lang w:val="en-US" w:eastAsia="zh-CN"/>
        </w:rPr>
        <w:t>占总支出的60.08%，</w:t>
      </w:r>
      <w:r>
        <w:rPr>
          <w:rFonts w:ascii="Times New Roman" w:hAnsi="Times New Roman" w:eastAsia="仿宋_GB2312" w:cs="Times New Roman"/>
          <w:sz w:val="32"/>
          <w:szCs w:val="32"/>
          <w:lang w:val="en-US" w:eastAsia="zh-CN"/>
        </w:rPr>
        <w:t>完成年初预算的</w:t>
      </w:r>
      <w:r>
        <w:rPr>
          <w:rFonts w:hint="eastAsia" w:ascii="Times New Roman" w:hAnsi="Times New Roman" w:eastAsia="仿宋_GB2312" w:cs="Times New Roman"/>
          <w:sz w:val="32"/>
          <w:szCs w:val="32"/>
          <w:lang w:val="en-US" w:eastAsia="zh-CN"/>
        </w:rPr>
        <w:t>118.26%，</w:t>
      </w:r>
      <w:r>
        <w:rPr>
          <w:rFonts w:ascii="Times New Roman" w:hAnsi="Times New Roman" w:eastAsia="仿宋_GB2312" w:cs="Times New Roman"/>
          <w:sz w:val="32"/>
          <w:szCs w:val="32"/>
          <w:lang w:val="en-US" w:eastAsia="zh-CN"/>
        </w:rPr>
        <w:t>决算数</w:t>
      </w:r>
      <w:r>
        <w:rPr>
          <w:rFonts w:hint="eastAsia" w:ascii="Times New Roman" w:hAnsi="Times New Roman" w:eastAsia="仿宋_GB2312" w:cs="Times New Roman"/>
          <w:sz w:val="32"/>
          <w:szCs w:val="32"/>
          <w:lang w:val="en-US" w:eastAsia="zh-CN"/>
        </w:rPr>
        <w:t>小</w:t>
      </w:r>
      <w:r>
        <w:rPr>
          <w:rFonts w:ascii="Times New Roman" w:hAnsi="Times New Roman" w:eastAsia="仿宋_GB2312" w:cs="Times New Roman"/>
          <w:sz w:val="32"/>
          <w:szCs w:val="32"/>
          <w:lang w:val="en-US" w:eastAsia="zh-CN"/>
        </w:rPr>
        <w:t>于预算数</w:t>
      </w:r>
      <w:r>
        <w:rPr>
          <w:rFonts w:hint="eastAsia" w:ascii="Times New Roman" w:hAnsi="Times New Roman" w:eastAsia="仿宋_GB2312" w:cs="Times New Roman"/>
          <w:sz w:val="32"/>
          <w:szCs w:val="32"/>
          <w:lang w:val="en-US" w:eastAsia="zh-CN"/>
        </w:rPr>
        <w:t>的原因是人员经费增加。</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lang w:val="en-US" w:eastAsia="zh-CN"/>
        </w:rPr>
      </w:pPr>
      <w:r>
        <w:rPr>
          <w:rFonts w:hint="eastAsia" w:ascii="Times New Roman" w:hAnsi="Times New Roman" w:eastAsia="仿宋_GB2312" w:cs="Times New Roman"/>
          <w:sz w:val="32"/>
          <w:szCs w:val="32"/>
          <w:lang w:val="en-US" w:eastAsia="zh-CN"/>
        </w:rPr>
        <w:t>3、</w:t>
      </w:r>
      <w:r>
        <w:rPr>
          <w:rFonts w:hint="eastAsia" w:ascii="楷体" w:hAnsi="楷体" w:eastAsia="楷体" w:cs="楷体"/>
          <w:b w:val="0"/>
          <w:bCs/>
          <w:sz w:val="32"/>
          <w:szCs w:val="32"/>
          <w:lang w:val="en-US" w:eastAsia="zh-CN"/>
        </w:rPr>
        <w:t>教育支出（类）教育及培训（款）培训支出（项）。</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 xml:space="preserve"> 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lang w:val="en-US" w:eastAsia="zh-CN"/>
        </w:rPr>
        <w:t>万元，支出决算为</w:t>
      </w:r>
      <w:r>
        <w:rPr>
          <w:rFonts w:hint="eastAsia" w:ascii="Times New Roman" w:hAnsi="Times New Roman" w:eastAsia="仿宋_GB2312" w:cs="Times New Roman"/>
          <w:sz w:val="32"/>
          <w:szCs w:val="32"/>
          <w:lang w:val="en-US" w:eastAsia="zh-CN"/>
        </w:rPr>
        <w:t>50.37</w:t>
      </w:r>
      <w:r>
        <w:rPr>
          <w:rFonts w:ascii="Times New Roman" w:hAnsi="Times New Roman" w:eastAsia="仿宋_GB2312" w:cs="Times New Roman"/>
          <w:sz w:val="32"/>
          <w:szCs w:val="32"/>
          <w:lang w:val="en-US" w:eastAsia="zh-CN"/>
        </w:rPr>
        <w:t>万元，</w:t>
      </w:r>
      <w:r>
        <w:rPr>
          <w:rFonts w:hint="eastAsia" w:ascii="楷体" w:hAnsi="楷体" w:eastAsia="楷体" w:cs="楷体"/>
          <w:b w:val="0"/>
          <w:bCs/>
          <w:sz w:val="32"/>
          <w:szCs w:val="32"/>
          <w:lang w:val="en-US" w:eastAsia="zh-CN"/>
        </w:rPr>
        <w:t>占总支出的6.47%，</w:t>
      </w:r>
      <w:r>
        <w:rPr>
          <w:rFonts w:ascii="Times New Roman" w:hAnsi="Times New Roman" w:eastAsia="仿宋_GB2312" w:cs="Times New Roman"/>
          <w:sz w:val="32"/>
          <w:szCs w:val="32"/>
          <w:lang w:val="en-US" w:eastAsia="zh-CN"/>
        </w:rPr>
        <w:t>支出决算</w:t>
      </w:r>
      <w:r>
        <w:rPr>
          <w:rFonts w:hint="eastAsia" w:ascii="Times New Roman" w:hAnsi="Times New Roman" w:eastAsia="仿宋_GB2312" w:cs="Times New Roman"/>
          <w:sz w:val="32"/>
          <w:szCs w:val="32"/>
          <w:lang w:val="en-US" w:eastAsia="zh-CN"/>
        </w:rPr>
        <w:t>大于</w:t>
      </w:r>
      <w:r>
        <w:rPr>
          <w:rFonts w:ascii="Times New Roman" w:hAnsi="Times New Roman" w:eastAsia="仿宋_GB2312" w:cs="Times New Roman"/>
          <w:sz w:val="32"/>
          <w:szCs w:val="32"/>
          <w:lang w:val="en-US" w:eastAsia="zh-CN"/>
        </w:rPr>
        <w:t>年初预算</w:t>
      </w:r>
      <w:r>
        <w:rPr>
          <w:rFonts w:hint="eastAsia" w:ascii="楷体" w:hAnsi="楷体" w:eastAsia="楷体" w:cs="楷体"/>
          <w:b w:val="0"/>
          <w:bCs/>
          <w:sz w:val="32"/>
          <w:szCs w:val="32"/>
          <w:lang w:val="en-US" w:eastAsia="zh-CN"/>
        </w:rPr>
        <w:t>主要原因是调整预算所致。</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lang w:val="en-US" w:eastAsia="zh-CN"/>
        </w:rPr>
        <w:t>、社会保障和就业支出（类）行政事业单位养老支出（款）机关事业单位基本养老保险缴费支出（项）。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年初预算为29.93万元，支出决算为29.93万元，</w:t>
      </w:r>
      <w:r>
        <w:rPr>
          <w:rFonts w:hint="eastAsia" w:ascii="楷体" w:hAnsi="楷体" w:eastAsia="楷体" w:cs="楷体"/>
          <w:b w:val="0"/>
          <w:bCs/>
          <w:sz w:val="32"/>
          <w:szCs w:val="32"/>
          <w:lang w:val="en-US" w:eastAsia="zh-CN"/>
        </w:rPr>
        <w:t>占总支出的3.85%，</w:t>
      </w:r>
      <w:r>
        <w:rPr>
          <w:rFonts w:ascii="Times New Roman" w:hAnsi="Times New Roman" w:eastAsia="仿宋_GB2312" w:cs="Times New Roman"/>
          <w:sz w:val="32"/>
          <w:szCs w:val="32"/>
          <w:lang w:val="en-US" w:eastAsia="zh-CN"/>
        </w:rPr>
        <w:t>完成年初预算的</w:t>
      </w:r>
      <w:r>
        <w:rPr>
          <w:rFonts w:hint="eastAsia" w:ascii="Times New Roman" w:hAnsi="Times New Roman" w:eastAsia="仿宋_GB2312" w:cs="Times New Roman"/>
          <w:sz w:val="32"/>
          <w:szCs w:val="32"/>
          <w:lang w:val="en-US" w:eastAsia="zh-CN"/>
        </w:rPr>
        <w:t>100.00%。</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lang w:val="en-US" w:eastAsia="zh-CN"/>
        </w:rPr>
        <w:t>、社会保障和就业支出（类）</w:t>
      </w:r>
      <w:r>
        <w:rPr>
          <w:rFonts w:hint="eastAsia" w:ascii="Times New Roman" w:hAnsi="Times New Roman" w:eastAsia="仿宋_GB2312" w:cs="Times New Roman"/>
          <w:sz w:val="32"/>
          <w:szCs w:val="32"/>
          <w:lang w:val="en-US" w:eastAsia="zh-CN"/>
        </w:rPr>
        <w:t>抚恤</w:t>
      </w:r>
      <w:r>
        <w:rPr>
          <w:rFonts w:ascii="Times New Roman" w:hAnsi="Times New Roman" w:eastAsia="仿宋_GB2312" w:cs="Times New Roman"/>
          <w:sz w:val="32"/>
          <w:szCs w:val="32"/>
          <w:lang w:val="en-US" w:eastAsia="zh-CN"/>
        </w:rPr>
        <w:t>（款）</w:t>
      </w:r>
      <w:r>
        <w:rPr>
          <w:rFonts w:hint="eastAsia" w:ascii="Times New Roman" w:hAnsi="Times New Roman" w:eastAsia="仿宋_GB2312" w:cs="Times New Roman"/>
          <w:sz w:val="32"/>
          <w:szCs w:val="32"/>
          <w:lang w:val="en-US" w:eastAsia="zh-CN"/>
        </w:rPr>
        <w:t>死亡抚恤</w:t>
      </w:r>
      <w:r>
        <w:rPr>
          <w:rFonts w:ascii="Times New Roman" w:hAnsi="Times New Roman" w:eastAsia="仿宋_GB2312" w:cs="Times New Roman"/>
          <w:sz w:val="32"/>
          <w:szCs w:val="32"/>
          <w:lang w:val="en-US" w:eastAsia="zh-CN"/>
        </w:rPr>
        <w:t>（项）。</w:t>
      </w:r>
    </w:p>
    <w:p>
      <w:pPr>
        <w:pStyle w:val="13"/>
        <w:overflowPunct w:val="0"/>
        <w:autoSpaceDE/>
        <w:autoSpaceDN/>
        <w:spacing w:line="600" w:lineRule="exact"/>
        <w:ind w:firstLine="640" w:firstLineChars="200"/>
        <w:jc w:val="both"/>
        <w:rPr>
          <w:rFonts w:hint="eastAsia" w:ascii="楷体" w:hAnsi="楷体" w:eastAsia="楷体" w:cs="楷体"/>
          <w:b w:val="0"/>
          <w:bCs/>
          <w:sz w:val="32"/>
          <w:szCs w:val="32"/>
          <w:lang w:val="en-US" w:eastAsia="zh-CN"/>
        </w:rPr>
      </w:pPr>
      <w:r>
        <w:rPr>
          <w:rFonts w:hint="eastAsia" w:ascii="Times New Roman" w:hAnsi="Times New Roman" w:eastAsia="仿宋_GB2312" w:cs="Times New Roman"/>
          <w:sz w:val="32"/>
          <w:szCs w:val="32"/>
          <w:lang w:val="en-US" w:eastAsia="zh-CN"/>
        </w:rPr>
        <w:t>年初预算为0万元，支出决算为16.32万元，</w:t>
      </w:r>
      <w:r>
        <w:rPr>
          <w:rFonts w:hint="eastAsia" w:ascii="楷体" w:hAnsi="楷体" w:eastAsia="楷体" w:cs="楷体"/>
          <w:b w:val="0"/>
          <w:bCs/>
          <w:sz w:val="32"/>
          <w:szCs w:val="32"/>
          <w:lang w:val="en-US" w:eastAsia="zh-CN"/>
        </w:rPr>
        <w:t>占总支出的2.10%，</w:t>
      </w:r>
      <w:r>
        <w:rPr>
          <w:rFonts w:ascii="Times New Roman" w:hAnsi="Times New Roman" w:eastAsia="仿宋_GB2312" w:cs="Times New Roman"/>
          <w:sz w:val="32"/>
          <w:szCs w:val="32"/>
          <w:lang w:val="en-US" w:eastAsia="zh-CN"/>
        </w:rPr>
        <w:t>支出决算</w:t>
      </w:r>
      <w:r>
        <w:rPr>
          <w:rFonts w:hint="eastAsia" w:ascii="Times New Roman" w:hAnsi="Times New Roman" w:eastAsia="仿宋_GB2312" w:cs="Times New Roman"/>
          <w:sz w:val="32"/>
          <w:szCs w:val="32"/>
          <w:lang w:val="en-US" w:eastAsia="zh-CN"/>
        </w:rPr>
        <w:t>大于</w:t>
      </w:r>
      <w:r>
        <w:rPr>
          <w:rFonts w:ascii="Times New Roman" w:hAnsi="Times New Roman" w:eastAsia="仿宋_GB2312" w:cs="Times New Roman"/>
          <w:sz w:val="32"/>
          <w:szCs w:val="32"/>
          <w:lang w:val="en-US" w:eastAsia="zh-CN"/>
        </w:rPr>
        <w:t>年初预算</w:t>
      </w:r>
      <w:r>
        <w:rPr>
          <w:rFonts w:hint="eastAsia" w:ascii="楷体" w:hAnsi="楷体" w:eastAsia="楷体" w:cs="楷体"/>
          <w:b w:val="0"/>
          <w:bCs/>
          <w:sz w:val="32"/>
          <w:szCs w:val="32"/>
          <w:lang w:val="en-US" w:eastAsia="zh-CN"/>
        </w:rPr>
        <w:t>主要原因是调整预算所致。</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lang w:val="en-US" w:eastAsia="zh-CN"/>
        </w:rPr>
        <w:t>卫生健康支出（类）行政事业单位医疗（款）行政单位医疗（项）。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年初预算为</w:t>
      </w:r>
      <w:r>
        <w:rPr>
          <w:rFonts w:hint="eastAsia" w:ascii="Times New Roman" w:hAnsi="Times New Roman" w:eastAsia="仿宋_GB2312" w:cs="Times New Roman"/>
          <w:sz w:val="32"/>
          <w:szCs w:val="32"/>
          <w:lang w:val="en-US" w:eastAsia="zh-CN"/>
        </w:rPr>
        <w:t>16.27</w:t>
      </w:r>
      <w:r>
        <w:rPr>
          <w:rFonts w:ascii="Times New Roman" w:hAnsi="Times New Roman" w:eastAsia="仿宋_GB2312" w:cs="Times New Roman"/>
          <w:sz w:val="32"/>
          <w:szCs w:val="32"/>
          <w:lang w:val="en-US" w:eastAsia="zh-CN"/>
        </w:rPr>
        <w:t>万元，支出决算为</w:t>
      </w:r>
      <w:r>
        <w:rPr>
          <w:rFonts w:hint="eastAsia" w:ascii="Times New Roman" w:hAnsi="Times New Roman" w:eastAsia="仿宋_GB2312" w:cs="Times New Roman"/>
          <w:sz w:val="32"/>
          <w:szCs w:val="32"/>
          <w:lang w:val="en-US" w:eastAsia="zh-CN"/>
        </w:rPr>
        <w:t>16.27</w:t>
      </w:r>
      <w:r>
        <w:rPr>
          <w:rFonts w:ascii="Times New Roman" w:hAnsi="Times New Roman" w:eastAsia="仿宋_GB2312" w:cs="Times New Roman"/>
          <w:sz w:val="32"/>
          <w:szCs w:val="32"/>
          <w:lang w:val="en-US" w:eastAsia="zh-CN"/>
        </w:rPr>
        <w:t>万元，</w:t>
      </w:r>
      <w:r>
        <w:rPr>
          <w:rFonts w:hint="eastAsia" w:ascii="楷体" w:hAnsi="楷体" w:eastAsia="楷体" w:cs="楷体"/>
          <w:b w:val="0"/>
          <w:bCs/>
          <w:sz w:val="32"/>
          <w:szCs w:val="32"/>
          <w:lang w:val="en-US" w:eastAsia="zh-CN"/>
        </w:rPr>
        <w:t>占总支出的2.09%，</w:t>
      </w:r>
      <w:r>
        <w:rPr>
          <w:rFonts w:ascii="Times New Roman" w:hAnsi="Times New Roman" w:eastAsia="仿宋_GB2312" w:cs="Times New Roman"/>
          <w:sz w:val="32"/>
          <w:szCs w:val="32"/>
          <w:lang w:val="en-US" w:eastAsia="zh-CN"/>
        </w:rPr>
        <w:t>完成年初预算的</w:t>
      </w:r>
      <w:r>
        <w:rPr>
          <w:rFonts w:hint="eastAsia" w:ascii="Times New Roman" w:hAnsi="Times New Roman" w:eastAsia="仿宋_GB2312" w:cs="Times New Roman"/>
          <w:sz w:val="32"/>
          <w:szCs w:val="32"/>
          <w:lang w:val="en-US" w:eastAsia="zh-CN"/>
        </w:rPr>
        <w:t>100.00%。</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7、债务还本支出</w:t>
      </w:r>
      <w:r>
        <w:rPr>
          <w:rFonts w:ascii="Times New Roman" w:hAnsi="Times New Roman" w:eastAsia="仿宋_GB2312" w:cs="Times New Roman"/>
          <w:sz w:val="32"/>
          <w:szCs w:val="32"/>
          <w:lang w:val="en-US" w:eastAsia="zh-CN"/>
        </w:rPr>
        <w:t>（类）</w:t>
      </w:r>
      <w:r>
        <w:rPr>
          <w:rFonts w:hint="eastAsia" w:ascii="Times New Roman" w:hAnsi="Times New Roman" w:eastAsia="仿宋_GB2312" w:cs="Times New Roman"/>
          <w:sz w:val="32"/>
          <w:szCs w:val="32"/>
          <w:lang w:val="en-US" w:eastAsia="zh-CN"/>
        </w:rPr>
        <w:t>地方政府专项债务还本支出</w:t>
      </w:r>
      <w:r>
        <w:rPr>
          <w:rFonts w:ascii="Times New Roman" w:hAnsi="Times New Roman" w:eastAsia="仿宋_GB2312" w:cs="Times New Roman"/>
          <w:sz w:val="32"/>
          <w:szCs w:val="32"/>
          <w:lang w:val="en-US" w:eastAsia="zh-CN"/>
        </w:rPr>
        <w:t>（款）</w:t>
      </w:r>
      <w:r>
        <w:rPr>
          <w:rFonts w:hint="eastAsia" w:ascii="Times New Roman" w:hAnsi="Times New Roman" w:eastAsia="仿宋_GB2312" w:cs="Times New Roman"/>
          <w:sz w:val="32"/>
          <w:szCs w:val="32"/>
          <w:lang w:val="en-US" w:eastAsia="zh-CN"/>
        </w:rPr>
        <w:t>其他政府性基金债务还本支出</w:t>
      </w:r>
      <w:r>
        <w:rPr>
          <w:rFonts w:ascii="Times New Roman" w:hAnsi="Times New Roman" w:eastAsia="仿宋_GB2312" w:cs="Times New Roman"/>
          <w:sz w:val="32"/>
          <w:szCs w:val="32"/>
          <w:lang w:val="en-US" w:eastAsia="zh-CN"/>
        </w:rPr>
        <w:t>（项）。</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lang w:val="en-US" w:eastAsia="zh-CN"/>
        </w:rPr>
        <w:t>万元，支出决算为</w:t>
      </w:r>
      <w:r>
        <w:rPr>
          <w:rFonts w:hint="eastAsia" w:ascii="Times New Roman" w:hAnsi="Times New Roman" w:eastAsia="仿宋_GB2312" w:cs="Times New Roman"/>
          <w:sz w:val="32"/>
          <w:szCs w:val="32"/>
          <w:lang w:val="en-US" w:eastAsia="zh-CN"/>
        </w:rPr>
        <w:t>109.80</w:t>
      </w:r>
      <w:r>
        <w:rPr>
          <w:rFonts w:ascii="Times New Roman" w:hAnsi="Times New Roman" w:eastAsia="仿宋_GB2312" w:cs="Times New Roman"/>
          <w:sz w:val="32"/>
          <w:szCs w:val="32"/>
          <w:lang w:val="en-US" w:eastAsia="zh-CN"/>
        </w:rPr>
        <w:t>万元，</w:t>
      </w:r>
      <w:r>
        <w:rPr>
          <w:rFonts w:hint="eastAsia" w:ascii="楷体" w:hAnsi="楷体" w:eastAsia="楷体" w:cs="楷体"/>
          <w:b w:val="0"/>
          <w:bCs/>
          <w:sz w:val="32"/>
          <w:szCs w:val="32"/>
          <w:lang w:val="en-US" w:eastAsia="zh-CN"/>
        </w:rPr>
        <w:t>占总支出的14.11%，</w:t>
      </w:r>
      <w:r>
        <w:rPr>
          <w:rFonts w:ascii="Times New Roman" w:hAnsi="Times New Roman" w:eastAsia="仿宋_GB2312" w:cs="Times New Roman"/>
          <w:sz w:val="32"/>
          <w:szCs w:val="32"/>
          <w:lang w:val="en-US" w:eastAsia="zh-CN"/>
        </w:rPr>
        <w:t>支出决算</w:t>
      </w:r>
      <w:r>
        <w:rPr>
          <w:rFonts w:hint="eastAsia" w:ascii="Times New Roman" w:hAnsi="Times New Roman" w:eastAsia="仿宋_GB2312" w:cs="Times New Roman"/>
          <w:sz w:val="32"/>
          <w:szCs w:val="32"/>
          <w:lang w:val="en-US" w:eastAsia="zh-CN"/>
        </w:rPr>
        <w:t>大于</w:t>
      </w:r>
      <w:r>
        <w:rPr>
          <w:rFonts w:ascii="Times New Roman" w:hAnsi="Times New Roman" w:eastAsia="仿宋_GB2312" w:cs="Times New Roman"/>
          <w:sz w:val="32"/>
          <w:szCs w:val="32"/>
          <w:lang w:val="en-US" w:eastAsia="zh-CN"/>
        </w:rPr>
        <w:t>年初预算</w:t>
      </w:r>
      <w:r>
        <w:rPr>
          <w:rFonts w:hint="eastAsia" w:ascii="楷体" w:hAnsi="楷体" w:eastAsia="楷体" w:cs="楷体"/>
          <w:b w:val="0"/>
          <w:bCs/>
          <w:sz w:val="32"/>
          <w:szCs w:val="32"/>
          <w:lang w:val="en-US" w:eastAsia="zh-CN"/>
        </w:rPr>
        <w:t>主要原因是调整预算所致。</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778.50</w:t>
      </w:r>
      <w:r>
        <w:rPr>
          <w:rFonts w:ascii="Times New Roman" w:hAnsi="Times New Roman" w:eastAsia="仿宋_GB2312" w:cs="Times New Roman"/>
          <w:sz w:val="32"/>
          <w:szCs w:val="32"/>
        </w:rPr>
        <w:t>万元，其中：</w:t>
      </w:r>
    </w:p>
    <w:p>
      <w:pPr>
        <w:ind w:firstLine="640" w:firstLineChars="200"/>
        <w:rPr>
          <w:rFonts w:hint="eastAsia"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b/>
          <w:bCs/>
          <w:sz w:val="32"/>
          <w:szCs w:val="32"/>
        </w:rPr>
        <w:t>人员经费</w:t>
      </w:r>
      <w:r>
        <w:rPr>
          <w:rFonts w:hint="eastAsia" w:ascii="仿宋_GB2312" w:hAnsi="仿宋_GB2312" w:eastAsia="仿宋_GB2312" w:cs="仿宋_GB2312"/>
          <w:sz w:val="30"/>
          <w:szCs w:val="30"/>
          <w:lang w:val="en-US" w:eastAsia="zh-CN"/>
        </w:rPr>
        <w:t>344.72</w:t>
      </w:r>
      <w:r>
        <w:rPr>
          <w:rFonts w:hint="eastAsia" w:ascii="仿宋_GB2312" w:hAnsi="仿宋_GB2312" w:eastAsia="仿宋_GB2312" w:cs="仿宋_GB2312"/>
          <w:sz w:val="30"/>
          <w:szCs w:val="30"/>
        </w:rPr>
        <w:t>万元；其中</w:t>
      </w:r>
      <w:r>
        <w:rPr>
          <w:rFonts w:hint="eastAsia" w:ascii="仿宋_GB2312" w:hAnsi="仿宋_GB2312" w:eastAsia="仿宋_GB2312" w:cs="仿宋_GB2312"/>
          <w:sz w:val="30"/>
          <w:szCs w:val="30"/>
          <w:highlight w:val="none"/>
        </w:rPr>
        <w:t>：基本工资</w:t>
      </w:r>
      <w:r>
        <w:rPr>
          <w:rFonts w:hint="eastAsia" w:ascii="仿宋_GB2312" w:hAnsi="仿宋_GB2312" w:eastAsia="仿宋_GB2312" w:cs="仿宋_GB2312"/>
          <w:sz w:val="30"/>
          <w:szCs w:val="30"/>
          <w:highlight w:val="none"/>
          <w:lang w:val="en-US" w:eastAsia="zh-CN"/>
        </w:rPr>
        <w:t>162.71</w:t>
      </w:r>
      <w:r>
        <w:rPr>
          <w:rFonts w:hint="eastAsia" w:ascii="仿宋_GB2312" w:hAnsi="仿宋_GB2312" w:eastAsia="仿宋_GB2312" w:cs="仿宋_GB2312"/>
          <w:sz w:val="30"/>
          <w:szCs w:val="30"/>
          <w:highlight w:val="none"/>
        </w:rPr>
        <w:t>万元，津贴补贴</w:t>
      </w:r>
      <w:r>
        <w:rPr>
          <w:rFonts w:hint="eastAsia" w:ascii="仿宋_GB2312" w:hAnsi="仿宋_GB2312" w:eastAsia="仿宋_GB2312" w:cs="仿宋_GB2312"/>
          <w:sz w:val="30"/>
          <w:szCs w:val="30"/>
          <w:highlight w:val="none"/>
          <w:lang w:val="en-US" w:eastAsia="zh-CN"/>
        </w:rPr>
        <w:t>55.09</w:t>
      </w:r>
      <w:r>
        <w:rPr>
          <w:rFonts w:hint="eastAsia" w:ascii="仿宋_GB2312" w:hAnsi="仿宋_GB2312" w:eastAsia="仿宋_GB2312" w:cs="仿宋_GB2312"/>
          <w:sz w:val="30"/>
          <w:szCs w:val="30"/>
          <w:highlight w:val="none"/>
        </w:rPr>
        <w:t>万元，绩效</w:t>
      </w:r>
      <w:r>
        <w:rPr>
          <w:rFonts w:hint="eastAsia" w:ascii="仿宋_GB2312" w:hAnsi="仿宋_GB2312" w:eastAsia="仿宋_GB2312" w:cs="仿宋_GB2312"/>
          <w:sz w:val="30"/>
          <w:szCs w:val="30"/>
          <w:highlight w:val="none"/>
          <w:lang w:val="en-US" w:eastAsia="zh-CN"/>
        </w:rPr>
        <w:t>工资47.67万元，</w:t>
      </w:r>
      <w:r>
        <w:rPr>
          <w:rFonts w:hint="eastAsia" w:ascii="仿宋_GB2312" w:hAnsi="仿宋_GB2312" w:eastAsia="仿宋_GB2312" w:cs="仿宋_GB2312"/>
          <w:sz w:val="30"/>
          <w:szCs w:val="30"/>
          <w:highlight w:val="none"/>
        </w:rPr>
        <w:t>奖金</w:t>
      </w:r>
      <w:r>
        <w:rPr>
          <w:rFonts w:hint="eastAsia" w:ascii="仿宋_GB2312" w:hAnsi="仿宋_GB2312" w:eastAsia="仿宋_GB2312" w:cs="仿宋_GB2312"/>
          <w:sz w:val="30"/>
          <w:szCs w:val="30"/>
          <w:highlight w:val="none"/>
          <w:lang w:val="en-US" w:eastAsia="zh-CN"/>
        </w:rPr>
        <w:t>13.92</w:t>
      </w:r>
      <w:r>
        <w:rPr>
          <w:rFonts w:hint="eastAsia" w:ascii="仿宋_GB2312" w:hAnsi="仿宋_GB2312" w:eastAsia="仿宋_GB2312" w:cs="仿宋_GB2312"/>
          <w:sz w:val="30"/>
          <w:szCs w:val="30"/>
          <w:highlight w:val="none"/>
        </w:rPr>
        <w:t>万元，养老保险缴费</w:t>
      </w:r>
      <w:r>
        <w:rPr>
          <w:rFonts w:hint="eastAsia" w:ascii="仿宋_GB2312" w:hAnsi="仿宋_GB2312" w:eastAsia="仿宋_GB2312" w:cs="仿宋_GB2312"/>
          <w:sz w:val="30"/>
          <w:szCs w:val="30"/>
          <w:highlight w:val="none"/>
          <w:lang w:val="en-US" w:eastAsia="zh-CN"/>
        </w:rPr>
        <w:t>29.93</w:t>
      </w:r>
      <w:r>
        <w:rPr>
          <w:rFonts w:hint="eastAsia" w:ascii="仿宋_GB2312" w:hAnsi="仿宋_GB2312" w:eastAsia="仿宋_GB2312" w:cs="仿宋_GB2312"/>
          <w:sz w:val="30"/>
          <w:szCs w:val="30"/>
          <w:highlight w:val="none"/>
        </w:rPr>
        <w:t>万元，医疗保险缴费</w:t>
      </w:r>
      <w:r>
        <w:rPr>
          <w:rFonts w:hint="eastAsia" w:ascii="仿宋_GB2312" w:hAnsi="仿宋_GB2312" w:eastAsia="仿宋_GB2312" w:cs="仿宋_GB2312"/>
          <w:sz w:val="30"/>
          <w:szCs w:val="30"/>
          <w:highlight w:val="none"/>
          <w:lang w:val="en-US" w:eastAsia="zh-CN"/>
        </w:rPr>
        <w:t>16.27</w:t>
      </w:r>
      <w:r>
        <w:rPr>
          <w:rFonts w:hint="eastAsia" w:ascii="仿宋_GB2312" w:hAnsi="仿宋_GB2312" w:eastAsia="仿宋_GB2312" w:cs="仿宋_GB2312"/>
          <w:sz w:val="30"/>
          <w:szCs w:val="30"/>
          <w:highlight w:val="none"/>
        </w:rPr>
        <w:t>万元</w:t>
      </w:r>
      <w:r>
        <w:rPr>
          <w:rFonts w:hint="eastAsia" w:ascii="仿宋_GB2312" w:hAnsi="仿宋_GB2312" w:eastAsia="仿宋_GB2312" w:cs="仿宋_GB2312"/>
          <w:sz w:val="30"/>
          <w:szCs w:val="30"/>
          <w:highlight w:val="none"/>
          <w:lang w:eastAsia="zh-CN"/>
        </w:rPr>
        <w:t>，</w:t>
      </w:r>
      <w:r>
        <w:rPr>
          <w:rFonts w:hint="eastAsia" w:ascii="Times New Roman" w:hAnsi="Times New Roman" w:eastAsia="仿宋_GB2312" w:cs="Times New Roman"/>
          <w:color w:val="000000"/>
          <w:kern w:val="0"/>
          <w:sz w:val="32"/>
          <w:szCs w:val="32"/>
          <w:lang w:val="en-US" w:eastAsia="zh-CN" w:bidi="ar-SA"/>
        </w:rPr>
        <w:t>对个人和家庭的补助</w:t>
      </w:r>
      <w:r>
        <w:rPr>
          <w:rFonts w:hint="eastAsia" w:eastAsia="仿宋_GB2312" w:cs="Times New Roman"/>
          <w:color w:val="000000"/>
          <w:kern w:val="0"/>
          <w:sz w:val="32"/>
          <w:szCs w:val="32"/>
          <w:lang w:val="en-US" w:eastAsia="zh-CN" w:bidi="ar-SA"/>
        </w:rPr>
        <w:t>19.12</w:t>
      </w:r>
      <w:r>
        <w:rPr>
          <w:rFonts w:hint="eastAsia" w:ascii="Times New Roman" w:hAnsi="Times New Roman" w:eastAsia="仿宋_GB2312" w:cs="Times New Roman"/>
          <w:color w:val="000000"/>
          <w:kern w:val="0"/>
          <w:sz w:val="32"/>
          <w:szCs w:val="32"/>
          <w:lang w:val="en-US" w:eastAsia="zh-CN" w:bidi="ar-SA"/>
        </w:rPr>
        <w:t>万元</w:t>
      </w:r>
      <w:r>
        <w:rPr>
          <w:rFonts w:hint="eastAsia" w:ascii="仿宋_GB2312" w:hAnsi="仿宋_GB2312" w:eastAsia="仿宋_GB2312" w:cs="仿宋_GB2312"/>
          <w:sz w:val="30"/>
          <w:szCs w:val="30"/>
          <w:highlight w:val="none"/>
          <w:lang w:val="en-US" w:eastAsia="zh-CN"/>
        </w:rPr>
        <w:t>。</w:t>
      </w:r>
    </w:p>
    <w:p>
      <w:pPr>
        <w:ind w:firstLine="640" w:firstLineChars="200"/>
        <w:rPr>
          <w:rFonts w:hint="eastAsia" w:ascii="仿宋_GB2312" w:hAnsi="仿宋_GB2312" w:eastAsia="仿宋_GB2312" w:cs="仿宋_GB2312"/>
          <w:sz w:val="30"/>
          <w:szCs w:val="30"/>
          <w:highlight w:val="none"/>
        </w:rPr>
      </w:pPr>
      <w:r>
        <w:rPr>
          <w:rFonts w:ascii="Times New Roman" w:hAnsi="Times New Roman" w:eastAsia="仿宋_GB2312" w:cs="Times New Roman"/>
          <w:b/>
          <w:bCs/>
          <w:sz w:val="32"/>
          <w:szCs w:val="32"/>
        </w:rPr>
        <w:t>公用经费</w:t>
      </w:r>
      <w:r>
        <w:rPr>
          <w:rFonts w:hint="eastAsia" w:ascii="仿宋_GB2312" w:hAnsi="仿宋_GB2312" w:eastAsia="仿宋_GB2312" w:cs="仿宋_GB2312"/>
          <w:sz w:val="30"/>
          <w:szCs w:val="30"/>
          <w:highlight w:val="none"/>
          <w:lang w:val="en-US" w:eastAsia="zh-CN"/>
        </w:rPr>
        <w:t>40.74万元；</w:t>
      </w:r>
      <w:r>
        <w:rPr>
          <w:rFonts w:hint="eastAsia" w:ascii="仿宋_GB2312" w:hAnsi="仿宋_GB2312" w:eastAsia="仿宋_GB2312" w:cs="仿宋_GB2312"/>
          <w:sz w:val="30"/>
          <w:szCs w:val="30"/>
          <w:highlight w:val="none"/>
          <w:lang w:eastAsia="zh-CN"/>
        </w:rPr>
        <w:t>其中</w:t>
      </w:r>
      <w:r>
        <w:rPr>
          <w:rFonts w:hint="eastAsia" w:ascii="仿宋_GB2312" w:hAnsi="仿宋_GB2312" w:eastAsia="仿宋_GB2312" w:cs="仿宋_GB2312"/>
          <w:sz w:val="30"/>
          <w:szCs w:val="30"/>
          <w:highlight w:val="none"/>
          <w:lang w:val="en-US" w:eastAsia="zh-CN"/>
        </w:rPr>
        <w:t>公务接待</w:t>
      </w:r>
      <w:r>
        <w:rPr>
          <w:rFonts w:hint="eastAsia" w:ascii="仿宋_GB2312" w:hAnsi="仿宋_GB2312" w:eastAsia="仿宋_GB2312" w:cs="仿宋_GB2312"/>
          <w:sz w:val="30"/>
          <w:szCs w:val="30"/>
          <w:highlight w:val="none"/>
        </w:rPr>
        <w:t>费</w:t>
      </w:r>
      <w:r>
        <w:rPr>
          <w:rFonts w:hint="eastAsia" w:ascii="仿宋_GB2312" w:hAnsi="仿宋_GB2312" w:eastAsia="仿宋_GB2312" w:cs="仿宋_GB2312"/>
          <w:sz w:val="30"/>
          <w:szCs w:val="30"/>
          <w:highlight w:val="none"/>
          <w:lang w:val="en-US" w:eastAsia="zh-CN"/>
        </w:rPr>
        <w:t>0</w:t>
      </w:r>
      <w:r>
        <w:rPr>
          <w:rFonts w:hint="eastAsia" w:ascii="仿宋_GB2312" w:hAnsi="仿宋_GB2312" w:eastAsia="仿宋_GB2312" w:cs="仿宋_GB2312"/>
          <w:sz w:val="30"/>
          <w:szCs w:val="30"/>
          <w:highlight w:val="none"/>
        </w:rPr>
        <w:t>万元，</w:t>
      </w:r>
      <w:r>
        <w:rPr>
          <w:rFonts w:hint="eastAsia" w:ascii="仿宋_GB2312" w:hAnsi="仿宋_GB2312" w:eastAsia="仿宋_GB2312" w:cs="仿宋_GB2312"/>
          <w:sz w:val="30"/>
          <w:szCs w:val="30"/>
          <w:highlight w:val="none"/>
          <w:lang w:val="en-US" w:eastAsia="zh-CN"/>
        </w:rPr>
        <w:t>维修（护）费1.5万元，劳务费1.0万元，工会经费10万元，福利费6万元，公务用车运行维护费1.6万元，</w:t>
      </w:r>
      <w:r>
        <w:rPr>
          <w:rFonts w:hint="eastAsia" w:ascii="仿宋_GB2312" w:hAnsi="仿宋_GB2312" w:eastAsia="仿宋_GB2312" w:cs="仿宋_GB2312"/>
          <w:sz w:val="30"/>
          <w:szCs w:val="30"/>
          <w:highlight w:val="none"/>
        </w:rPr>
        <w:t>其他</w:t>
      </w:r>
      <w:r>
        <w:rPr>
          <w:rFonts w:hint="eastAsia" w:ascii="仿宋_GB2312" w:hAnsi="仿宋_GB2312" w:eastAsia="仿宋_GB2312" w:cs="仿宋_GB2312"/>
          <w:sz w:val="30"/>
          <w:szCs w:val="30"/>
          <w:highlight w:val="none"/>
          <w:lang w:val="en-US" w:eastAsia="zh-CN"/>
        </w:rPr>
        <w:t>交通费11.97</w:t>
      </w:r>
      <w:r>
        <w:rPr>
          <w:rFonts w:hint="eastAsia" w:ascii="仿宋_GB2312" w:hAnsi="仿宋_GB2312" w:eastAsia="仿宋_GB2312" w:cs="仿宋_GB2312"/>
          <w:sz w:val="30"/>
          <w:szCs w:val="30"/>
          <w:highlight w:val="none"/>
        </w:rPr>
        <w:t>万元</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lang w:val="en-US" w:eastAsia="zh-CN"/>
        </w:rPr>
        <w:t>其他商品与服务支出8.67万元</w:t>
      </w:r>
      <w:r>
        <w:rPr>
          <w:rFonts w:hint="eastAsia" w:ascii="仿宋_GB2312" w:hAnsi="仿宋_GB2312" w:eastAsia="仿宋_GB2312" w:cs="仿宋_GB2312"/>
          <w:sz w:val="30"/>
          <w:szCs w:val="30"/>
          <w:highlight w:val="none"/>
        </w:rPr>
        <w:t>。</w:t>
      </w:r>
    </w:p>
    <w:p>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highlight w:val="yellow"/>
          <w:lang w:val="en-US"/>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4.50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1.60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35.56</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1.13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41.40</w:t>
      </w:r>
      <w:r>
        <w:rPr>
          <w:rFonts w:ascii="Times New Roman" w:hAnsi="Times New Roman" w:eastAsia="仿宋_GB2312" w:cs="Times New Roman"/>
          <w:sz w:val="32"/>
          <w:szCs w:val="32"/>
        </w:rPr>
        <w:t>%。决算数小于预算数的主要原因是</w:t>
      </w:r>
      <w:r>
        <w:rPr>
          <w:rFonts w:ascii="仿宋" w:hAnsi="仿宋" w:eastAsia="仿宋" w:cs="仿宋"/>
          <w:spacing w:val="-4"/>
          <w:sz w:val="32"/>
          <w:szCs w:val="32"/>
        </w:rPr>
        <w:t>厉行节约，接待</w:t>
      </w:r>
      <w:r>
        <w:rPr>
          <w:rFonts w:ascii="仿宋" w:hAnsi="仿宋" w:eastAsia="仿宋" w:cs="仿宋"/>
          <w:spacing w:val="-1"/>
          <w:sz w:val="32"/>
          <w:szCs w:val="32"/>
        </w:rPr>
        <w:t>规模</w:t>
      </w:r>
      <w:r>
        <w:rPr>
          <w:rFonts w:hint="eastAsia" w:ascii="仿宋" w:hAnsi="仿宋" w:eastAsia="仿宋" w:cs="仿宋"/>
          <w:spacing w:val="-1"/>
          <w:sz w:val="32"/>
          <w:szCs w:val="32"/>
          <w:lang w:val="en-US" w:eastAsia="zh-CN"/>
        </w:rPr>
        <w:t>为0。</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3.00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1.60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53.34</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减少0.08万元，减少4.77%</w:t>
      </w:r>
      <w:r>
        <w:rPr>
          <w:rFonts w:ascii="Times New Roman" w:hAnsi="Times New Roman" w:eastAsia="仿宋_GB2312" w:cs="Times New Roman"/>
          <w:sz w:val="32"/>
          <w:szCs w:val="32"/>
        </w:rPr>
        <w:t>。其中：</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持平。</w:t>
      </w:r>
    </w:p>
    <w:p>
      <w:pPr>
        <w:pStyle w:val="13"/>
        <w:overflowPunct w:val="0"/>
        <w:autoSpaceDE/>
        <w:autoSpaceDN/>
        <w:spacing w:line="600" w:lineRule="exact"/>
        <w:ind w:firstLine="640" w:firstLineChars="200"/>
        <w:jc w:val="both"/>
        <w:rPr>
          <w:rFonts w:hint="eastAsia" w:ascii="Times New Roman" w:hAnsi="Times New Roman" w:eastAsia="仿宋_GB2312" w:cs="Times New Roman"/>
          <w:b/>
          <w:bCs/>
          <w:i/>
          <w:sz w:val="32"/>
          <w:szCs w:val="32"/>
          <w:lang w:eastAsia="zh-CN"/>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3.00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1.60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1.50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1.05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%。决算数小于预算数的主要原因是</w:t>
      </w:r>
      <w:r>
        <w:rPr>
          <w:rFonts w:ascii="仿宋" w:hAnsi="仿宋" w:eastAsia="仿宋" w:cs="仿宋"/>
          <w:spacing w:val="-4"/>
          <w:sz w:val="32"/>
          <w:szCs w:val="32"/>
        </w:rPr>
        <w:t>厉行节约，接待</w:t>
      </w:r>
      <w:r>
        <w:rPr>
          <w:rFonts w:ascii="仿宋" w:hAnsi="仿宋" w:eastAsia="仿宋" w:cs="仿宋"/>
          <w:spacing w:val="-1"/>
          <w:sz w:val="32"/>
          <w:szCs w:val="32"/>
        </w:rPr>
        <w:t>规模</w:t>
      </w:r>
      <w:r>
        <w:rPr>
          <w:rFonts w:hint="eastAsia" w:ascii="仿宋" w:hAnsi="仿宋" w:eastAsia="仿宋" w:cs="仿宋"/>
          <w:spacing w:val="-1"/>
          <w:sz w:val="32"/>
          <w:szCs w:val="32"/>
          <w:lang w:val="en-US" w:eastAsia="zh-CN"/>
        </w:rPr>
        <w:t>为0</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109.80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109.80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109.80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r>
        <w:rPr>
          <w:rFonts w:hint="eastAsia" w:ascii="Times New Roman" w:hAnsi="Times New Roman" w:eastAsia="仿宋_GB2312" w:cs="Times New Roman"/>
          <w:sz w:val="32"/>
          <w:szCs w:val="32"/>
          <w:lang w:val="en-US" w:eastAsia="zh-CN"/>
        </w:rPr>
        <w:t>2025年收回政府化债款109.80万元。</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40.74</w:t>
      </w:r>
      <w:r>
        <w:rPr>
          <w:rFonts w:ascii="Times New Roman" w:hAnsi="Times New Roman" w:eastAsia="仿宋_GB2312" w:cs="Times New Roman"/>
          <w:sz w:val="32"/>
          <w:szCs w:val="32"/>
        </w:rPr>
        <w:t>万元，比上年决算数</w:t>
      </w:r>
      <w:r>
        <w:rPr>
          <w:rFonts w:hint="eastAsia" w:ascii="Times New Roman" w:hAnsi="Times New Roman" w:eastAsia="仿宋_GB2312" w:cs="Times New Roman"/>
          <w:sz w:val="32"/>
          <w:szCs w:val="32"/>
          <w:lang w:val="en-US" w:eastAsia="zh-CN"/>
        </w:rPr>
        <w:t>15.01增加</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58.34</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其他交通费增加</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人；开支培训费</w:t>
      </w:r>
      <w:r>
        <w:rPr>
          <w:rFonts w:hint="eastAsia" w:ascii="Times New Roman" w:hAnsi="Times New Roman" w:eastAsia="仿宋_GB2312" w:cs="Times New Roman"/>
          <w:sz w:val="32"/>
          <w:szCs w:val="32"/>
          <w:lang w:val="en-US" w:eastAsia="zh-CN"/>
        </w:rPr>
        <w:t>100.00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r>
        <w:rPr>
          <w:rFonts w:ascii="Times New Roman" w:hAnsi="Times New Roman" w:cs="Times New Roman"/>
          <w:bCs/>
          <w:color w:val="auto"/>
          <w:sz w:val="32"/>
          <w:szCs w:val="32"/>
        </w:rPr>
        <w:t>十二、关于国有资产占用情况说明</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pStyle w:val="13"/>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778.50</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4</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668.70</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83.89</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109.80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14.11</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w:t>
      </w:r>
      <w:r>
        <w:rPr>
          <w:rFonts w:hint="eastAsia" w:ascii="仿宋_GB2312" w:hAnsi="仿宋_GB2312" w:eastAsia="仿宋_GB2312" w:cs="仿宋_GB2312"/>
          <w:sz w:val="30"/>
          <w:szCs w:val="30"/>
          <w:lang w:val="en-US" w:eastAsia="zh-CN"/>
        </w:rPr>
        <w:t>主体班培训，老党校维修</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湘江大讲坛和收回政府化债款共</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283.24</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109.80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三是事前绩效评估开展情况（如有，一级预算部门填写）。</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bCs/>
          <w:sz w:val="32"/>
          <w:szCs w:val="32"/>
          <w:lang w:val="en-US" w:eastAsia="zh-CN"/>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hint="eastAsia" w:ascii="仿宋_GB2312" w:hAnsi="仿宋_GB2312" w:eastAsia="仿宋_GB2312" w:cs="仿宋_GB2312"/>
          <w:bCs/>
          <w:sz w:val="32"/>
          <w:szCs w:val="32"/>
          <w:lang w:val="en-US" w:eastAsia="zh-CN"/>
        </w:rPr>
        <w:t>2025年度本部门（单位）整体支出全年预算数951.76万元，执行数778.50万元，完成预算的81.80%，绩效自评得分92分，评价等级为“优良”。绩效目标完成情况：</w:t>
      </w:r>
    </w:p>
    <w:p>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textAlignment w:val="auto"/>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目标1：举办</w:t>
      </w:r>
      <w:r>
        <w:rPr>
          <w:rFonts w:hint="eastAsia" w:ascii="仿宋_GB2312" w:hAnsi="仿宋_GB2312" w:eastAsia="仿宋_GB2312" w:cs="仿宋_GB2312"/>
          <w:b w:val="0"/>
          <w:bCs w:val="0"/>
          <w:sz w:val="30"/>
          <w:szCs w:val="30"/>
          <w:lang w:eastAsia="zh-CN"/>
        </w:rPr>
        <w:t>培训。</w:t>
      </w:r>
      <w:r>
        <w:rPr>
          <w:rFonts w:hint="eastAsia" w:ascii="仿宋_GB2312" w:hAnsi="仿宋_GB2312" w:eastAsia="仿宋_GB2312" w:cs="仿宋_GB2312"/>
          <w:b w:val="0"/>
          <w:bCs w:val="0"/>
          <w:sz w:val="30"/>
          <w:szCs w:val="30"/>
        </w:rPr>
        <w:t>举办</w:t>
      </w:r>
      <w:r>
        <w:rPr>
          <w:rFonts w:hint="eastAsia" w:ascii="仿宋_GB2312" w:hAnsi="仿宋_GB2312" w:eastAsia="仿宋_GB2312" w:cs="仿宋_GB2312"/>
          <w:b w:val="0"/>
          <w:bCs w:val="0"/>
          <w:sz w:val="30"/>
          <w:szCs w:val="30"/>
          <w:lang w:val="en-US" w:eastAsia="zh-CN"/>
        </w:rPr>
        <w:t>主体</w:t>
      </w:r>
      <w:r>
        <w:rPr>
          <w:rFonts w:hint="eastAsia" w:ascii="仿宋_GB2312" w:hAnsi="仿宋_GB2312" w:eastAsia="仿宋_GB2312" w:cs="仿宋_GB2312"/>
          <w:b w:val="0"/>
          <w:bCs w:val="0"/>
          <w:sz w:val="30"/>
          <w:szCs w:val="30"/>
          <w:lang w:eastAsia="zh-CN"/>
        </w:rPr>
        <w:t>培训</w:t>
      </w:r>
      <w:r>
        <w:rPr>
          <w:rFonts w:hint="eastAsia" w:ascii="仿宋_GB2312" w:hAnsi="仿宋_GB2312" w:eastAsia="仿宋_GB2312" w:cs="仿宋_GB2312"/>
          <w:b w:val="0"/>
          <w:bCs w:val="0"/>
          <w:sz w:val="30"/>
          <w:szCs w:val="30"/>
        </w:rPr>
        <w:t>班</w:t>
      </w:r>
      <w:r>
        <w:rPr>
          <w:rFonts w:hint="eastAsia" w:ascii="仿宋_GB2312" w:hAnsi="仿宋_GB2312" w:eastAsia="仿宋_GB2312" w:cs="仿宋_GB2312"/>
          <w:b w:val="0"/>
          <w:bCs w:val="0"/>
          <w:sz w:val="30"/>
          <w:szCs w:val="30"/>
          <w:lang w:val="en-US" w:eastAsia="zh-CN"/>
        </w:rPr>
        <w:t>11期，培训干部1669人次；举办了各类专题培训班6期，培训干部1258人次。</w:t>
      </w:r>
    </w:p>
    <w:p>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textAlignment w:val="auto"/>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目标</w:t>
      </w:r>
      <w:r>
        <w:rPr>
          <w:rFonts w:hint="eastAsia" w:ascii="仿宋_GB2312" w:hAnsi="仿宋_GB2312" w:eastAsia="仿宋_GB2312" w:cs="仿宋_GB2312"/>
          <w:b w:val="0"/>
          <w:bCs w:val="0"/>
          <w:sz w:val="30"/>
          <w:szCs w:val="30"/>
          <w:lang w:val="en-US" w:eastAsia="zh-CN"/>
        </w:rPr>
        <w:t>2</w:t>
      </w:r>
      <w:r>
        <w:rPr>
          <w:rFonts w:hint="eastAsia" w:ascii="仿宋_GB2312" w:hAnsi="仿宋_GB2312" w:eastAsia="仿宋_GB2312" w:cs="仿宋_GB2312"/>
          <w:b w:val="0"/>
          <w:bCs w:val="0"/>
          <w:sz w:val="30"/>
          <w:szCs w:val="30"/>
        </w:rPr>
        <w:t>：</w:t>
      </w:r>
      <w:r>
        <w:rPr>
          <w:rFonts w:hint="eastAsia" w:ascii="仿宋_GB2312" w:hAnsi="仿宋_GB2312" w:eastAsia="仿宋_GB2312" w:cs="仿宋_GB2312"/>
          <w:b w:val="0"/>
          <w:bCs w:val="0"/>
          <w:sz w:val="30"/>
          <w:szCs w:val="30"/>
          <w:lang w:val="en-US" w:eastAsia="zh-CN"/>
        </w:rPr>
        <w:t>加强</w:t>
      </w:r>
      <w:r>
        <w:rPr>
          <w:rFonts w:hint="eastAsia" w:ascii="仿宋_GB2312" w:hAnsi="仿宋_GB2312" w:eastAsia="仿宋_GB2312" w:cs="仿宋_GB2312"/>
          <w:b w:val="0"/>
          <w:bCs w:val="0"/>
          <w:sz w:val="30"/>
          <w:szCs w:val="30"/>
        </w:rPr>
        <w:t>思想引领工作</w:t>
      </w:r>
      <w:r>
        <w:rPr>
          <w:rFonts w:hint="eastAsia" w:ascii="仿宋_GB2312" w:hAnsi="仿宋_GB2312" w:eastAsia="仿宋_GB2312" w:cs="仿宋_GB2312"/>
          <w:b w:val="0"/>
          <w:bCs w:val="0"/>
          <w:sz w:val="30"/>
          <w:szCs w:val="30"/>
          <w:lang w:val="en-US" w:eastAsia="zh-CN"/>
        </w:rPr>
        <w:t>建设。</w:t>
      </w:r>
      <w:r>
        <w:rPr>
          <w:rFonts w:hint="eastAsia" w:ascii="仿宋_GB2312" w:hAnsi="仿宋_GB2312" w:eastAsia="仿宋_GB2312" w:cs="仿宋_GB2312"/>
          <w:b w:val="0"/>
          <w:bCs w:val="0"/>
          <w:sz w:val="30"/>
          <w:szCs w:val="30"/>
          <w:lang w:eastAsia="zh-CN"/>
        </w:rPr>
        <w:t>一是常态</w:t>
      </w:r>
      <w:r>
        <w:rPr>
          <w:rFonts w:hint="eastAsia" w:ascii="仿宋_GB2312" w:hAnsi="仿宋_GB2312" w:eastAsia="仿宋_GB2312" w:cs="仿宋_GB2312"/>
          <w:b w:val="0"/>
          <w:bCs w:val="0"/>
          <w:sz w:val="30"/>
          <w:szCs w:val="30"/>
        </w:rPr>
        <w:t>开展政治学习。</w:t>
      </w:r>
      <w:r>
        <w:rPr>
          <w:rFonts w:hint="eastAsia" w:ascii="仿宋_GB2312" w:hAnsi="仿宋_GB2312" w:eastAsia="仿宋_GB2312" w:cs="仿宋_GB2312"/>
          <w:b w:val="0"/>
          <w:bCs w:val="0"/>
          <w:sz w:val="30"/>
          <w:szCs w:val="30"/>
          <w:lang w:val="en-US" w:eastAsia="zh-CN"/>
        </w:rPr>
        <w:t>二是</w:t>
      </w:r>
      <w:r>
        <w:rPr>
          <w:rFonts w:hint="eastAsia" w:ascii="仿宋_GB2312" w:hAnsi="仿宋_GB2312" w:eastAsia="仿宋_GB2312" w:cs="仿宋_GB2312"/>
          <w:b w:val="0"/>
          <w:bCs w:val="0"/>
          <w:sz w:val="30"/>
          <w:szCs w:val="30"/>
        </w:rPr>
        <w:t>深入开展理论宣讲。</w:t>
      </w:r>
      <w:r>
        <w:rPr>
          <w:rFonts w:hint="eastAsia" w:ascii="仿宋_GB2312" w:hAnsi="仿宋_GB2312" w:eastAsia="仿宋_GB2312" w:cs="仿宋_GB2312"/>
          <w:b w:val="0"/>
          <w:bCs w:val="0"/>
          <w:sz w:val="30"/>
          <w:szCs w:val="30"/>
          <w:lang w:eastAsia="zh-CN"/>
        </w:rPr>
        <w:t>三是</w:t>
      </w:r>
      <w:r>
        <w:rPr>
          <w:rFonts w:hint="eastAsia" w:ascii="仿宋_GB2312" w:hAnsi="仿宋_GB2312" w:eastAsia="仿宋_GB2312" w:cs="仿宋_GB2312"/>
          <w:b w:val="0"/>
          <w:bCs w:val="0"/>
          <w:sz w:val="30"/>
          <w:szCs w:val="30"/>
        </w:rPr>
        <w:t>加强理论研究和宣传。</w:t>
      </w:r>
    </w:p>
    <w:p>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textAlignment w:val="auto"/>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目标</w:t>
      </w:r>
      <w:r>
        <w:rPr>
          <w:rFonts w:hint="eastAsia" w:ascii="仿宋_GB2312" w:hAnsi="仿宋_GB2312" w:eastAsia="仿宋_GB2312" w:cs="仿宋_GB2312"/>
          <w:b w:val="0"/>
          <w:bCs w:val="0"/>
          <w:sz w:val="30"/>
          <w:szCs w:val="30"/>
          <w:lang w:val="en-US" w:eastAsia="zh-CN"/>
        </w:rPr>
        <w:t>3</w:t>
      </w:r>
      <w:r>
        <w:rPr>
          <w:rFonts w:hint="eastAsia" w:ascii="仿宋_GB2312" w:hAnsi="仿宋_GB2312" w:eastAsia="仿宋_GB2312" w:cs="仿宋_GB2312"/>
          <w:b w:val="0"/>
          <w:bCs w:val="0"/>
          <w:sz w:val="30"/>
          <w:szCs w:val="30"/>
        </w:rPr>
        <w:t>：</w:t>
      </w:r>
      <w:r>
        <w:rPr>
          <w:rFonts w:hint="eastAsia" w:ascii="仿宋_GB2312" w:hAnsi="仿宋_GB2312" w:eastAsia="仿宋_GB2312" w:cs="仿宋_GB2312"/>
          <w:b w:val="0"/>
          <w:bCs w:val="0"/>
          <w:sz w:val="30"/>
          <w:szCs w:val="30"/>
          <w:lang w:val="en-US" w:eastAsia="zh-CN"/>
        </w:rPr>
        <w:t>加强</w:t>
      </w:r>
      <w:r>
        <w:rPr>
          <w:rFonts w:hint="eastAsia" w:ascii="仿宋_GB2312" w:hAnsi="仿宋_GB2312" w:eastAsia="仿宋_GB2312" w:cs="仿宋_GB2312"/>
          <w:b w:val="0"/>
          <w:bCs w:val="0"/>
          <w:sz w:val="30"/>
          <w:szCs w:val="30"/>
        </w:rPr>
        <w:t>理论建设工作</w:t>
      </w:r>
      <w:r>
        <w:rPr>
          <w:rFonts w:hint="eastAsia" w:ascii="仿宋_GB2312" w:hAnsi="仿宋_GB2312" w:eastAsia="仿宋_GB2312" w:cs="仿宋_GB2312"/>
          <w:b w:val="0"/>
          <w:bCs w:val="0"/>
          <w:sz w:val="30"/>
          <w:szCs w:val="30"/>
          <w:lang w:eastAsia="zh-CN"/>
        </w:rPr>
        <w:t>。一是</w:t>
      </w:r>
      <w:r>
        <w:rPr>
          <w:rFonts w:hint="eastAsia" w:ascii="仿宋_GB2312" w:hAnsi="仿宋_GB2312" w:eastAsia="仿宋_GB2312" w:cs="仿宋_GB2312"/>
          <w:b w:val="0"/>
          <w:bCs w:val="0"/>
          <w:sz w:val="30"/>
          <w:szCs w:val="30"/>
        </w:rPr>
        <w:t>加强对马克思主义基本原理的研究。</w:t>
      </w:r>
      <w:r>
        <w:rPr>
          <w:rFonts w:hint="eastAsia" w:ascii="仿宋_GB2312" w:hAnsi="仿宋_GB2312" w:eastAsia="仿宋_GB2312" w:cs="仿宋_GB2312"/>
          <w:b w:val="0"/>
          <w:bCs w:val="0"/>
          <w:sz w:val="30"/>
          <w:szCs w:val="30"/>
          <w:lang w:eastAsia="zh-CN"/>
        </w:rPr>
        <w:t>二是</w:t>
      </w:r>
      <w:r>
        <w:rPr>
          <w:rFonts w:hint="eastAsia" w:ascii="仿宋_GB2312" w:hAnsi="仿宋_GB2312" w:eastAsia="仿宋_GB2312" w:cs="仿宋_GB2312"/>
          <w:b w:val="0"/>
          <w:bCs w:val="0"/>
          <w:sz w:val="30"/>
          <w:szCs w:val="30"/>
        </w:rPr>
        <w:t>加强对重大理论和现实问题的研究。紧紧围绕</w:t>
      </w:r>
      <w:r>
        <w:rPr>
          <w:rFonts w:hint="eastAsia" w:ascii="仿宋_GB2312" w:hAnsi="仿宋_GB2312" w:eastAsia="仿宋_GB2312" w:cs="仿宋_GB2312"/>
          <w:b w:val="0"/>
          <w:bCs w:val="0"/>
          <w:sz w:val="30"/>
          <w:szCs w:val="30"/>
          <w:lang w:eastAsia="zh-CN"/>
        </w:rPr>
        <w:t>县委</w:t>
      </w:r>
      <w:r>
        <w:rPr>
          <w:rFonts w:hint="eastAsia" w:ascii="仿宋_GB2312" w:hAnsi="仿宋_GB2312" w:eastAsia="仿宋_GB2312" w:cs="仿宋_GB2312"/>
          <w:b w:val="0"/>
          <w:bCs w:val="0"/>
          <w:sz w:val="30"/>
          <w:szCs w:val="30"/>
        </w:rPr>
        <w:t>和</w:t>
      </w:r>
      <w:r>
        <w:rPr>
          <w:rFonts w:hint="eastAsia" w:ascii="仿宋_GB2312" w:hAnsi="仿宋_GB2312" w:eastAsia="仿宋_GB2312" w:cs="仿宋_GB2312"/>
          <w:b w:val="0"/>
          <w:bCs w:val="0"/>
          <w:sz w:val="30"/>
          <w:szCs w:val="30"/>
          <w:lang w:eastAsia="zh-CN"/>
        </w:rPr>
        <w:t>政府</w:t>
      </w:r>
      <w:r>
        <w:rPr>
          <w:rFonts w:hint="eastAsia" w:ascii="仿宋_GB2312" w:hAnsi="仿宋_GB2312" w:eastAsia="仿宋_GB2312" w:cs="仿宋_GB2312"/>
          <w:b w:val="0"/>
          <w:bCs w:val="0"/>
          <w:sz w:val="30"/>
          <w:szCs w:val="30"/>
        </w:rPr>
        <w:t>的中心工作，组织教师、科干班、中青班学员围绕党的二十大精神和本县社会热点问题，下基层开展调研活动</w:t>
      </w:r>
      <w:r>
        <w:rPr>
          <w:rFonts w:hint="eastAsia" w:ascii="仿宋_GB2312" w:hAnsi="仿宋_GB2312" w:eastAsia="仿宋_GB2312" w:cs="仿宋_GB2312"/>
          <w:b w:val="0"/>
          <w:bCs w:val="0"/>
          <w:sz w:val="30"/>
          <w:szCs w:val="30"/>
          <w:lang w:eastAsia="zh-CN"/>
        </w:rPr>
        <w:t>，</w:t>
      </w:r>
      <w:r>
        <w:rPr>
          <w:rFonts w:hint="eastAsia" w:ascii="仿宋_GB2312" w:hAnsi="仿宋_GB2312" w:eastAsia="仿宋_GB2312" w:cs="仿宋_GB2312"/>
          <w:b w:val="0"/>
          <w:bCs w:val="0"/>
          <w:sz w:val="30"/>
          <w:szCs w:val="30"/>
        </w:rPr>
        <w:t>撰写调研报告</w:t>
      </w:r>
      <w:r>
        <w:rPr>
          <w:rFonts w:hint="eastAsia" w:ascii="仿宋_GB2312" w:hAnsi="仿宋_GB2312" w:eastAsia="仿宋_GB2312" w:cs="仿宋_GB2312"/>
          <w:b w:val="0"/>
          <w:bCs w:val="0"/>
          <w:sz w:val="30"/>
          <w:szCs w:val="30"/>
          <w:lang w:eastAsia="zh-CN"/>
        </w:rPr>
        <w:t>不断提高科研资政水平</w:t>
      </w:r>
      <w:r>
        <w:rPr>
          <w:rFonts w:hint="eastAsia" w:ascii="仿宋_GB2312" w:hAnsi="仿宋_GB2312" w:eastAsia="仿宋_GB2312" w:cs="仿宋_GB2312"/>
          <w:b w:val="0"/>
          <w:bCs w:val="0"/>
          <w:sz w:val="30"/>
          <w:szCs w:val="30"/>
        </w:rPr>
        <w:t>。</w:t>
      </w:r>
    </w:p>
    <w:p>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 w:val="0"/>
          <w:bCs w:val="0"/>
          <w:sz w:val="30"/>
          <w:szCs w:val="30"/>
        </w:rPr>
        <w:t>目标</w:t>
      </w:r>
      <w:r>
        <w:rPr>
          <w:rFonts w:hint="eastAsia" w:ascii="仿宋_GB2312" w:hAnsi="仿宋_GB2312" w:eastAsia="仿宋_GB2312" w:cs="仿宋_GB2312"/>
          <w:b w:val="0"/>
          <w:bCs w:val="0"/>
          <w:sz w:val="30"/>
          <w:szCs w:val="30"/>
          <w:lang w:val="en-US" w:eastAsia="zh-CN"/>
        </w:rPr>
        <w:t>4</w:t>
      </w:r>
      <w:r>
        <w:rPr>
          <w:rFonts w:hint="eastAsia" w:ascii="仿宋_GB2312" w:hAnsi="仿宋_GB2312" w:eastAsia="仿宋_GB2312" w:cs="仿宋_GB2312"/>
          <w:b w:val="0"/>
          <w:bCs w:val="0"/>
          <w:sz w:val="30"/>
          <w:szCs w:val="30"/>
        </w:rPr>
        <w:t>：</w:t>
      </w:r>
      <w:r>
        <w:rPr>
          <w:rFonts w:hint="eastAsia" w:ascii="仿宋_GB2312" w:hAnsi="仿宋_GB2312" w:eastAsia="仿宋_GB2312" w:cs="仿宋_GB2312"/>
          <w:b w:val="0"/>
          <w:bCs w:val="0"/>
          <w:sz w:val="30"/>
          <w:szCs w:val="30"/>
          <w:lang w:val="en-US" w:eastAsia="zh-CN"/>
        </w:rPr>
        <w:t>加强</w:t>
      </w:r>
      <w:r>
        <w:rPr>
          <w:rFonts w:hint="eastAsia" w:ascii="仿宋_GB2312" w:hAnsi="仿宋_GB2312" w:eastAsia="仿宋_GB2312" w:cs="仿宋_GB2312"/>
          <w:b w:val="0"/>
          <w:bCs w:val="0"/>
          <w:sz w:val="30"/>
          <w:szCs w:val="30"/>
        </w:rPr>
        <w:t>自身建设工作</w:t>
      </w:r>
      <w:r>
        <w:rPr>
          <w:rFonts w:hint="eastAsia" w:ascii="仿宋_GB2312" w:hAnsi="仿宋_GB2312" w:eastAsia="仿宋_GB2312" w:cs="仿宋_GB2312"/>
          <w:b w:val="0"/>
          <w:bCs w:val="0"/>
          <w:sz w:val="30"/>
          <w:szCs w:val="30"/>
          <w:lang w:eastAsia="zh-CN"/>
        </w:rPr>
        <w:t>。一是</w:t>
      </w:r>
      <w:r>
        <w:rPr>
          <w:rFonts w:hint="eastAsia" w:ascii="仿宋_GB2312" w:hAnsi="仿宋_GB2312" w:eastAsia="仿宋_GB2312" w:cs="仿宋_GB2312"/>
          <w:b w:val="0"/>
          <w:bCs w:val="0"/>
          <w:sz w:val="30"/>
          <w:szCs w:val="30"/>
        </w:rPr>
        <w:t>加强党的建设。</w:t>
      </w:r>
      <w:r>
        <w:rPr>
          <w:rFonts w:hint="eastAsia" w:ascii="仿宋_GB2312" w:hAnsi="仿宋_GB2312" w:eastAsia="仿宋_GB2312" w:cs="仿宋_GB2312"/>
          <w:b w:val="0"/>
          <w:bCs w:val="0"/>
          <w:sz w:val="30"/>
          <w:szCs w:val="30"/>
          <w:lang w:eastAsia="zh-CN"/>
        </w:rPr>
        <w:t>二是</w:t>
      </w:r>
      <w:r>
        <w:rPr>
          <w:rFonts w:hint="eastAsia" w:ascii="仿宋_GB2312" w:hAnsi="仿宋_GB2312" w:eastAsia="仿宋_GB2312" w:cs="仿宋_GB2312"/>
          <w:b w:val="0"/>
          <w:bCs w:val="0"/>
          <w:sz w:val="30"/>
          <w:szCs w:val="30"/>
        </w:rPr>
        <w:t>加强制度建设。</w:t>
      </w:r>
      <w:r>
        <w:rPr>
          <w:rFonts w:hint="eastAsia" w:ascii="仿宋_GB2312" w:hAnsi="仿宋_GB2312" w:eastAsia="仿宋_GB2312" w:cs="仿宋_GB2312"/>
          <w:b w:val="0"/>
          <w:bCs w:val="0"/>
          <w:sz w:val="30"/>
          <w:szCs w:val="30"/>
          <w:lang w:eastAsia="zh-CN"/>
        </w:rPr>
        <w:t>三是</w:t>
      </w:r>
      <w:r>
        <w:rPr>
          <w:rFonts w:hint="eastAsia" w:ascii="仿宋_GB2312" w:hAnsi="仿宋_GB2312" w:eastAsia="仿宋_GB2312" w:cs="仿宋_GB2312"/>
          <w:b w:val="0"/>
          <w:bCs w:val="0"/>
          <w:sz w:val="30"/>
          <w:szCs w:val="30"/>
        </w:rPr>
        <w:t>加强校园文化</w:t>
      </w:r>
    </w:p>
    <w:p>
      <w:pPr>
        <w:overflowPunct w:val="0"/>
        <w:spacing w:line="600" w:lineRule="exact"/>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发现的主要问题及原因：一是财务核算有待进一步规范；二是公务用车方面有待进一步完善；三是电子卖场采购制度有待建全。</w:t>
      </w:r>
    </w:p>
    <w:p>
      <w:pPr>
        <w:overflowPunct w:val="0"/>
        <w:spacing w:line="600" w:lineRule="exact"/>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下一步改进措施：一是财务核算有待进一步规范；二是公务用车方面有待进一步完善；三是电子卖场采购制度有待建全；四是健全制度，加强内部管理。</w:t>
      </w:r>
    </w:p>
    <w:p>
      <w:pPr>
        <w:overflowPunct w:val="0"/>
        <w:spacing w:line="600" w:lineRule="exact"/>
        <w:ind w:firstLine="640" w:firstLineChars="200"/>
        <w:rPr>
          <w:rFonts w:ascii="Times New Roman" w:hAnsi="Times New Roman" w:eastAsia="仿宋_GB2312" w:cs="Times New Roman"/>
          <w:b/>
          <w:bCs/>
          <w:kern w:val="0"/>
          <w:sz w:val="32"/>
          <w:szCs w:val="32"/>
        </w:rPr>
      </w:pPr>
      <w:r>
        <w:rPr>
          <w:rFonts w:ascii="Times New Roman" w:hAnsi="Times New Roman" w:eastAsia="仿宋_GB2312" w:cs="Times New Roman"/>
          <w:b/>
          <w:bCs/>
          <w:kern w:val="0"/>
          <w:sz w:val="32"/>
          <w:szCs w:val="32"/>
        </w:rPr>
        <w:t>二是部门评价结果。</w:t>
      </w:r>
    </w:p>
    <w:p>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b/>
          <w:bCs/>
          <w:kern w:val="0"/>
          <w:sz w:val="32"/>
          <w:szCs w:val="32"/>
        </w:rPr>
        <w:t>三是事前绩效评估结果。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个项目评估不通过，涉及资金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pPr>
        <w:pStyle w:val="13"/>
        <w:numPr>
          <w:ilvl w:val="0"/>
          <w:numId w:val="1"/>
        </w:numPr>
        <w:overflowPunct w:val="0"/>
        <w:autoSpaceDE/>
        <w:autoSpaceDN/>
        <w:spacing w:line="600" w:lineRule="exact"/>
        <w:ind w:firstLine="640" w:firstLineChars="200"/>
        <w:jc w:val="both"/>
        <w:rPr>
          <w:rFonts w:ascii="Times New Roman" w:hAnsi="Times New Roman" w:cs="Times New Roman"/>
          <w:sz w:val="72"/>
          <w:szCs w:val="72"/>
        </w:rPr>
      </w:pPr>
      <w:r>
        <w:rPr>
          <w:rFonts w:ascii="Times New Roman" w:hAnsi="Times New Roman" w:eastAsia="楷体_GB2312" w:cs="Times New Roman"/>
          <w:b/>
          <w:bCs/>
          <w:color w:val="auto"/>
          <w:kern w:val="2"/>
          <w:sz w:val="32"/>
          <w:szCs w:val="32"/>
        </w:rPr>
        <w:t>评价结果应用情况。</w:t>
      </w:r>
      <w:r>
        <w:rPr>
          <w:rFonts w:ascii="Times New Roman" w:hAnsi="Times New Roman" w:eastAsia="仿宋_GB2312" w:cs="Times New Roman"/>
          <w:color w:val="auto"/>
          <w:sz w:val="32"/>
          <w:szCs w:val="32"/>
        </w:rPr>
        <w:t>请根据202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年度绩效自评结果、部门评价结果、财政评价结果对本部门2025年度预算安排，支出结构调整，资金管理，制度建设等方面结果运用进行简要说明。</w:t>
      </w:r>
    </w:p>
    <w:p>
      <w:pPr>
        <w:pStyle w:val="13"/>
        <w:numPr>
          <w:numId w:val="0"/>
        </w:numPr>
        <w:overflowPunct w:val="0"/>
        <w:autoSpaceDE/>
        <w:autoSpaceDN/>
        <w:spacing w:line="600" w:lineRule="exact"/>
        <w:jc w:val="both"/>
        <w:rPr>
          <w:rFonts w:ascii="Times New Roman" w:hAnsi="Times New Roman"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pStyle w:val="13"/>
        <w:jc w:val="both"/>
        <w:rPr>
          <w:rFonts w:ascii="Times New Roman" w:hAnsi="Times New Roman"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pStyle w:val="13"/>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pPr>
        <w:pStyle w:val="13"/>
        <w:spacing w:line="600" w:lineRule="exact"/>
        <w:ind w:firstLine="640" w:firstLineChars="200"/>
        <w:rPr>
          <w:rFonts w:ascii="Times New Roman" w:hAnsi="Times New Roman" w:eastAsia="仿宋_GB2312" w:cs="Times New Roman"/>
          <w:sz w:val="32"/>
          <w:szCs w:val="32"/>
        </w:rPr>
      </w:pPr>
      <w:bookmarkStart w:id="3" w:name="_GoBack"/>
      <w:bookmarkEnd w:id="3"/>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69649CF-EA6E-4DDC-A1BE-A934A9CA8B8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embedRegular r:id="rId2" w:fontKey="{CADBDFA1-936B-41D5-8581-4BD37471313C}"/>
  </w:font>
  <w:font w:name="方正小标宋_GBK">
    <w:altName w:val="微软雅黑"/>
    <w:panose1 w:val="03000509000000000000"/>
    <w:charset w:val="86"/>
    <w:family w:val="script"/>
    <w:pitch w:val="default"/>
    <w:sig w:usb0="00000000" w:usb1="00000000" w:usb2="00000000" w:usb3="00000000" w:csb0="00040000" w:csb1="00000000"/>
    <w:embedRegular r:id="rId3" w:fontKey="{52BD1821-D00E-47B0-A637-4F4220BB9A40}"/>
  </w:font>
  <w:font w:name="仿宋_GB2312">
    <w:panose1 w:val="02010609030101010101"/>
    <w:charset w:val="86"/>
    <w:family w:val="modern"/>
    <w:pitch w:val="default"/>
    <w:sig w:usb0="00000001" w:usb1="080E0000" w:usb2="00000000" w:usb3="00000000" w:csb0="00040000" w:csb1="00000000"/>
    <w:embedRegular r:id="rId4" w:fontKey="{372242B7-187A-40E6-83B3-7FF9529B02E5}"/>
  </w:font>
  <w:font w:name="华文中宋">
    <w:panose1 w:val="02010600040101010101"/>
    <w:charset w:val="86"/>
    <w:family w:val="auto"/>
    <w:pitch w:val="default"/>
    <w:sig w:usb0="00000287" w:usb1="080F0000" w:usb2="00000000" w:usb3="00000000" w:csb0="0004009F" w:csb1="DFD70000"/>
    <w:embedRegular r:id="rId5" w:fontKey="{FBB6A089-1DE5-4DB2-AAAB-A50641EFCC34}"/>
  </w:font>
  <w:font w:name="楷体_GB2312">
    <w:panose1 w:val="02010609030101010101"/>
    <w:charset w:val="86"/>
    <w:family w:val="modern"/>
    <w:pitch w:val="default"/>
    <w:sig w:usb0="00000001" w:usb1="080E0000" w:usb2="00000000" w:usb3="00000000" w:csb0="00040000" w:csb1="00000000"/>
    <w:embedRegular r:id="rId6" w:fontKey="{F71C9F55-B93D-4904-8F86-ED45CB47E5E7}"/>
  </w:font>
  <w:font w:name="楷体">
    <w:panose1 w:val="02010609060101010101"/>
    <w:charset w:val="86"/>
    <w:family w:val="modern"/>
    <w:pitch w:val="default"/>
    <w:sig w:usb0="800002BF" w:usb1="38CF7CFA" w:usb2="00000016" w:usb3="00000000" w:csb0="00040001" w:csb1="00000000"/>
    <w:embedRegular r:id="rId7" w:fontKey="{6379F65C-CE53-4F01-9802-BA260076BCC9}"/>
  </w:font>
  <w:font w:name="仿宋">
    <w:panose1 w:val="02010609060101010101"/>
    <w:charset w:val="86"/>
    <w:family w:val="auto"/>
    <w:pitch w:val="default"/>
    <w:sig w:usb0="800002BF" w:usb1="38CF7CFA" w:usb2="00000016" w:usb3="00000000" w:csb0="00040001" w:csb1="00000000"/>
    <w:embedRegular r:id="rId8" w:fontKey="{FDAD2ABB-2B91-49D7-A532-6EE1044481AC}"/>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5D805C6"/>
    <w:multiLevelType w:val="singleLevel"/>
    <w:tmpl w:val="75D805C6"/>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2232887"/>
    <w:rsid w:val="03E3303D"/>
    <w:rsid w:val="04CE2A73"/>
    <w:rsid w:val="08A07B8A"/>
    <w:rsid w:val="0A7A75AE"/>
    <w:rsid w:val="0C302F0E"/>
    <w:rsid w:val="0CB83354"/>
    <w:rsid w:val="11366ED6"/>
    <w:rsid w:val="16015013"/>
    <w:rsid w:val="1D97DEFF"/>
    <w:rsid w:val="1DFF72E5"/>
    <w:rsid w:val="1EFC6F07"/>
    <w:rsid w:val="207F7CF4"/>
    <w:rsid w:val="20E71D44"/>
    <w:rsid w:val="23E76EA7"/>
    <w:rsid w:val="2897327F"/>
    <w:rsid w:val="2C1A2BFD"/>
    <w:rsid w:val="2CA90EA9"/>
    <w:rsid w:val="2F57461A"/>
    <w:rsid w:val="2FC6460C"/>
    <w:rsid w:val="2FDF85B8"/>
    <w:rsid w:val="2FFFEE04"/>
    <w:rsid w:val="34DF85B0"/>
    <w:rsid w:val="34EE16F2"/>
    <w:rsid w:val="375F0685"/>
    <w:rsid w:val="37983B97"/>
    <w:rsid w:val="3A83084F"/>
    <w:rsid w:val="3B8F36BC"/>
    <w:rsid w:val="3BBD4B39"/>
    <w:rsid w:val="411E335F"/>
    <w:rsid w:val="491FF225"/>
    <w:rsid w:val="4FFD214C"/>
    <w:rsid w:val="53F86766"/>
    <w:rsid w:val="5777D4F5"/>
    <w:rsid w:val="59DD8326"/>
    <w:rsid w:val="5DEF592A"/>
    <w:rsid w:val="5FC6BB1E"/>
    <w:rsid w:val="5FF720F1"/>
    <w:rsid w:val="616F549D"/>
    <w:rsid w:val="64E30A47"/>
    <w:rsid w:val="65EC4F77"/>
    <w:rsid w:val="65FB758B"/>
    <w:rsid w:val="6659546A"/>
    <w:rsid w:val="67FF5C0B"/>
    <w:rsid w:val="6A503532"/>
    <w:rsid w:val="6BB43202"/>
    <w:rsid w:val="6D0234C5"/>
    <w:rsid w:val="6EFC0924"/>
    <w:rsid w:val="6FB74722"/>
    <w:rsid w:val="6FEF8B7E"/>
    <w:rsid w:val="71A6591B"/>
    <w:rsid w:val="737D59BA"/>
    <w:rsid w:val="764051D0"/>
    <w:rsid w:val="77C37683"/>
    <w:rsid w:val="77F71C38"/>
    <w:rsid w:val="78133811"/>
    <w:rsid w:val="79D19834"/>
    <w:rsid w:val="79FF515B"/>
    <w:rsid w:val="7BC13C07"/>
    <w:rsid w:val="7BF549BF"/>
    <w:rsid w:val="7DDF11A4"/>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paragraph" w:customStyle="1" w:styleId="10">
    <w:name w:val="样式1"/>
    <w:basedOn w:val="1"/>
    <w:qFormat/>
    <w:uiPriority w:val="0"/>
    <w:rPr>
      <w:b/>
      <w:color w:val="538135"/>
      <w:sz w:val="28"/>
    </w:rPr>
  </w:style>
  <w:style w:type="character" w:customStyle="1" w:styleId="11">
    <w:name w:val="页眉 Char"/>
    <w:basedOn w:val="9"/>
    <w:link w:val="6"/>
    <w:qFormat/>
    <w:uiPriority w:val="99"/>
    <w:rPr>
      <w:sz w:val="18"/>
      <w:szCs w:val="18"/>
    </w:rPr>
  </w:style>
  <w:style w:type="character" w:customStyle="1" w:styleId="12">
    <w:name w:val="页脚 Char"/>
    <w:basedOn w:val="9"/>
    <w:link w:val="5"/>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9"/>
    <w:link w:val="4"/>
    <w:semiHidden/>
    <w:qFormat/>
    <w:uiPriority w:val="99"/>
    <w:rPr>
      <w:sz w:val="18"/>
      <w:szCs w:val="18"/>
    </w:rPr>
  </w:style>
  <w:style w:type="character" w:customStyle="1" w:styleId="16">
    <w:name w:val="font01"/>
    <w:basedOn w:val="9"/>
    <w:qFormat/>
    <w:uiPriority w:val="0"/>
    <w:rPr>
      <w:rFonts w:hint="eastAsia" w:ascii="宋体" w:hAnsi="宋体" w:eastAsia="宋体" w:cs="宋体"/>
      <w:color w:val="000000"/>
      <w:sz w:val="22"/>
      <w:szCs w:val="22"/>
      <w:u w:val="none"/>
    </w:rPr>
  </w:style>
  <w:style w:type="character" w:customStyle="1" w:styleId="17">
    <w:name w:val="font21"/>
    <w:basedOn w:val="9"/>
    <w:qFormat/>
    <w:uiPriority w:val="0"/>
    <w:rPr>
      <w:rFonts w:hint="eastAsia" w:ascii="宋体" w:hAnsi="宋体" w:eastAsia="宋体" w:cs="宋体"/>
      <w:color w:val="000000"/>
      <w:sz w:val="24"/>
      <w:szCs w:val="24"/>
      <w:u w:val="none"/>
    </w:rPr>
  </w:style>
  <w:style w:type="character" w:customStyle="1" w:styleId="18">
    <w:name w:val="font11"/>
    <w:basedOn w:val="9"/>
    <w:qFormat/>
    <w:uiPriority w:val="0"/>
    <w:rPr>
      <w:rFonts w:hint="eastAsia" w:ascii="宋体" w:hAnsi="宋体" w:eastAsia="宋体" w:cs="宋体"/>
      <w:color w:val="000000"/>
      <w:sz w:val="24"/>
      <w:szCs w:val="24"/>
      <w:u w:val="none"/>
    </w:rPr>
  </w:style>
  <w:style w:type="table" w:customStyle="1" w:styleId="19">
    <w:name w:val="Table Normal"/>
    <w:semiHidden/>
    <w:unhideWhenUsed/>
    <w:qFormat/>
    <w:uiPriority w:val="0"/>
    <w:tblPr>
      <w:tblCellMar>
        <w:top w:w="0" w:type="dxa"/>
        <w:left w:w="0" w:type="dxa"/>
        <w:bottom w:w="0" w:type="dxa"/>
        <w:right w:w="0" w:type="dxa"/>
      </w:tblCellMar>
    </w:tblPr>
  </w:style>
  <w:style w:type="paragraph" w:customStyle="1" w:styleId="20">
    <w:name w:val="Table Text"/>
    <w:basedOn w:val="1"/>
    <w:semiHidden/>
    <w:qFormat/>
    <w:uiPriority w:val="0"/>
    <w:rPr>
      <w:rFonts w:ascii="宋体" w:hAnsi="宋体" w:eastAsia="宋体" w:cs="宋体"/>
      <w:sz w:val="19"/>
      <w:szCs w:val="19"/>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Pages>
  <Words>21</Words>
  <Characters>24</Characters>
  <Lines>69</Lines>
  <Paragraphs>19</Paragraphs>
  <TotalTime>2</TotalTime>
  <ScaleCrop>false</ScaleCrop>
  <LinksUpToDate>false</LinksUpToDate>
  <CharactersWithSpaces>26</CharactersWithSpaces>
  <Application>WPS Office_11.8.2.12014_F1E327BC-269C-435d-A152-05C5408002CA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蒋琼</cp:lastModifiedBy>
  <cp:lastPrinted>2026-09-07T08:08:00Z</cp:lastPrinted>
  <dcterms:modified xsi:type="dcterms:W3CDTF">2026-09-15T07:26:09Z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2052-11.8.2.12014</vt:lpwstr>
  </property>
  <property fmtid="{D5CDD505-2E9C-101B-9397-08002B2CF9AE}" pid="3" name="ICV">
    <vt:lpwstr>B2F57AE50CD94CD5847BCE18C5D82DC4_13</vt:lpwstr>
  </property>
  <property fmtid="{D5CDD505-2E9C-101B-9397-08002B2CF9AE}" pid="4" name="KSOTemplateDocerSaveRecord">
    <vt:lpwstr>eyJoZGlkIjoiMTYxYzdhNDBlNmVkMDU3OGNlNDUzMGQxYTZlYjIxMGEiLCJ1c2VySWQiOiI2NjM4MDg2MjMifQ==</vt:lpwstr>
  </property>
</Properties>
</file>