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sz w:val="56"/>
          <w:szCs w:val="56"/>
        </w:rPr>
      </w:pPr>
    </w:p>
    <w:p>
      <w:pPr>
        <w:pStyle w:val="12"/>
        <w:jc w:val="center"/>
        <w:rPr>
          <w:sz w:val="56"/>
          <w:szCs w:val="56"/>
        </w:rPr>
      </w:pPr>
    </w:p>
    <w:p>
      <w:pPr>
        <w:pStyle w:val="12"/>
        <w:jc w:val="center"/>
        <w:rPr>
          <w:sz w:val="84"/>
          <w:szCs w:val="84"/>
        </w:rPr>
      </w:pPr>
    </w:p>
    <w:p>
      <w:pPr>
        <w:pStyle w:val="12"/>
        <w:jc w:val="center"/>
        <w:rPr>
          <w:sz w:val="84"/>
          <w:szCs w:val="84"/>
        </w:rPr>
      </w:pP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2025年度</w:t>
      </w:r>
    </w:p>
    <w:p>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道县文化旅游广电体育局</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32"/>
          <w:szCs w:val="32"/>
        </w:rPr>
      </w:pPr>
    </w:p>
    <w:p>
      <w:pPr>
        <w:pStyle w:val="12"/>
        <w:jc w:val="center"/>
        <w:rPr>
          <w:sz w:val="32"/>
          <w:szCs w:val="32"/>
        </w:rPr>
      </w:pPr>
    </w:p>
    <w:p>
      <w:pPr>
        <w:pStyle w:val="12"/>
        <w:spacing w:line="500" w:lineRule="exact"/>
        <w:jc w:val="both"/>
        <w:rPr>
          <w:b/>
          <w:sz w:val="36"/>
          <w:szCs w:val="28"/>
        </w:rPr>
      </w:pPr>
    </w:p>
    <w:p>
      <w:pPr>
        <w:pStyle w:val="12"/>
        <w:spacing w:line="600" w:lineRule="exact"/>
        <w:jc w:val="center"/>
        <w:rPr>
          <w:rFonts w:ascii="Times New Roman" w:hAnsi="Times New Roman" w:cs="Times New Roman"/>
          <w:bCs/>
          <w:sz w:val="36"/>
          <w:szCs w:val="28"/>
        </w:rPr>
      </w:pPr>
      <w:r>
        <w:rPr>
          <w:rFonts w:hint="eastAsia" w:ascii="Times New Roman" w:hAnsi="Times New Roman" w:cs="Times New Roman"/>
          <w:bCs/>
          <w:sz w:val="36"/>
          <w:szCs w:val="28"/>
        </w:rPr>
        <w:t>目</w:t>
      </w:r>
      <w:r>
        <w:rPr>
          <w:rFonts w:hint="eastAsia" w:ascii="Times New Roman" w:hAnsi="Times New Roman" w:cs="Times New Roman"/>
          <w:bCs/>
          <w:sz w:val="36"/>
          <w:szCs w:val="28"/>
          <w:lang w:val="en-US" w:eastAsia="zh-CN"/>
        </w:rPr>
        <w:t xml:space="preserve">   </w:t>
      </w:r>
      <w:r>
        <w:rPr>
          <w:rFonts w:hint="eastAsia" w:ascii="Times New Roman" w:hAnsi="Times New Roman" w:cs="Times New Roman"/>
          <w:bCs/>
          <w:sz w:val="36"/>
          <w:szCs w:val="28"/>
        </w:rPr>
        <w:t>录</w:t>
      </w:r>
    </w:p>
    <w:p>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第一部分</w:t>
      </w:r>
      <w:r>
        <w:rPr>
          <w:rFonts w:hint="eastAsia" w:ascii="Times New Roman" w:hAnsi="Times New Roman" w:cs="Times New Roman"/>
          <w:bCs/>
          <w:sz w:val="32"/>
          <w:szCs w:val="32"/>
          <w:lang w:eastAsia="zh-CN"/>
        </w:rPr>
        <w:t>道县文化旅游广电体育局</w:t>
      </w:r>
      <w:r>
        <w:rPr>
          <w:rFonts w:hint="eastAsia" w:ascii="Times New Roman" w:hAnsi="Times New Roman" w:cs="Times New Roman"/>
          <w:bCs/>
          <w:sz w:val="32"/>
          <w:szCs w:val="32"/>
        </w:rPr>
        <w:t>单位概况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第二部分2025年度部门决算表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w:t>
      </w:r>
      <w:r>
        <w:rPr>
          <w:rFonts w:hint="eastAsia" w:ascii="Times New Roman" w:hAnsi="Times New Roman" w:eastAsia="仿宋_GB2312" w:cs="Times New Roman"/>
          <w:sz w:val="32"/>
          <w:szCs w:val="32"/>
        </w:rPr>
        <w:t>明细</w:t>
      </w:r>
      <w:r>
        <w:rPr>
          <w:rFonts w:ascii="Times New Roman" w:hAnsi="Times New Roman" w:eastAsia="仿宋_GB2312" w:cs="Times New Roman"/>
          <w:sz w:val="32"/>
          <w:szCs w:val="32"/>
        </w:rPr>
        <w:t>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七、一般公共预算财政拨款“三公”经费支出决算表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八、政府性基金预算财政拨款收入支出决算表</w:t>
      </w:r>
    </w:p>
    <w:p>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九、国有资本经营预算财政拨款支出决算表</w:t>
      </w:r>
    </w:p>
    <w:p>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第三部分2025年度部门决算情况说明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七、一般公共预算财政拨款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经费支出决算情况说明</w:t>
      </w:r>
    </w:p>
    <w:p>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政府性基金预算收入支出决算情况</w:t>
      </w:r>
    </w:p>
    <w:p>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机关运行经费支出说明</w:t>
      </w:r>
    </w:p>
    <w:p>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十、一般性支出情况说明</w:t>
      </w:r>
    </w:p>
    <w:p>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十一、政府采购支出说明</w:t>
      </w:r>
    </w:p>
    <w:p>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十二、国有资产占用情况说明</w:t>
      </w:r>
    </w:p>
    <w:p>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十三、2025年度预算绩效情况说明</w:t>
      </w:r>
    </w:p>
    <w:p>
      <w:pPr>
        <w:autoSpaceDE w:val="0"/>
        <w:autoSpaceDN w:val="0"/>
        <w:adjustRightInd w:val="0"/>
        <w:spacing w:line="500" w:lineRule="exact"/>
        <w:jc w:val="left"/>
        <w:rPr>
          <w:rFonts w:ascii="Times New Roman" w:hAnsi="Times New Roman" w:eastAsia="黑体" w:cs="Times New Roman"/>
          <w:bCs/>
          <w:color w:val="000000"/>
          <w:kern w:val="0"/>
          <w:sz w:val="32"/>
          <w:szCs w:val="32"/>
          <w:lang w:val="en-US" w:eastAsia="zh-CN" w:bidi="ar-SA"/>
        </w:rPr>
      </w:pPr>
      <w:r>
        <w:rPr>
          <w:rFonts w:ascii="Times New Roman" w:hAnsi="Times New Roman" w:eastAsia="黑体" w:cs="Times New Roman"/>
          <w:bCs/>
          <w:color w:val="000000"/>
          <w:kern w:val="0"/>
          <w:sz w:val="32"/>
          <w:szCs w:val="32"/>
          <w:lang w:val="en-US" w:eastAsia="zh-CN" w:bidi="ar-SA"/>
        </w:rPr>
        <w:t>第四部分名词解释</w:t>
      </w:r>
    </w:p>
    <w:p>
      <w:pPr>
        <w:autoSpaceDE w:val="0"/>
        <w:autoSpaceDN w:val="0"/>
        <w:adjustRightInd w:val="0"/>
        <w:spacing w:line="500" w:lineRule="exact"/>
        <w:jc w:val="left"/>
        <w:rPr>
          <w:rFonts w:ascii="Times New Roman" w:hAnsi="Times New Roman" w:eastAsia="黑体" w:cs="Times New Roman"/>
          <w:bCs/>
          <w:color w:val="000000"/>
          <w:kern w:val="0"/>
          <w:sz w:val="32"/>
          <w:szCs w:val="32"/>
          <w:lang w:val="en-US" w:eastAsia="zh-CN" w:bidi="ar-SA"/>
        </w:rPr>
      </w:pPr>
      <w:r>
        <w:rPr>
          <w:rFonts w:hint="eastAsia" w:ascii="Times New Roman" w:hAnsi="Times New Roman" w:eastAsia="黑体" w:cs="Times New Roman"/>
          <w:bCs/>
          <w:color w:val="000000"/>
          <w:kern w:val="0"/>
          <w:sz w:val="32"/>
          <w:szCs w:val="32"/>
          <w:lang w:val="en-US" w:eastAsia="zh-CN" w:bidi="ar-SA"/>
        </w:rPr>
        <w:t>第五部分附件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pStyle w:val="12"/>
        <w:jc w:val="center"/>
        <w:rPr>
          <w:rFonts w:hint="eastAsia"/>
          <w:sz w:val="84"/>
          <w:szCs w:val="84"/>
        </w:rPr>
      </w:pPr>
    </w:p>
    <w:p>
      <w:pPr>
        <w:pStyle w:val="12"/>
        <w:jc w:val="center"/>
        <w:rPr>
          <w:rFonts w:hint="eastAsia"/>
          <w:sz w:val="84"/>
          <w:szCs w:val="84"/>
        </w:rPr>
      </w:pPr>
    </w:p>
    <w:p>
      <w:pPr>
        <w:pStyle w:val="12"/>
        <w:jc w:val="center"/>
        <w:rPr>
          <w:rFonts w:hint="eastAsia"/>
          <w:sz w:val="84"/>
          <w:szCs w:val="84"/>
        </w:rPr>
      </w:pPr>
    </w:p>
    <w:p>
      <w:pPr>
        <w:pStyle w:val="12"/>
        <w:spacing w:line="360" w:lineRule="auto"/>
        <w:jc w:val="both"/>
        <w:rPr>
          <w:rFonts w:hint="eastAsia"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第一部分</w:t>
      </w:r>
    </w:p>
    <w:p>
      <w:pPr>
        <w:pStyle w:val="12"/>
        <w:spacing w:line="360" w:lineRule="auto"/>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道县文化旅游广电体育局</w:t>
      </w:r>
      <w:r>
        <w:rPr>
          <w:rFonts w:hint="eastAsia" w:ascii="Times New Roman" w:hAnsi="Times New Roman" w:eastAsia="方正小标宋_GBK" w:cs="Times New Roman"/>
          <w:sz w:val="52"/>
          <w:szCs w:val="52"/>
        </w:rPr>
        <w:t>单位概况</w:t>
      </w:r>
    </w:p>
    <w:p>
      <w:pPr>
        <w:pStyle w:val="13"/>
        <w:numPr>
          <w:ilvl w:val="0"/>
          <w:numId w:val="0"/>
        </w:numPr>
        <w:ind w:leftChars="0" w:firstLine="640" w:firstLineChars="200"/>
        <w:jc w:val="left"/>
        <w:rPr>
          <w:rFonts w:ascii="黑体" w:hAnsi="黑体" w:eastAsia="黑体"/>
          <w:sz w:val="32"/>
          <w:szCs w:val="32"/>
        </w:rPr>
      </w:pPr>
      <w:r>
        <w:rPr>
          <w:rFonts w:hint="eastAsia" w:ascii="黑体" w:hAnsi="黑体" w:eastAsia="黑体"/>
          <w:sz w:val="32"/>
          <w:szCs w:val="32"/>
          <w:lang w:eastAsia="zh-CN"/>
        </w:rPr>
        <w:t>一、</w:t>
      </w:r>
      <w:r>
        <w:rPr>
          <w:rFonts w:ascii="黑体" w:hAnsi="黑体" w:eastAsia="黑体"/>
          <w:sz w:val="32"/>
          <w:szCs w:val="32"/>
        </w:rPr>
        <w:t>部门职责</w:t>
      </w:r>
    </w:p>
    <w:p>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根据道县人民政府办公室道政办发(2013)30号文件,和永州市文化局的规定，本单位主要工作职责是：</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贯彻执行党和国家有关文化、旅游、广电、体育法律法规和方针政策；拟订全县文化、旅游、广电、体育事业发展规划并具体组织实施；起草有关地方规范性文件。</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指导、管理全县文学艺术事业；指导艺术创作与生产，重点扶植代表性、示范性、实验性文艺品种，推动各门类艺术的发展；管理全县性重大文化活动。</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拟定全县文化市场发展规划，负责对县中心城市规划区内网吧等上网服务营业场所及娱乐场所实行经营许可证管理，指导和监督全县文化市场综合执法工作；负责对全县文化艺术经营活动、文化类产品网上传播进行监管；负责对从事演艺活动的机构进行监管；负责对网络游戏服务进行监管（不含网络游戏的网上出版发行前置审批）。</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按权限负责全县文化艺术、广播电视领域的行政许可和监督；指导全县文化艺术、旅游发展、广播电视、网络领域的行业学会和协会工作。</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负责全县公共文化服务体系建设；规划、指导、管理社会文化事业；规划、引导公共文化产品生产；统筹安排全县重点文化设施和文化文物、广播电视新闻出版专项文化经费；</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承担县“扫黄打非”工作领导小组办公室日常工作。</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指导、协调和监督全县广播电视创作；协调指导广播电视事业建设和广播电视系统的对外交流，管理全县卫星广播电视地面接收设施、社会公共场所电视显示屏；监督管理全县广播电视节目、全县信息网络视听节目，负责管理开办视屏点播业务；拟定全县电影放映事业的发展规划并组织实施。</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负责全县广播电影电视安全播映保障体系建设，监督、检查和指导全县广播电视安全播出工作；组织制定广播电视安全播出应急预案，协调落实防范措施；协调重大宣传活动和重要保障期的广播电视安全播出事项。</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指导全县文化遗产保护工作；协调、组织实施全县文物保护和非物质文化遗产保护及优秀民族文化的传承普及工作，指导国家级、省级文物和非物质文化遗产代表项目的申报、评审工作；组织协调全县性文化遗产展示活动。</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拟订全县文化产业发展规划，引导和促进全县文化产业发展。拟订全县动漫、游戏产业发展规划并组织实施。</w:t>
      </w:r>
    </w:p>
    <w:p>
      <w:pPr>
        <w:widowControl/>
        <w:numPr>
          <w:ilvl w:val="0"/>
          <w:numId w:val="1"/>
        </w:numPr>
        <w:spacing w:line="600" w:lineRule="exact"/>
        <w:ind w:left="425" w:leftChars="0" w:hanging="425" w:firstLineChars="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会同有关部门拟订对外文化交流规划，组织对外文化交流活动；拟定全县文化科技发展规划并组织实施，推进文化科技信息建设。会同有关部门贯彻执行对外及对港澳台的文化交流政策。</w:t>
      </w:r>
    </w:p>
    <w:p>
      <w:pPr>
        <w:widowControl/>
        <w:numPr>
          <w:ilvl w:val="0"/>
          <w:numId w:val="1"/>
        </w:numPr>
        <w:spacing w:line="600" w:lineRule="exact"/>
        <w:ind w:left="425" w:leftChars="0" w:hanging="425" w:firstLineChars="0"/>
        <w:rPr>
          <w:rFonts w:hint="eastAsia" w:ascii="仿宋" w:hAnsi="仿宋" w:eastAsia="仿宋" w:cs="仿宋"/>
          <w:sz w:val="28"/>
          <w:szCs w:val="28"/>
        </w:rPr>
      </w:pPr>
      <w:r>
        <w:rPr>
          <w:rFonts w:hint="eastAsia" w:ascii="Times New Roman" w:hAnsi="Times New Roman" w:eastAsia="仿宋_GB2312" w:cs="Times New Roman"/>
          <w:bCs/>
          <w:kern w:val="0"/>
          <w:sz w:val="32"/>
          <w:szCs w:val="32"/>
        </w:rPr>
        <w:t>会同有关部门拟订全县文化艺术教育规划并组织实施，指导全县社会艺术教育和文化艺术行业职业教育。</w:t>
      </w:r>
    </w:p>
    <w:p>
      <w:pPr>
        <w:widowControl/>
        <w:numPr>
          <w:ilvl w:val="0"/>
          <w:numId w:val="1"/>
        </w:numPr>
        <w:spacing w:line="600" w:lineRule="exact"/>
        <w:ind w:left="425" w:leftChars="0" w:hanging="425" w:firstLineChars="0"/>
        <w:rPr>
          <w:rFonts w:hint="eastAsia" w:ascii="仿宋" w:hAnsi="仿宋" w:eastAsia="仿宋" w:cs="仿宋"/>
          <w:sz w:val="28"/>
          <w:szCs w:val="28"/>
        </w:rPr>
      </w:pPr>
      <w:r>
        <w:rPr>
          <w:rFonts w:hint="eastAsia" w:ascii="Times New Roman" w:hAnsi="Times New Roman" w:eastAsia="仿宋_GB2312" w:cs="Times New Roman"/>
          <w:bCs/>
          <w:kern w:val="0"/>
          <w:sz w:val="32"/>
          <w:szCs w:val="32"/>
        </w:rPr>
        <w:t>承办县人民政府交办的其它事项。</w:t>
      </w:r>
      <w:r>
        <w:rPr>
          <w:rFonts w:hint="eastAsia" w:ascii="仿宋" w:hAnsi="仿宋" w:eastAsia="仿宋" w:cs="仿宋"/>
          <w:sz w:val="28"/>
          <w:szCs w:val="28"/>
        </w:rPr>
        <w:t xml:space="preserve"> </w:t>
      </w:r>
    </w:p>
    <w:p>
      <w:pPr>
        <w:widowControl/>
        <w:spacing w:line="600" w:lineRule="exact"/>
        <w:ind w:firstLine="640" w:firstLineChars="200"/>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本</w:t>
      </w:r>
      <w:r>
        <w:rPr>
          <w:rFonts w:hint="eastAsia" w:ascii="Times New Roman" w:hAnsi="Times New Roman" w:eastAsia="仿宋_GB2312" w:cs="Times New Roman"/>
          <w:bCs/>
          <w:kern w:val="0"/>
          <w:sz w:val="32"/>
          <w:szCs w:val="32"/>
        </w:rPr>
        <w:t>单位内设机构包括：办公室</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政工</w:t>
      </w:r>
      <w:r>
        <w:rPr>
          <w:rFonts w:hint="eastAsia" w:ascii="Times New Roman" w:hAnsi="Times New Roman" w:eastAsia="仿宋_GB2312" w:cs="Times New Roman"/>
          <w:bCs/>
          <w:kern w:val="0"/>
          <w:sz w:val="32"/>
          <w:szCs w:val="32"/>
          <w:lang w:eastAsia="zh-CN"/>
        </w:rPr>
        <w:t>股、</w:t>
      </w:r>
      <w:r>
        <w:rPr>
          <w:rFonts w:hint="eastAsia" w:ascii="Times New Roman" w:hAnsi="Times New Roman" w:eastAsia="仿宋_GB2312" w:cs="Times New Roman"/>
          <w:bCs/>
          <w:kern w:val="0"/>
          <w:sz w:val="32"/>
          <w:szCs w:val="32"/>
        </w:rPr>
        <w:t>财务</w:t>
      </w:r>
      <w:r>
        <w:rPr>
          <w:rFonts w:hint="eastAsia" w:ascii="Times New Roman" w:hAnsi="Times New Roman" w:eastAsia="仿宋_GB2312" w:cs="Times New Roman"/>
          <w:bCs/>
          <w:kern w:val="0"/>
          <w:sz w:val="32"/>
          <w:szCs w:val="32"/>
          <w:lang w:eastAsia="zh-CN"/>
        </w:rPr>
        <w:t>股、</w:t>
      </w:r>
      <w:r>
        <w:rPr>
          <w:rFonts w:hint="eastAsia" w:ascii="Times New Roman" w:hAnsi="Times New Roman" w:eastAsia="仿宋_GB2312" w:cs="Times New Roman"/>
          <w:bCs/>
          <w:kern w:val="0"/>
          <w:sz w:val="32"/>
          <w:szCs w:val="32"/>
        </w:rPr>
        <w:t>文艺股</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广电股</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文化执法大队</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体育股</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产业</w:t>
      </w:r>
      <w:r>
        <w:rPr>
          <w:rFonts w:hint="eastAsia" w:ascii="Times New Roman" w:hAnsi="Times New Roman" w:eastAsia="仿宋_GB2312" w:cs="Times New Roman"/>
          <w:bCs/>
          <w:kern w:val="0"/>
          <w:sz w:val="32"/>
          <w:szCs w:val="32"/>
          <w:lang w:eastAsia="zh-CN"/>
        </w:rPr>
        <w:t>发展</w:t>
      </w:r>
      <w:r>
        <w:rPr>
          <w:rFonts w:hint="eastAsia" w:ascii="Times New Roman" w:hAnsi="Times New Roman" w:eastAsia="仿宋_GB2312" w:cs="Times New Roman"/>
          <w:bCs/>
          <w:kern w:val="0"/>
          <w:sz w:val="32"/>
          <w:szCs w:val="32"/>
        </w:rPr>
        <w:t>股</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行政审批股</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文物</w:t>
      </w:r>
      <w:r>
        <w:rPr>
          <w:rFonts w:hint="eastAsia" w:ascii="Times New Roman" w:hAnsi="Times New Roman" w:eastAsia="仿宋_GB2312" w:cs="Times New Roman"/>
          <w:bCs/>
          <w:kern w:val="0"/>
          <w:sz w:val="32"/>
          <w:szCs w:val="32"/>
          <w:lang w:eastAsia="zh-CN"/>
        </w:rPr>
        <w:t>管理股。</w:t>
      </w:r>
    </w:p>
    <w:p>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本</w:t>
      </w:r>
      <w:r>
        <w:rPr>
          <w:rFonts w:hint="eastAsia" w:ascii="Times New Roman" w:hAnsi="Times New Roman" w:eastAsia="仿宋_GB2312" w:cs="Times New Roman"/>
          <w:bCs/>
          <w:kern w:val="0"/>
          <w:sz w:val="32"/>
          <w:szCs w:val="32"/>
        </w:rPr>
        <w:t>单位</w:t>
      </w:r>
      <w:r>
        <w:rPr>
          <w:rFonts w:hint="eastAsia" w:ascii="Times New Roman" w:hAnsi="Times New Roman" w:eastAsia="仿宋_GB2312" w:cs="Times New Roman"/>
          <w:bCs/>
          <w:kern w:val="0"/>
          <w:sz w:val="32"/>
          <w:szCs w:val="32"/>
          <w:lang w:eastAsia="zh-CN"/>
        </w:rPr>
        <w:t>202</w:t>
      </w:r>
      <w:r>
        <w:rPr>
          <w:rFonts w:hint="eastAsia" w:ascii="Times New Roman" w:hAnsi="Times New Roman" w:eastAsia="仿宋_GB2312" w:cs="Times New Roman"/>
          <w:bCs/>
          <w:kern w:val="0"/>
          <w:sz w:val="32"/>
          <w:szCs w:val="32"/>
          <w:lang w:val="en-US" w:eastAsia="zh-CN"/>
        </w:rPr>
        <w:t>5</w:t>
      </w:r>
      <w:bookmarkStart w:id="4" w:name="_GoBack"/>
      <w:bookmarkEnd w:id="4"/>
      <w:r>
        <w:rPr>
          <w:rFonts w:hint="eastAsia" w:ascii="Times New Roman" w:hAnsi="Times New Roman" w:eastAsia="仿宋_GB2312" w:cs="Times New Roman"/>
          <w:bCs/>
          <w:kern w:val="0"/>
          <w:sz w:val="32"/>
          <w:szCs w:val="32"/>
          <w:lang w:eastAsia="zh-CN"/>
        </w:rPr>
        <w:t>年</w:t>
      </w:r>
      <w:r>
        <w:rPr>
          <w:rFonts w:hint="eastAsia" w:ascii="Times New Roman" w:hAnsi="Times New Roman" w:eastAsia="仿宋_GB2312" w:cs="Times New Roman"/>
          <w:bCs/>
          <w:kern w:val="0"/>
          <w:sz w:val="32"/>
          <w:szCs w:val="32"/>
        </w:rPr>
        <w:t>部门决算汇总公开单位构成包括：</w:t>
      </w:r>
      <w:r>
        <w:rPr>
          <w:rFonts w:hint="eastAsia" w:ascii="Times New Roman" w:hAnsi="Times New Roman" w:eastAsia="仿宋_GB2312" w:cs="Times New Roman"/>
          <w:bCs/>
          <w:kern w:val="0"/>
          <w:sz w:val="32"/>
          <w:szCs w:val="32"/>
          <w:lang w:eastAsia="zh-CN"/>
        </w:rPr>
        <w:t>本</w:t>
      </w:r>
      <w:r>
        <w:rPr>
          <w:rFonts w:hint="eastAsia"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sz w:val="72"/>
          <w:szCs w:val="72"/>
        </w:rPr>
      </w:pPr>
    </w:p>
    <w:p>
      <w:pPr>
        <w:jc w:val="center"/>
        <w:rPr>
          <w:rFonts w:hint="eastAsia" w:ascii="Times New Roman" w:hAnsi="Times New Roman" w:eastAsia="方正小标宋_GBK" w:cs="Times New Roman"/>
          <w:color w:val="000000"/>
          <w:kern w:val="0"/>
          <w:sz w:val="52"/>
          <w:szCs w:val="52"/>
          <w:lang w:val="en-US" w:eastAsia="zh-CN" w:bidi="ar-SA"/>
        </w:rPr>
      </w:pPr>
    </w:p>
    <w:p>
      <w:pPr>
        <w:jc w:val="center"/>
        <w:rPr>
          <w:rFonts w:hint="eastAsia" w:ascii="Times New Roman" w:hAnsi="Times New Roman" w:eastAsia="方正小标宋_GBK" w:cs="Times New Roman"/>
          <w:color w:val="000000"/>
          <w:kern w:val="0"/>
          <w:sz w:val="52"/>
          <w:szCs w:val="52"/>
          <w:lang w:val="en-US" w:eastAsia="zh-CN" w:bidi="ar-SA"/>
        </w:rPr>
      </w:pPr>
    </w:p>
    <w:p>
      <w:pPr>
        <w:jc w:val="center"/>
        <w:rPr>
          <w:rFonts w:hint="eastAsia" w:ascii="Times New Roman" w:hAnsi="Times New Roman" w:eastAsia="方正小标宋_GBK" w:cs="Times New Roman"/>
          <w:color w:val="000000"/>
          <w:kern w:val="0"/>
          <w:sz w:val="52"/>
          <w:szCs w:val="52"/>
          <w:lang w:val="en-US" w:eastAsia="zh-CN" w:bidi="ar-SA"/>
        </w:rPr>
      </w:pPr>
    </w:p>
    <w:p>
      <w:pPr>
        <w:jc w:val="center"/>
        <w:rPr>
          <w:rFonts w:hint="eastAsia" w:ascii="Times New Roman" w:hAnsi="Times New Roman" w:eastAsia="方正小标宋_GBK" w:cs="Times New Roman"/>
          <w:color w:val="000000"/>
          <w:kern w:val="0"/>
          <w:sz w:val="52"/>
          <w:szCs w:val="52"/>
          <w:lang w:val="en-US" w:eastAsia="zh-CN" w:bidi="ar-SA"/>
        </w:rPr>
      </w:pPr>
    </w:p>
    <w:p>
      <w:pPr>
        <w:jc w:val="center"/>
        <w:rPr>
          <w:rFonts w:hint="eastAsia" w:ascii="Times New Roman" w:hAnsi="Times New Roman" w:eastAsia="方正小标宋_GBK" w:cs="Times New Roman"/>
          <w:color w:val="000000"/>
          <w:kern w:val="0"/>
          <w:sz w:val="52"/>
          <w:szCs w:val="52"/>
          <w:lang w:val="en-US" w:eastAsia="zh-CN" w:bidi="ar-SA"/>
        </w:rPr>
      </w:pPr>
    </w:p>
    <w:p>
      <w:pPr>
        <w:jc w:val="center"/>
        <w:rPr>
          <w:rFonts w:hint="eastAsia" w:ascii="Times New Roman" w:hAnsi="Times New Roman" w:eastAsia="方正小标宋_GBK" w:cs="Times New Roman"/>
          <w:color w:val="000000"/>
          <w:kern w:val="0"/>
          <w:sz w:val="52"/>
          <w:szCs w:val="52"/>
          <w:lang w:val="en-US" w:eastAsia="zh-CN" w:bidi="ar-SA"/>
        </w:rPr>
      </w:pPr>
    </w:p>
    <w:p>
      <w:pPr>
        <w:jc w:val="center"/>
        <w:rPr>
          <w:rFonts w:hint="eastAsia" w:ascii="Times New Roman" w:hAnsi="Times New Roman" w:eastAsia="方正小标宋_GBK" w:cs="Times New Roman"/>
          <w:color w:val="000000"/>
          <w:kern w:val="0"/>
          <w:sz w:val="52"/>
          <w:szCs w:val="52"/>
          <w:lang w:val="en-US" w:eastAsia="zh-CN" w:bidi="ar-SA"/>
        </w:rPr>
      </w:pPr>
    </w:p>
    <w:p>
      <w:pPr>
        <w:jc w:val="center"/>
        <w:rPr>
          <w:rFonts w:hint="eastAsia" w:ascii="Times New Roman" w:hAnsi="Times New Roman" w:eastAsia="方正小标宋_GBK" w:cs="Times New Roman"/>
          <w:color w:val="000000"/>
          <w:kern w:val="0"/>
          <w:sz w:val="52"/>
          <w:szCs w:val="52"/>
          <w:lang w:val="en-US" w:eastAsia="zh-CN" w:bidi="ar-SA"/>
        </w:rPr>
      </w:pPr>
    </w:p>
    <w:p>
      <w:pPr>
        <w:jc w:val="center"/>
        <w:rPr>
          <w:rFonts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第二部分  部门决算表</w:t>
      </w:r>
    </w:p>
    <w:p>
      <w:pPr>
        <w:jc w:val="left"/>
        <w:rPr>
          <w:rFonts w:asciiTheme="minorEastAsia" w:hAnsiTheme="minorEastAsia"/>
          <w:sz w:val="32"/>
          <w:szCs w:val="32"/>
        </w:rPr>
        <w:sectPr>
          <w:headerReference r:id="rId3" w:type="default"/>
          <w:footerReference r:id="rId4" w:type="default"/>
          <w:pgSz w:w="11906" w:h="16838"/>
          <w:pgMar w:top="1417" w:right="1587" w:bottom="1417" w:left="1531" w:header="851" w:footer="992" w:gutter="0"/>
          <w:cols w:space="425" w:num="1"/>
          <w:docGrid w:type="lines" w:linePitch="312" w:charSpace="0"/>
        </w:sectPr>
      </w:pPr>
    </w:p>
    <w:tbl>
      <w:tblPr>
        <w:tblStyle w:val="8"/>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收入支出决算总表</w:t>
            </w:r>
          </w:p>
        </w:tc>
      </w:tr>
      <w:tr>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道县文化旅游广电体育局</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835.78</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kern w:val="0"/>
                <w:sz w:val="22"/>
                <w:lang w:val="en-US" w:eastAsia="zh-CN"/>
              </w:rPr>
              <w:t>3037.7</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719.31</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73.68</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21.45</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21.33</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lang w:eastAsia="zh-CN"/>
              </w:rPr>
            </w:pPr>
            <w:r>
              <w:rPr>
                <w:rFonts w:hint="eastAsia" w:ascii="宋体" w:hAnsi="宋体" w:eastAsia="宋体" w:cs="宋体"/>
                <w:kern w:val="0"/>
                <w:sz w:val="22"/>
                <w:lang w:eastAsia="zh-CN"/>
              </w:rPr>
              <w:t>3037.7</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center"/>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3873.48</w:t>
            </w: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3873.48</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3873.48</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b/>
                <w:bCs/>
                <w:kern w:val="0"/>
                <w:sz w:val="22"/>
                <w:lang w:eastAsia="zh-CN"/>
              </w:rPr>
            </w:pPr>
            <w:r>
              <w:rPr>
                <w:rFonts w:hint="eastAsia" w:ascii="宋体" w:hAnsi="宋体" w:eastAsia="宋体" w:cs="宋体"/>
                <w:color w:val="000000"/>
                <w:kern w:val="0"/>
                <w:sz w:val="22"/>
                <w:lang w:eastAsia="zh-CN"/>
              </w:rPr>
              <w:t>3873.48</w:t>
            </w:r>
          </w:p>
        </w:tc>
      </w:tr>
      <w:tr>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8"/>
        <w:tblW w:w="15369" w:type="dxa"/>
        <w:tblInd w:w="0" w:type="dxa"/>
        <w:tblLayout w:type="fixed"/>
        <w:tblCellMar>
          <w:top w:w="0" w:type="dxa"/>
          <w:left w:w="0" w:type="dxa"/>
          <w:bottom w:w="0" w:type="dxa"/>
          <w:right w:w="0" w:type="dxa"/>
        </w:tblCellMar>
      </w:tblPr>
      <w:tblGrid>
        <w:gridCol w:w="1026"/>
        <w:gridCol w:w="72"/>
        <w:gridCol w:w="2522"/>
        <w:gridCol w:w="106"/>
        <w:gridCol w:w="921"/>
        <w:gridCol w:w="1670"/>
        <w:gridCol w:w="1670"/>
        <w:gridCol w:w="1670"/>
        <w:gridCol w:w="1670"/>
        <w:gridCol w:w="1670"/>
        <w:gridCol w:w="2372"/>
      </w:tblGrid>
      <w:tr>
        <w:tblPrEx>
          <w:tblCellMar>
            <w:top w:w="0" w:type="dxa"/>
            <w:left w:w="0" w:type="dxa"/>
            <w:bottom w:w="0" w:type="dxa"/>
            <w:right w:w="0" w:type="dxa"/>
          </w:tblCellMar>
        </w:tblPrEx>
        <w:trPr>
          <w:trHeight w:val="435" w:hRule="atLeast"/>
        </w:trPr>
        <w:tc>
          <w:tcPr>
            <w:tcW w:w="15369" w:type="dxa"/>
            <w:gridSpan w:val="11"/>
            <w:tcBorders>
              <w:top w:val="nil"/>
              <w:left w:val="nil"/>
              <w:bottom w:val="nil"/>
              <w:right w:val="nil"/>
            </w:tcBorders>
            <w:shd w:val="clear" w:color="auto" w:fill="auto"/>
            <w:noWrap/>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Times New Roman" w:hAnsi="Times New Roman" w:eastAsia="黑体" w:cs="Times New Roman"/>
                <w:color w:val="000000"/>
                <w:kern w:val="0"/>
                <w:sz w:val="36"/>
                <w:szCs w:val="36"/>
                <w:lang w:bidi="ar"/>
              </w:rPr>
              <w:t>收入决算表</w:t>
            </w:r>
          </w:p>
        </w:tc>
      </w:tr>
      <w:tr>
        <w:tblPrEx>
          <w:tblCellMar>
            <w:top w:w="0" w:type="dxa"/>
            <w:left w:w="0" w:type="dxa"/>
            <w:bottom w:w="0" w:type="dxa"/>
            <w:right w:w="0" w:type="dxa"/>
          </w:tblCellMar>
        </w:tblPrEx>
        <w:trPr>
          <w:trHeight w:val="285" w:hRule="atLeast"/>
        </w:trPr>
        <w:tc>
          <w:tcPr>
            <w:tcW w:w="102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7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628"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3726"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color w:val="000000"/>
                <w:sz w:val="20"/>
                <w:szCs w:val="20"/>
              </w:rPr>
              <w:t>部门：</w:t>
            </w:r>
            <w:r>
              <w:rPr>
                <w:rFonts w:hint="eastAsia" w:ascii="宋体" w:hAnsi="宋体" w:eastAsia="宋体" w:cs="宋体"/>
                <w:color w:val="000000"/>
                <w:kern w:val="0"/>
                <w:sz w:val="20"/>
                <w:szCs w:val="20"/>
              </w:rPr>
              <w:t>道县文化旅游广电体育局</w:t>
            </w:r>
            <w:r>
              <w:rPr>
                <w:rFonts w:hint="eastAsia"/>
              </w:rPr>
              <w:t>　</w:t>
            </w:r>
          </w:p>
        </w:tc>
        <w:tc>
          <w:tcPr>
            <w:tcW w:w="9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726" w:type="dxa"/>
            <w:gridSpan w:val="4"/>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9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7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37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09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628" w:type="dxa"/>
            <w:gridSpan w:val="2"/>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9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98"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628" w:type="dxa"/>
            <w:gridSpan w:val="2"/>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9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726"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9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3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3726"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合计</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3873.48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3873.48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207</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文化旅游体育与传媒支出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719.31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719.31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20701</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文化和旅游</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719.31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719.31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2070105</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文化展示及纪念机构</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719.31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719.31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208</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社会保障和就业支出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73.68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73.68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20805</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行政事业单位养老支出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73.68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73.68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2080505</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机关事业单位基本养老保险缴费支出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73.68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73.68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756"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卫生健康支出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cs="宋体"/>
                <w:sz w:val="24"/>
                <w:szCs w:val="24"/>
                <w:lang w:eastAsia="zh-CN"/>
              </w:rPr>
            </w:pPr>
            <w:r>
              <w:rPr>
                <w:rFonts w:hint="eastAsia" w:ascii="宋体" w:hAnsi="宋体" w:eastAsia="宋体" w:cs="宋体"/>
                <w:color w:val="000000"/>
                <w:kern w:val="0"/>
                <w:sz w:val="22"/>
                <w:lang w:eastAsia="zh-CN"/>
              </w:rPr>
              <w:t>21.45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21.45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行政事业单位医疗</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21.45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21.45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2101102</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事业单位医疗</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21.45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21.45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221</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住房保障支出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21.33</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21.33</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2210201</w:t>
            </w:r>
          </w:p>
        </w:tc>
        <w:tc>
          <w:tcPr>
            <w:tcW w:w="25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住房公积金</w:t>
            </w:r>
          </w:p>
        </w:tc>
        <w:tc>
          <w:tcPr>
            <w:tcW w:w="102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21.33</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21.33</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w:t>
            </w:r>
          </w:p>
        </w:tc>
        <w:tc>
          <w:tcPr>
            <w:tcW w:w="25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rPr>
            </w:pPr>
            <w:r>
              <w:rPr>
                <w:rFonts w:hint="eastAsia"/>
              </w:rPr>
              <w:t>其他支出</w:t>
            </w:r>
          </w:p>
        </w:tc>
        <w:tc>
          <w:tcPr>
            <w:tcW w:w="102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3037.7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3037.7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22904</w:t>
            </w:r>
          </w:p>
        </w:tc>
        <w:tc>
          <w:tcPr>
            <w:tcW w:w="25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rPr>
            </w:pPr>
            <w:r>
              <w:rPr>
                <w:rFonts w:hint="eastAsia"/>
              </w:rPr>
              <w:t>其他政府性基金及对应专项债务收入安排的支出</w:t>
            </w:r>
          </w:p>
        </w:tc>
        <w:tc>
          <w:tcPr>
            <w:tcW w:w="102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3037.7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3037.7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lang w:val="en-US" w:eastAsia="zh-CN"/>
              </w:rPr>
              <w:t>2290402</w:t>
            </w:r>
          </w:p>
        </w:tc>
        <w:tc>
          <w:tcPr>
            <w:tcW w:w="25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rPr>
              <w:t>其他地方自行试点项目收益专项债券收入安排的支出</w:t>
            </w:r>
          </w:p>
        </w:tc>
        <w:tc>
          <w:tcPr>
            <w:tcW w:w="102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3037.7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3037.7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615" w:hRule="atLeast"/>
        </w:trPr>
        <w:tc>
          <w:tcPr>
            <w:tcW w:w="15369" w:type="dxa"/>
            <w:gridSpan w:val="11"/>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center"/>
        <w:rPr>
          <w:rFonts w:ascii="Times New Roman" w:hAnsi="Times New Roman" w:eastAsia="方正小标宋_GBK" w:cs="Times New Roman"/>
          <w:kern w:val="0"/>
          <w:sz w:val="36"/>
          <w:szCs w:val="36"/>
        </w:rPr>
      </w:pPr>
      <w:bookmarkStart w:id="0" w:name="RANGE!A1:F16"/>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tbl>
      <w:tblPr>
        <w:tblStyle w:val="8"/>
        <w:tblW w:w="15420" w:type="dxa"/>
        <w:tblInd w:w="93" w:type="dxa"/>
        <w:tblLayout w:type="fixed"/>
        <w:tblCellMar>
          <w:top w:w="0" w:type="dxa"/>
          <w:left w:w="108" w:type="dxa"/>
          <w:bottom w:w="0" w:type="dxa"/>
          <w:right w:w="108" w:type="dxa"/>
        </w:tblCellMar>
      </w:tblPr>
      <w:tblGrid>
        <w:gridCol w:w="1159"/>
        <w:gridCol w:w="626"/>
        <w:gridCol w:w="236"/>
        <w:gridCol w:w="2899"/>
        <w:gridCol w:w="1612"/>
        <w:gridCol w:w="1650"/>
        <w:gridCol w:w="1575"/>
        <w:gridCol w:w="1725"/>
        <w:gridCol w:w="1482"/>
        <w:gridCol w:w="2456"/>
      </w:tblGrid>
      <w:tr>
        <w:tblPrEx>
          <w:tblCellMar>
            <w:top w:w="0" w:type="dxa"/>
            <w:left w:w="108" w:type="dxa"/>
            <w:bottom w:w="0" w:type="dxa"/>
            <w:right w:w="108" w:type="dxa"/>
          </w:tblCellMar>
        </w:tblPrEx>
        <w:trPr>
          <w:trHeight w:val="435" w:hRule="atLeast"/>
        </w:trPr>
        <w:tc>
          <w:tcPr>
            <w:tcW w:w="15420"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支出决算表</w:t>
            </w:r>
          </w:p>
        </w:tc>
      </w:tr>
      <w:tr>
        <w:tblPrEx>
          <w:tblCellMar>
            <w:top w:w="0" w:type="dxa"/>
            <w:left w:w="108" w:type="dxa"/>
            <w:bottom w:w="0" w:type="dxa"/>
            <w:right w:w="108" w:type="dxa"/>
          </w:tblCellMar>
        </w:tblPrEx>
        <w:trPr>
          <w:trHeight w:val="285" w:hRule="atLeast"/>
        </w:trPr>
        <w:tc>
          <w:tcPr>
            <w:tcW w:w="1785"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89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5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2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285" w:hRule="atLeast"/>
        </w:trPr>
        <w:tc>
          <w:tcPr>
            <w:tcW w:w="4920" w:type="dxa"/>
            <w:gridSpan w:val="4"/>
            <w:tcBorders>
              <w:top w:val="nil"/>
              <w:left w:val="nil"/>
              <w:bottom w:val="nil"/>
              <w:right w:val="nil"/>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部门：道县文化旅游广电体育局</w:t>
            </w:r>
            <w:r>
              <w:rPr>
                <w:rFonts w:hint="eastAsia" w:ascii="宋体" w:hAnsi="宋体" w:eastAsia="宋体" w:cs="宋体"/>
                <w:kern w:val="0"/>
                <w:sz w:val="24"/>
                <w:szCs w:val="24"/>
              </w:rPr>
              <w:t>　</w:t>
            </w:r>
          </w:p>
        </w:tc>
        <w:tc>
          <w:tcPr>
            <w:tcW w:w="161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5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5"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72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4920"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1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57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7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48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45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450" w:hRule="atLeast"/>
        </w:trPr>
        <w:tc>
          <w:tcPr>
            <w:tcW w:w="202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899"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5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38" w:hRule="atLeast"/>
        </w:trPr>
        <w:tc>
          <w:tcPr>
            <w:tcW w:w="202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89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5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225" w:hRule="atLeast"/>
        </w:trPr>
        <w:tc>
          <w:tcPr>
            <w:tcW w:w="4920"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1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5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57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72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48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45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450" w:hRule="atLeast"/>
        </w:trPr>
        <w:tc>
          <w:tcPr>
            <w:tcW w:w="4920"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合计</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3873.48</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474.21</w:t>
            </w: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3037.70</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文化旅游体育与传媒支出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719.31</w:t>
            </w:r>
          </w:p>
        </w:tc>
        <w:tc>
          <w:tcPr>
            <w:tcW w:w="16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284.89 </w:t>
            </w: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361.57</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62"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20701</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文化和旅游</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719.31</w:t>
            </w:r>
          </w:p>
        </w:tc>
        <w:tc>
          <w:tcPr>
            <w:tcW w:w="16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284.89 </w:t>
            </w: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361.57</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06"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2070105</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文化展示及纪念机构</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719.31</w:t>
            </w:r>
          </w:p>
        </w:tc>
        <w:tc>
          <w:tcPr>
            <w:tcW w:w="16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284.89  </w:t>
            </w: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361.57</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48"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社会保障和就业支出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73.68</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73.68</w:t>
            </w:r>
          </w:p>
        </w:tc>
        <w:tc>
          <w:tcPr>
            <w:tcW w:w="15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43"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行政事业单位养老支出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73.68</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73.68</w:t>
            </w:r>
          </w:p>
        </w:tc>
        <w:tc>
          <w:tcPr>
            <w:tcW w:w="15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07"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2080505</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机关事业单位基本养老保险缴费支出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73.68</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73.68</w:t>
            </w:r>
          </w:p>
        </w:tc>
        <w:tc>
          <w:tcPr>
            <w:tcW w:w="15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25"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卫生健康支出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21.45</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21.45</w:t>
            </w:r>
          </w:p>
        </w:tc>
        <w:tc>
          <w:tcPr>
            <w:tcW w:w="15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187"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行政事业单位医疗</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21.45</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21.45</w:t>
            </w:r>
          </w:p>
        </w:tc>
        <w:tc>
          <w:tcPr>
            <w:tcW w:w="15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44"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2101102</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事业单位医疗</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21.45</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21.45</w:t>
            </w:r>
          </w:p>
        </w:tc>
        <w:tc>
          <w:tcPr>
            <w:tcW w:w="15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188"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221</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住房保障支出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21.33</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21.33</w:t>
            </w:r>
          </w:p>
        </w:tc>
        <w:tc>
          <w:tcPr>
            <w:tcW w:w="15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0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15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62"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15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44"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其他支出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3037.7</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2"/>
                <w:lang w:val="en-US" w:eastAsia="zh-CN"/>
              </w:rPr>
            </w:pP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3037.7</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22904</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其他政府性基金及对应专项债务收入安排的支出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3037.7</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szCs w:val="22"/>
                <w:lang w:val="en-US" w:eastAsia="zh-CN" w:bidi="ar-SA"/>
              </w:rPr>
            </w:pP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3037.7</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2290402</w:t>
            </w:r>
          </w:p>
        </w:tc>
        <w:tc>
          <w:tcPr>
            <w:tcW w:w="3761"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其他地方自行试点项目收益专项债券收入安排的支出</w:t>
            </w:r>
          </w:p>
        </w:tc>
        <w:tc>
          <w:tcPr>
            <w:tcW w:w="161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3037.7</w:t>
            </w:r>
          </w:p>
        </w:tc>
        <w:tc>
          <w:tcPr>
            <w:tcW w:w="1650"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szCs w:val="22"/>
                <w:lang w:val="en-US" w:eastAsia="zh-CN" w:bidi="ar-SA"/>
              </w:rPr>
            </w:pP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3037.7</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8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45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630" w:hRule="atLeast"/>
        </w:trPr>
        <w:tc>
          <w:tcPr>
            <w:tcW w:w="15420"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tbl>
      <w:tblPr>
        <w:tblStyle w:val="8"/>
        <w:tblpPr w:leftFromText="180" w:rightFromText="180" w:vertAnchor="text" w:horzAnchor="page" w:tblpX="728" w:tblpY="-292"/>
        <w:tblOverlap w:val="never"/>
        <w:tblW w:w="15521" w:type="dxa"/>
        <w:tblInd w:w="0" w:type="dxa"/>
        <w:tblLayout w:type="fixed"/>
        <w:tblCellMar>
          <w:top w:w="0" w:type="dxa"/>
          <w:left w:w="108" w:type="dxa"/>
          <w:bottom w:w="0" w:type="dxa"/>
          <w:right w:w="108" w:type="dxa"/>
        </w:tblCellMar>
      </w:tblPr>
      <w:tblGrid>
        <w:gridCol w:w="3468"/>
        <w:gridCol w:w="694"/>
        <w:gridCol w:w="1219"/>
        <w:gridCol w:w="3144"/>
        <w:gridCol w:w="631"/>
        <w:gridCol w:w="435"/>
        <w:gridCol w:w="1572"/>
        <w:gridCol w:w="1393"/>
        <w:gridCol w:w="1393"/>
        <w:gridCol w:w="1572"/>
      </w:tblGrid>
      <w:tr>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财政拨款收入支出决算总表</w:t>
            </w:r>
          </w:p>
        </w:tc>
      </w:tr>
      <w:tr>
        <w:tblPrEx>
          <w:tblCellMar>
            <w:top w:w="0" w:type="dxa"/>
            <w:left w:w="108" w:type="dxa"/>
            <w:bottom w:w="0" w:type="dxa"/>
            <w:right w:w="108" w:type="dxa"/>
          </w:tblCellMar>
        </w:tblPrEx>
        <w:trPr>
          <w:trHeight w:val="199" w:hRule="atLeast"/>
        </w:trPr>
        <w:tc>
          <w:tcPr>
            <w:tcW w:w="346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1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75"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468"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部门：道县文化旅游广电体育局</w:t>
            </w:r>
          </w:p>
        </w:tc>
        <w:tc>
          <w:tcPr>
            <w:tcW w:w="6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1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75"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38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140"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1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14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1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14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21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835.78</w:t>
            </w: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kern w:val="0"/>
                <w:sz w:val="22"/>
                <w:lang w:val="en-US" w:eastAsia="zh-CN"/>
              </w:rPr>
              <w:t>3037.7</w:t>
            </w: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三、国有资本经营财政拨款</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719.31</w:t>
            </w:r>
          </w:p>
        </w:tc>
        <w:tc>
          <w:tcPr>
            <w:tcW w:w="1393"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719.31</w:t>
            </w: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73.68</w:t>
            </w:r>
          </w:p>
        </w:tc>
        <w:tc>
          <w:tcPr>
            <w:tcW w:w="1393"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73.68</w:t>
            </w: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21.45</w:t>
            </w:r>
          </w:p>
        </w:tc>
        <w:tc>
          <w:tcPr>
            <w:tcW w:w="1393"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21.45</w:t>
            </w: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174"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90"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21.33</w:t>
            </w:r>
          </w:p>
        </w:tc>
        <w:tc>
          <w:tcPr>
            <w:tcW w:w="1393"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21.33</w:t>
            </w: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3037.7</w:t>
            </w:r>
          </w:p>
        </w:tc>
        <w:tc>
          <w:tcPr>
            <w:tcW w:w="139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3037.7</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24</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25</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26</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本年收入合计</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21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3873.48</w:t>
            </w:r>
          </w:p>
        </w:tc>
        <w:tc>
          <w:tcPr>
            <w:tcW w:w="314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4"/>
                <w:szCs w:val="24"/>
              </w:rPr>
            </w:pPr>
            <w:r>
              <w:rPr>
                <w:rFonts w:hint="eastAsia" w:ascii="宋体" w:hAnsi="宋体" w:eastAsia="宋体" w:cs="宋体"/>
                <w:b/>
                <w:bCs/>
                <w:color w:val="000000"/>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3873.48</w:t>
            </w:r>
          </w:p>
        </w:tc>
        <w:tc>
          <w:tcPr>
            <w:tcW w:w="1393"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835.78</w:t>
            </w:r>
          </w:p>
        </w:tc>
        <w:tc>
          <w:tcPr>
            <w:tcW w:w="139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3037.7</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年初财政拨款结转和结余</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一般公共预算财政拨款</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 xml:space="preserve">  政府性基金预算财政拨款</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b/>
                <w:bCs/>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国有资本经营预算财政拨款</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21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144"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63</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4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69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121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3873.48</w:t>
            </w:r>
          </w:p>
        </w:tc>
        <w:tc>
          <w:tcPr>
            <w:tcW w:w="3144"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64</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3873.48</w:t>
            </w:r>
          </w:p>
        </w:tc>
        <w:tc>
          <w:tcPr>
            <w:tcW w:w="1393"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835.78</w:t>
            </w:r>
          </w:p>
        </w:tc>
        <w:tc>
          <w:tcPr>
            <w:tcW w:w="139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3037.7</w:t>
            </w:r>
          </w:p>
        </w:tc>
        <w:tc>
          <w:tcPr>
            <w:tcW w:w="157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pPr>
    </w:p>
    <w:p>
      <w:pPr>
        <w:widowControl/>
        <w:spacing w:after="156" w:afterLines="50"/>
        <w:jc w:val="both"/>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0"/>
    </w:p>
    <w:p>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道县文化旅游广电体育局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986"/>
        <w:gridCol w:w="975"/>
        <w:gridCol w:w="3290"/>
        <w:gridCol w:w="2838"/>
        <w:gridCol w:w="3292"/>
        <w:gridCol w:w="2838"/>
      </w:tblGrid>
      <w:tr>
        <w:tblPrEx>
          <w:tblCellMar>
            <w:top w:w="0" w:type="dxa"/>
            <w:left w:w="108" w:type="dxa"/>
            <w:bottom w:w="0" w:type="dxa"/>
            <w:right w:w="108" w:type="dxa"/>
          </w:tblCellMar>
        </w:tblPrEx>
        <w:trPr>
          <w:trHeight w:val="405" w:hRule="atLeast"/>
          <w:jc w:val="center"/>
        </w:trPr>
        <w:tc>
          <w:tcPr>
            <w:tcW w:w="5251"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68"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961"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8"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3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2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38"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合计</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lang w:val="en-US" w:eastAsia="zh-CN"/>
              </w:rPr>
              <w:t>835.78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b/>
                <w:bCs/>
                <w:color w:val="000000"/>
                <w:kern w:val="0"/>
                <w:sz w:val="22"/>
                <w:lang w:eastAsia="zh-CN"/>
              </w:rPr>
              <w:t>474.21</w:t>
            </w:r>
          </w:p>
        </w:tc>
        <w:tc>
          <w:tcPr>
            <w:tcW w:w="2838"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color w:val="000000"/>
                <w:kern w:val="0"/>
                <w:sz w:val="22"/>
                <w:lang w:val="en-US" w:eastAsia="zh-CN"/>
              </w:rPr>
              <w:t>361.57</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文化旅游体育与传媒支出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719.31</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357.74 </w:t>
            </w:r>
          </w:p>
        </w:tc>
        <w:tc>
          <w:tcPr>
            <w:tcW w:w="2838"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361.57</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20701</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文化和旅游</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719.31</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357.74</w:t>
            </w:r>
          </w:p>
        </w:tc>
        <w:tc>
          <w:tcPr>
            <w:tcW w:w="2838"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361.57</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hint="eastAsia" w:ascii="Times New Roman" w:hAnsi="Times New Roman" w:eastAsia="宋体" w:cs="Times New Roman"/>
                <w:kern w:val="0"/>
                <w:szCs w:val="21"/>
                <w:lang w:val="en-US" w:eastAsia="zh-CN"/>
              </w:rPr>
            </w:pPr>
            <w:r>
              <w:rPr>
                <w:rFonts w:hint="eastAsia" w:ascii="宋体" w:hAnsi="宋体" w:eastAsia="宋体" w:cs="宋体"/>
                <w:color w:val="000000"/>
                <w:kern w:val="0"/>
                <w:sz w:val="22"/>
              </w:rPr>
              <w:t>207010</w:t>
            </w:r>
            <w:r>
              <w:rPr>
                <w:rFonts w:hint="eastAsia" w:ascii="宋体" w:hAnsi="宋体" w:eastAsia="宋体" w:cs="宋体"/>
                <w:color w:val="000000"/>
                <w:kern w:val="0"/>
                <w:sz w:val="22"/>
                <w:lang w:val="en-US" w:eastAsia="zh-CN"/>
              </w:rPr>
              <w:t>1</w:t>
            </w:r>
          </w:p>
        </w:tc>
        <w:tc>
          <w:tcPr>
            <w:tcW w:w="4265"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283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i w:val="0"/>
                <w:iCs w:val="0"/>
                <w:color w:val="000000"/>
                <w:kern w:val="0"/>
                <w:sz w:val="22"/>
                <w:szCs w:val="22"/>
                <w:u w:val="none"/>
                <w:lang w:val="en-US" w:eastAsia="zh-CN" w:bidi="ar"/>
              </w:rPr>
              <w:t xml:space="preserve">357.74 </w:t>
            </w:r>
          </w:p>
        </w:tc>
        <w:tc>
          <w:tcPr>
            <w:tcW w:w="32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357.74 </w:t>
            </w:r>
          </w:p>
        </w:tc>
        <w:tc>
          <w:tcPr>
            <w:tcW w:w="2838"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2070107</w:t>
            </w:r>
          </w:p>
        </w:tc>
        <w:tc>
          <w:tcPr>
            <w:tcW w:w="4265"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艺术表演团体</w:t>
            </w:r>
          </w:p>
        </w:tc>
        <w:tc>
          <w:tcPr>
            <w:tcW w:w="283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color w:val="000000"/>
                <w:kern w:val="0"/>
                <w:sz w:val="22"/>
                <w:lang w:eastAsia="zh-CN"/>
              </w:rPr>
            </w:pPr>
            <w:r>
              <w:rPr>
                <w:rFonts w:hint="eastAsia" w:ascii="宋体" w:hAnsi="宋体" w:eastAsia="宋体" w:cs="宋体"/>
                <w:i w:val="0"/>
                <w:iCs w:val="0"/>
                <w:color w:val="000000"/>
                <w:kern w:val="0"/>
                <w:sz w:val="22"/>
                <w:szCs w:val="22"/>
                <w:u w:val="none"/>
                <w:lang w:val="en-US" w:eastAsia="zh-CN" w:bidi="ar"/>
              </w:rPr>
              <w:t xml:space="preserve">68.77 </w:t>
            </w:r>
          </w:p>
        </w:tc>
        <w:tc>
          <w:tcPr>
            <w:tcW w:w="32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color w:val="000000"/>
                <w:kern w:val="0"/>
                <w:sz w:val="22"/>
                <w:lang w:eastAsia="zh-CN"/>
              </w:rPr>
            </w:pPr>
          </w:p>
        </w:tc>
        <w:tc>
          <w:tcPr>
            <w:tcW w:w="2838"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68.77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2070199</w:t>
            </w:r>
          </w:p>
        </w:tc>
        <w:tc>
          <w:tcPr>
            <w:tcW w:w="4265"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283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color w:val="000000"/>
                <w:kern w:val="0"/>
                <w:sz w:val="22"/>
                <w:lang w:eastAsia="zh-CN"/>
              </w:rPr>
            </w:pPr>
            <w:r>
              <w:rPr>
                <w:rFonts w:hint="eastAsia" w:ascii="宋体" w:hAnsi="宋体" w:eastAsia="宋体" w:cs="宋体"/>
                <w:i w:val="0"/>
                <w:iCs w:val="0"/>
                <w:color w:val="000000"/>
                <w:kern w:val="0"/>
                <w:sz w:val="22"/>
                <w:szCs w:val="22"/>
                <w:u w:val="none"/>
                <w:lang w:val="en-US" w:eastAsia="zh-CN" w:bidi="ar"/>
              </w:rPr>
              <w:t xml:space="preserve">292.80 </w:t>
            </w:r>
          </w:p>
        </w:tc>
        <w:tc>
          <w:tcPr>
            <w:tcW w:w="32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color w:val="000000"/>
                <w:kern w:val="0"/>
                <w:sz w:val="22"/>
                <w:lang w:eastAsia="zh-CN"/>
              </w:rPr>
            </w:pPr>
            <w:r>
              <w:rPr>
                <w:rFonts w:hint="eastAsia" w:ascii="宋体" w:hAnsi="宋体" w:eastAsia="宋体" w:cs="宋体"/>
                <w:i w:val="0"/>
                <w:iCs w:val="0"/>
                <w:color w:val="000000"/>
                <w:kern w:val="0"/>
                <w:sz w:val="22"/>
                <w:szCs w:val="22"/>
                <w:u w:val="none"/>
                <w:lang w:val="en-US" w:eastAsia="zh-CN" w:bidi="ar"/>
              </w:rPr>
              <w:t xml:space="preserve"> </w:t>
            </w:r>
          </w:p>
        </w:tc>
        <w:tc>
          <w:tcPr>
            <w:tcW w:w="2838"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292.80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73.68</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73.68</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机关事业单位基本养老保险缴费支出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73.68</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21.45</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21.45</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21.45</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21.45</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2101102</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事业单位医疗</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21.45</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21.45</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221</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住房保障支出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21.33</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21.33</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21.33</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tbl>
      <w:tblPr>
        <w:tblStyle w:val="8"/>
        <w:tblW w:w="15627" w:type="dxa"/>
        <w:tblInd w:w="0" w:type="dxa"/>
        <w:tblLayout w:type="fixed"/>
        <w:tblCellMar>
          <w:top w:w="0" w:type="dxa"/>
          <w:left w:w="108" w:type="dxa"/>
          <w:bottom w:w="0" w:type="dxa"/>
          <w:right w:w="108" w:type="dxa"/>
        </w:tblCellMar>
      </w:tblPr>
      <w:tblGrid>
        <w:gridCol w:w="1294"/>
        <w:gridCol w:w="3242"/>
        <w:gridCol w:w="959"/>
        <w:gridCol w:w="893"/>
        <w:gridCol w:w="2468"/>
        <w:gridCol w:w="894"/>
        <w:gridCol w:w="954"/>
        <w:gridCol w:w="4048"/>
        <w:gridCol w:w="875"/>
      </w:tblGrid>
      <w:tr>
        <w:tblPrEx>
          <w:tblCellMar>
            <w:top w:w="0" w:type="dxa"/>
            <w:left w:w="108" w:type="dxa"/>
            <w:bottom w:w="0" w:type="dxa"/>
            <w:right w:w="108" w:type="dxa"/>
          </w:tblCellMar>
        </w:tblPrEx>
        <w:trPr>
          <w:trHeight w:val="113" w:hRule="atLeast"/>
        </w:trPr>
        <w:tc>
          <w:tcPr>
            <w:tcW w:w="15627" w:type="dxa"/>
            <w:gridSpan w:val="9"/>
            <w:tcBorders>
              <w:top w:val="nil"/>
              <w:left w:val="nil"/>
              <w:bottom w:val="nil"/>
              <w:right w:val="nil"/>
            </w:tcBorders>
            <w:shd w:val="clear" w:color="auto" w:fill="auto"/>
            <w:noWrap/>
            <w:vAlign w:val="center"/>
          </w:tcPr>
          <w:p>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1" w:name="RANGE!A1:I34"/>
            <w:r>
              <w:rPr>
                <w:rFonts w:hint="eastAsia" w:ascii="Times New Roman" w:hAnsi="Times New Roman" w:eastAsia="黑体" w:cs="Times New Roman"/>
                <w:color w:val="000000"/>
                <w:kern w:val="0"/>
                <w:sz w:val="36"/>
                <w:szCs w:val="36"/>
                <w:lang w:bidi="ar"/>
              </w:rPr>
              <w:t>一般公共预算财政拨款基本支出决算明细表</w:t>
            </w:r>
            <w:bookmarkEnd w:id="1"/>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道县文化旅游广电体育局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648" w:hRule="atLeast"/>
        </w:trPr>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5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4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60"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工资福利支出</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lang w:val="en-US" w:eastAsia="zh-CN"/>
              </w:rPr>
              <w:t>401.36</w:t>
            </w:r>
            <w:r>
              <w:rPr>
                <w:rFonts w:hint="eastAsia" w:ascii="宋体" w:hAnsi="宋体" w:eastAsia="宋体" w:cs="宋体"/>
                <w:color w:val="000000"/>
                <w:kern w:val="0"/>
                <w:sz w:val="22"/>
              </w:rPr>
              <w:t>0</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商品和服务支出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51.39</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债务利息及费用支出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基本工资</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155.09</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30201</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0.92</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30701</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国内债务付息</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30102</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津贴补贴</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57.65</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30202</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印刷费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30702</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国外债务付息</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30103</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奖金</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62.47</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30203</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咨询费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资本性支出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30106</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伙食补助费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30204</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手续费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31001</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房屋建筑物购建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30107</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绩效工资</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9.68</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30205</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水费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rPr>
              <w:t>0.</w:t>
            </w:r>
            <w:r>
              <w:rPr>
                <w:rFonts w:hint="eastAsia" w:ascii="宋体" w:hAnsi="宋体" w:eastAsia="宋体" w:cs="宋体"/>
                <w:color w:val="000000"/>
                <w:kern w:val="0"/>
                <w:sz w:val="22"/>
                <w:lang w:val="en-US" w:eastAsia="zh-CN"/>
              </w:rPr>
              <w:t>2</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31002</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办公设备购置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30108</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机关事业单位基本养老保险缴费</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73.68</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30206</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电费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3.27</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31003</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专用设备购置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30109</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职业年金缴费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30207</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邮电费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1.26</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31005</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基础设施建设</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30110</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职工基本医疗保险缴费</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21.45</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30208</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取暖费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31006</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大型修缮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公务员医疗补助缴费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30209</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物业管理费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31007</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信息网络及软件购置更新</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30112</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其他社会保障缴费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30211</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差旅费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31008</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物资储备</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30113</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住房公积金</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21.33</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30212</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因公出国（境）费用</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土地补偿</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30114</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30213</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维修（护）费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11.23</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31010</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安置补助</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30199</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其他工资福利支出</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30214</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租赁费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31011</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地上附着物和青苗补偿</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对个人和家庭的补助</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21.46</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30215</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会议费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31012</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拆迁补偿</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离休费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30216</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培训费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31013</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30302</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退休费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30217</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公务接待费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其他交通工具购置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30303</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退职（役）费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30218</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专用材料费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31021</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文物和陈列品购置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30304</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抚恤金</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21.46</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30224</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被装购置费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31022</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无形资产购置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30305</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生活补助</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30225</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专用燃料费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31099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其他资本性支出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30306</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救济费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30226</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劳务费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0.75</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其他支出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30307</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医疗费补助</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30227</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委托业务费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39906</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赠与</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30308</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助学金</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30228</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工会经费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rPr>
            </w:pPr>
            <w:r>
              <w:rPr>
                <w:rFonts w:hint="eastAsia" w:ascii="宋体" w:hAnsi="宋体" w:eastAsia="宋体" w:cs="宋体"/>
                <w:color w:val="000000"/>
                <w:kern w:val="0"/>
                <w:sz w:val="22"/>
                <w:lang w:val="en-US" w:eastAsia="zh-CN"/>
              </w:rPr>
              <w:t>8.20</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39907</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国家赔偿费用支出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339"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30309</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奖励金</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30229</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福利费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11.00</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39908</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对民间非营利组织和群众性自治组织补贴</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30310</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个人农业生产补贴</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30231</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公务用车运行维护费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39999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代缴社会保险费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30239</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其他交通费用</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14.57</w:t>
            </w:r>
          </w:p>
        </w:tc>
        <w:tc>
          <w:tcPr>
            <w:tcW w:w="954"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30399</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其他对个人和家庭的补助</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30240</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税金及附加费用</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3242"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30299</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其他商品和服务支出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453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Cs w:val="20"/>
              </w:rPr>
            </w:pPr>
            <w:r>
              <w:rPr>
                <w:rFonts w:hint="eastAsia" w:ascii="宋体" w:hAnsi="宋体" w:eastAsia="宋体" w:cs="宋体"/>
                <w:color w:val="000000"/>
                <w:kern w:val="0"/>
                <w:sz w:val="22"/>
              </w:rPr>
              <w:t>人员经费合计</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422.82</w:t>
            </w:r>
          </w:p>
        </w:tc>
        <w:tc>
          <w:tcPr>
            <w:tcW w:w="9257" w:type="dxa"/>
            <w:gridSpan w:val="5"/>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Cs w:val="18"/>
              </w:rPr>
            </w:pPr>
            <w:r>
              <w:rPr>
                <w:rFonts w:hint="eastAsia" w:ascii="宋体" w:hAnsi="宋体" w:eastAsia="宋体" w:cs="宋体"/>
                <w:color w:val="000000"/>
                <w:kern w:val="0"/>
                <w:sz w:val="22"/>
              </w:rPr>
              <w:t>公用经费合计</w:t>
            </w:r>
          </w:p>
        </w:tc>
        <w:tc>
          <w:tcPr>
            <w:tcW w:w="875"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51.399</w:t>
            </w:r>
          </w:p>
        </w:tc>
      </w:tr>
      <w:tr>
        <w:tblPrEx>
          <w:tblCellMar>
            <w:top w:w="0" w:type="dxa"/>
            <w:left w:w="108" w:type="dxa"/>
            <w:bottom w:w="0" w:type="dxa"/>
            <w:right w:w="108" w:type="dxa"/>
          </w:tblCellMar>
        </w:tblPrEx>
        <w:trPr>
          <w:trHeight w:val="284" w:hRule="exact"/>
        </w:trPr>
        <w:tc>
          <w:tcPr>
            <w:tcW w:w="15627" w:type="dxa"/>
            <w:gridSpan w:val="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bidi="ar"/>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道县文化旅游广电体育局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道县文化旅游广电体育局</w:t>
      </w:r>
      <w:r>
        <w:rPr>
          <w:rFonts w:ascii="Times New Roman" w:hAnsi="Times New Roman" w:eastAsia="仿宋_GB2312" w:cs="Times New Roman"/>
          <w:color w:val="000000"/>
          <w:kern w:val="0"/>
          <w:szCs w:val="21"/>
        </w:rPr>
        <w:t xml:space="preserve">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2170"/>
        <w:gridCol w:w="1150"/>
        <w:gridCol w:w="2000"/>
        <w:gridCol w:w="2000"/>
        <w:gridCol w:w="2000"/>
        <w:gridCol w:w="2000"/>
        <w:gridCol w:w="20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15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17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150" w:type="dxa"/>
            <w:vMerge w:val="continue"/>
            <w:vAlign w:val="center"/>
          </w:tcPr>
          <w:p>
            <w:pPr>
              <w:widowControl/>
              <w:jc w:val="left"/>
              <w:rPr>
                <w:rFonts w:ascii="Times New Roman" w:hAnsi="Times New Roman" w:eastAsia="仿宋_GB2312" w:cs="Times New Roman"/>
                <w:b/>
                <w:kern w:val="0"/>
                <w:szCs w:val="21"/>
              </w:rPr>
            </w:pP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2170" w:type="dxa"/>
            <w:vMerge w:val="continue"/>
            <w:vAlign w:val="center"/>
          </w:tcPr>
          <w:p>
            <w:pPr>
              <w:widowControl/>
              <w:jc w:val="left"/>
              <w:rPr>
                <w:rFonts w:ascii="Times New Roman" w:hAnsi="Times New Roman" w:eastAsia="仿宋_GB2312" w:cs="Times New Roman"/>
                <w:kern w:val="0"/>
                <w:szCs w:val="21"/>
              </w:rPr>
            </w:pPr>
          </w:p>
        </w:tc>
        <w:tc>
          <w:tcPr>
            <w:tcW w:w="115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2170" w:type="dxa"/>
            <w:vMerge w:val="continue"/>
            <w:vAlign w:val="center"/>
          </w:tcPr>
          <w:p>
            <w:pPr>
              <w:widowControl/>
              <w:jc w:val="left"/>
              <w:rPr>
                <w:rFonts w:ascii="Times New Roman" w:hAnsi="Times New Roman" w:eastAsia="仿宋_GB2312" w:cs="Times New Roman"/>
                <w:kern w:val="0"/>
                <w:szCs w:val="21"/>
              </w:rPr>
            </w:pPr>
          </w:p>
        </w:tc>
        <w:tc>
          <w:tcPr>
            <w:tcW w:w="115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15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15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229</w:t>
            </w:r>
          </w:p>
        </w:tc>
        <w:tc>
          <w:tcPr>
            <w:tcW w:w="217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rPr>
              <w:t>其他支出</w:t>
            </w:r>
          </w:p>
        </w:tc>
        <w:tc>
          <w:tcPr>
            <w:tcW w:w="115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22904</w:t>
            </w:r>
          </w:p>
        </w:tc>
        <w:tc>
          <w:tcPr>
            <w:tcW w:w="217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rPr>
              <w:t>其他政府性基金及对应专项债务收入安排的支出</w:t>
            </w:r>
          </w:p>
        </w:tc>
        <w:tc>
          <w:tcPr>
            <w:tcW w:w="115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2290402</w:t>
            </w:r>
          </w:p>
        </w:tc>
        <w:tc>
          <w:tcPr>
            <w:tcW w:w="217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rPr>
              <w:t>其他地方自行试点项目收益专项债券收入安排的支出</w:t>
            </w:r>
          </w:p>
        </w:tc>
        <w:tc>
          <w:tcPr>
            <w:tcW w:w="115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3037.7</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pPr>
        <w:widowControl/>
        <w:jc w:val="left"/>
        <w:rPr>
          <w:rFonts w:ascii="黑体" w:hAnsi="黑体" w:eastAsia="黑体"/>
          <w:szCs w:val="21"/>
        </w:rPr>
      </w:pPr>
      <w:r>
        <w:rPr>
          <w:rFonts w:ascii="黑体" w:hAnsi="黑体" w:eastAsia="黑体"/>
          <w:szCs w:val="21"/>
        </w:rPr>
        <w:br w:type="page"/>
      </w:r>
    </w:p>
    <w:tbl>
      <w:tblPr>
        <w:tblStyle w:val="8"/>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Times New Roman" w:hAnsi="Times New Roman" w:eastAsia="黑体" w:cs="Times New Roman"/>
                <w:color w:val="000000"/>
                <w:kern w:val="0"/>
                <w:sz w:val="36"/>
                <w:szCs w:val="36"/>
                <w:lang w:bidi="ar"/>
              </w:rPr>
              <w:t>国有资本经营预算财政拨款支出决算表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rPr>
          <w:trHeight w:val="285" w:hRule="atLeast"/>
        </w:trPr>
        <w:tc>
          <w:tcPr>
            <w:tcW w:w="4835" w:type="dxa"/>
            <w:gridSpan w:val="4"/>
            <w:tcBorders>
              <w:top w:val="nil"/>
              <w:left w:val="nil"/>
              <w:bottom w:val="nil"/>
              <w:right w:val="nil"/>
            </w:tcBorders>
            <w:shd w:val="clear" w:color="000000" w:fill="FFFFFF"/>
            <w:noWrap/>
            <w:vAlign w:val="center"/>
          </w:tcPr>
          <w:p>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部门：道县文化旅游广电体育局</w:t>
            </w: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pPr>
        <w:pStyle w:val="12"/>
        <w:rPr>
          <w:sz w:val="72"/>
          <w:szCs w:val="72"/>
        </w:rPr>
        <w:sectPr>
          <w:pgSz w:w="16838" w:h="11906" w:orient="landscape"/>
          <w:pgMar w:top="720" w:right="720" w:bottom="720" w:left="720" w:header="851" w:footer="992" w:gutter="0"/>
          <w:cols w:space="425" w:num="1"/>
          <w:docGrid w:type="lines" w:linePitch="312" w:charSpace="0"/>
        </w:sectPr>
      </w:pPr>
    </w:p>
    <w:p>
      <w:pPr>
        <w:pStyle w:val="12"/>
        <w:rPr>
          <w:sz w:val="72"/>
          <w:szCs w:val="72"/>
        </w:rPr>
      </w:pPr>
    </w:p>
    <w:p>
      <w:pPr>
        <w:pStyle w:val="12"/>
        <w:rPr>
          <w:sz w:val="72"/>
          <w:szCs w:val="72"/>
        </w:rPr>
      </w:pPr>
    </w:p>
    <w:p>
      <w:pPr>
        <w:pStyle w:val="12"/>
        <w:rPr>
          <w:sz w:val="72"/>
          <w:szCs w:val="72"/>
        </w:rPr>
      </w:pPr>
    </w:p>
    <w:p>
      <w:pPr>
        <w:pStyle w:val="12"/>
        <w:rPr>
          <w:sz w:val="72"/>
          <w:szCs w:val="72"/>
        </w:rPr>
      </w:pPr>
    </w:p>
    <w:p>
      <w:pPr>
        <w:pStyle w:val="12"/>
        <w:jc w:val="center"/>
        <w:rPr>
          <w:sz w:val="72"/>
          <w:szCs w:val="72"/>
        </w:rPr>
      </w:pPr>
    </w:p>
    <w:p>
      <w:pPr>
        <w:pStyle w:val="12"/>
        <w:jc w:val="center"/>
        <w:rPr>
          <w:sz w:val="72"/>
          <w:szCs w:val="72"/>
        </w:rPr>
      </w:pP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2025年度部门决算情况说明</w:t>
      </w:r>
    </w:p>
    <w:p>
      <w:pPr>
        <w:widowControl/>
        <w:jc w:val="left"/>
        <w:rPr>
          <w:rFonts w:ascii="黑体" w:eastAsia="黑体" w:cs="黑体"/>
          <w:color w:val="000000"/>
          <w:kern w:val="0"/>
          <w:sz w:val="70"/>
          <w:szCs w:val="70"/>
        </w:rPr>
      </w:pPr>
      <w:r>
        <w:rPr>
          <w:sz w:val="70"/>
          <w:szCs w:val="70"/>
        </w:rPr>
        <w:br w:type="page"/>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一、收入支出决算总体情况说明</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2025年度收、支总计3873.48万元。与上年相比，减少2186.5万元，下降36.08%，主要原因是减少项目收支。</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二、收入决算情况说明</w:t>
      </w:r>
    </w:p>
    <w:p>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bCs/>
          <w:color w:val="auto"/>
          <w:kern w:val="0"/>
          <w:sz w:val="32"/>
          <w:szCs w:val="32"/>
          <w:lang w:val="en-US" w:eastAsia="zh-CN" w:bidi="ar-SA"/>
        </w:rPr>
        <w:t>2025年度收入合计3873.48万元，其中：财政拨款收入3873.48万元，占100%；上级补助收入0万元，占0%；事业收入0万元，占0%；经营收入0万元，占0%；附属单位上缴收入0万元，占0%；其他收入0万元，占0%。</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三、支出决算情况说明</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2025年度支出合计3873.48万元，其中：基本支出474.21万元，占12.24%；项目支出3037.70万元，占87.76%；上缴上级支出0万元，占0%；经营支出0万元，占0%；对附属单位补助支出0万元，占0%。</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四、财政拨款收入支出决算总体情况说明</w:t>
      </w:r>
    </w:p>
    <w:p>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bCs/>
          <w:color w:val="auto"/>
          <w:kern w:val="0"/>
          <w:sz w:val="32"/>
          <w:szCs w:val="32"/>
          <w:lang w:val="en-US" w:eastAsia="zh-CN" w:bidi="ar-SA"/>
        </w:rPr>
        <w:t>2025年度财政拨款收、支总计3873.48万元。与上年相比，减少2186.5万元，下降36.08%，主要原因是减少项目收支。</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（一）财政拨款支出决算总体情况</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2025年度财政拨款支出835.78万元，占本年支出合计的21.58%，与上年相比，财政拨款支出减少11252.83万元，下降93.09%，主要是项目支出减少。</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（二）财政拨款支出决算结构情况</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财政拨款支出835.78万元，主要用于以下方面：文化旅游体育与传媒支出文化旅游体育与传媒支出支出719.31万元，占86.06%；社会保障和就业支出73.68万元，占8.82%;卫生健康支出21.45万元，占2.57%；住房保障支出21.33万元，占比2.55%。</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（三）财政拨款支出决算具体情况</w:t>
      </w:r>
    </w:p>
    <w:p>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2025年度财政拨款支出年初预算数为438.85万元，支出决算数为835.78万元，完成年初预算的105.16%，其中：</w:t>
      </w:r>
    </w:p>
    <w:p>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1、文化旅游体育与传媒支出（类）文化和旅游（款）文化展示及纪念机构（项）。</w:t>
      </w:r>
    </w:p>
    <w:p>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年初预算为566.53万元，支出决算为719.31万元，完成年初预算的126.97%。支出决算大于年初预算主要是由于工资福利支出增加。</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2、社会保障和就业支出（类）行政事业单位养老支出（款）机关事业单位基本养老保险缴费支出（项）</w:t>
      </w:r>
    </w:p>
    <w:p>
      <w:pPr>
        <w:pStyle w:val="12"/>
        <w:ind w:firstLine="1280" w:firstLineChars="4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年初预算为47.11万元，支出决算为73.68万元。完成年初预算的156.40%。</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3、卫生健康支出（类）行政事业单位医疗（款）事业单位医疗（项）</w:t>
      </w:r>
    </w:p>
    <w:p>
      <w:pPr>
        <w:pStyle w:val="12"/>
        <w:ind w:firstLine="1280" w:firstLineChars="4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年初预算为25.61万元，支出决算为21.45万元，完成年初预算的83.76%。</w:t>
      </w:r>
    </w:p>
    <w:p>
      <w:pPr>
        <w:pStyle w:val="12"/>
        <w:ind w:firstLine="320" w:firstLineChars="1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4、住房保障支出（类）住房改革支出（款）住房公积金（项）</w:t>
      </w:r>
    </w:p>
    <w:p>
      <w:pPr>
        <w:pStyle w:val="12"/>
        <w:ind w:firstLine="1280" w:firstLineChars="400"/>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年初预算为34.47万元，支出决算为21.33万元，完成年初预算的61.88%。</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六、一般公共预算财政拨款基本支出决算情况说明</w:t>
      </w:r>
    </w:p>
    <w:p>
      <w:pPr>
        <w:pStyle w:val="12"/>
        <w:ind w:firstLine="640" w:firstLineChars="200"/>
        <w:rPr>
          <w:rFonts w:asciiTheme="minorEastAsia" w:hAnsiTheme="minorEastAsia" w:eastAsiaTheme="minorEastAsia"/>
          <w:i/>
          <w:color w:val="FF0000"/>
          <w:sz w:val="32"/>
          <w:szCs w:val="32"/>
        </w:rPr>
      </w:pPr>
      <w:r>
        <w:rPr>
          <w:rFonts w:hint="eastAsia" w:ascii="Times New Roman" w:hAnsi="Times New Roman" w:eastAsia="仿宋_GB2312" w:cs="Times New Roman"/>
          <w:bCs/>
          <w:color w:val="auto"/>
          <w:kern w:val="0"/>
          <w:sz w:val="32"/>
          <w:szCs w:val="32"/>
          <w:lang w:val="en-US" w:eastAsia="zh-CN" w:bidi="ar-SA"/>
        </w:rPr>
        <w:t>2025年度财政拨款基本支出474.21万元，其中：人员经费401.36万元，占基本支出的84.64%,主要包括基本工资、津贴补贴、奖金、伙食补助费等；对个人和家庭的补助21.46万元，占基本支出的4.53%，主要用于抚恤金；公用经费51.39万元，占基本支出的10.83%，主要包括办公费、印刷费、咨询费、手续费等</w:t>
      </w:r>
      <w:r>
        <w:rPr>
          <w:rFonts w:hint="eastAsia" w:asciiTheme="minorEastAsia" w:hAnsiTheme="minorEastAsia" w:eastAsiaTheme="minorEastAsia"/>
          <w:sz w:val="32"/>
          <w:szCs w:val="32"/>
        </w:rPr>
        <w:t>。</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七、一般公共预算财政拨款“三公”经费支出决算情况说明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（一）“三公”经费财政拨款支出决算总体情况说明</w:t>
      </w:r>
    </w:p>
    <w:p>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2025年度“三公”经费财政拨款支出预算为0万元，支出决算为0万元，完成预算的0%，其中：</w:t>
      </w:r>
    </w:p>
    <w:p>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因公出国（境）费支出预算为0万元，支出决算为0万元。</w:t>
      </w:r>
    </w:p>
    <w:p>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公务接待费支出预算为0万元，支出决算为0万元，完成预算的0%。</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公务用车购置费支出预算为0万元，支出决算为0万元。</w:t>
      </w:r>
    </w:p>
    <w:p>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bCs/>
          <w:color w:val="auto"/>
          <w:kern w:val="0"/>
          <w:sz w:val="32"/>
          <w:szCs w:val="32"/>
          <w:lang w:val="en-US" w:eastAsia="zh-CN" w:bidi="ar-SA"/>
        </w:rPr>
        <w:t>公务用车运行维护费支出预算为0万元，支出决算为0元。</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（二）“三公”经费财政拨款支出决算具体情况说明</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2025年度“三公”经费财政拨款支出决算中，公务接待费支出决算0万元，占0%,因公出国（境）费支出决算0万元，占0%,公务用车购置费及运行维护费支出决算0万元，占0%。其中：</w:t>
      </w:r>
    </w:p>
    <w:p>
      <w:pPr>
        <w:pStyle w:val="12"/>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1、因公出国（境）费支出决算为0万元，全年安排因公出国（境）团组0个，累计0人次。</w:t>
      </w:r>
    </w:p>
    <w:p>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2、公务接待费支出决算为0万元，全年共接待来访团组0个、来宾0人次，主要是红色旅游经验交流等发生的接待支出。</w:t>
      </w:r>
    </w:p>
    <w:p>
      <w:pPr>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3、公务用车购置费及运行维护费支出决算为0万元，其中：公务用车购置费0万元，更新公务用车0辆。公务用车运行维护费0万元，截止2025年12月31日，我单位开支财政拨款的公务用车保有量为0辆。</w:t>
      </w:r>
    </w:p>
    <w:p>
      <w:pPr>
        <w:pStyle w:val="12"/>
        <w:ind w:firstLine="640" w:firstLineChars="200"/>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八、政府性基金预算收入支出决算情况</w:t>
      </w:r>
    </w:p>
    <w:p>
      <w:pPr>
        <w:pStyle w:val="12"/>
        <w:ind w:firstLine="640" w:firstLineChars="200"/>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2025年度政府性基金预算财政拨款收入3037.7万元；年初结转和结余0万元；支出3037.7万元，其中基本支出0万元，项目支出3037.7万元；年末结转和结余0万元。具体情况如下：</w:t>
      </w:r>
    </w:p>
    <w:p>
      <w:pPr>
        <w:pStyle w:val="12"/>
        <w:ind w:firstLine="640" w:firstLineChars="200"/>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其他支出（类）其他政府性基金及对应专项债务收入安排的支出（款）其他地方自行试点项目收益专项债券收入安排的支出（项）</w:t>
      </w:r>
    </w:p>
    <w:p>
      <w:pPr>
        <w:pStyle w:val="12"/>
        <w:ind w:firstLine="320" w:firstLineChars="1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年初预算为0万元，支出决算为3037.7万元，年初未安排预算。</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九、机关运行经费支出说明</w:t>
      </w:r>
    </w:p>
    <w:p>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bCs/>
          <w:color w:val="auto"/>
          <w:kern w:val="0"/>
          <w:sz w:val="32"/>
          <w:szCs w:val="32"/>
          <w:lang w:val="en-US" w:eastAsia="zh-CN" w:bidi="ar-SA"/>
        </w:rPr>
        <w:t>本部门2025年度机关运行经费支出51.39万元，比去年减少31.21万元。</w:t>
      </w:r>
      <w:r>
        <w:rPr>
          <w:rFonts w:hint="eastAsia" w:asciiTheme="minorEastAsia" w:hAnsiTheme="minorEastAsia" w:eastAsiaTheme="minorEastAsia"/>
          <w:sz w:val="32"/>
          <w:szCs w:val="32"/>
        </w:rPr>
        <w:t xml:space="preserve">            </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十、一般性支出情况说明</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2025年本部门开支会议费0万元，人数0人。开支培训费0万元人数0人。</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十一、政府采购支出说明</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本部门2025年度政府采购支出总额3037.70万元，其中：政府采购货物支出0万元、政府采购工程支出0万元、政府采购服务支出3037.70万元。授予中小企业合同金额3037.70万元，占政府采购支出总额的100%，其中：授予小微企业合同金额0万元，占授予中小企业合同金额的0%；货物采购授予中小企业合同金额占货物支出金额的0%，工程采购授予中小企业合同金额占工程支出金额的0%，服务采购授予中小企业合同金额3037.70万元，占服务支出金额的100%。</w:t>
      </w:r>
    </w:p>
    <w:p>
      <w:pPr>
        <w:pStyle w:val="12"/>
        <w:ind w:firstLine="640" w:firstLineChars="200"/>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十二、国有资产占用情况说明</w:t>
      </w:r>
    </w:p>
    <w:p>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截至2025年12月31日，部门（单位）共有车辆1辆，其中，主要领导干部用车0辆，机要通信用车0辆、应急保障用车0辆、执法执勤用车0辆、特种专业技术用车0辆、其他用车0辆；单位价值50万元以上通用设备0台（套）；单位价值100万元以上专用设备0台（套）。</w:t>
      </w:r>
    </w:p>
    <w:p>
      <w:pPr>
        <w:pStyle w:val="12"/>
        <w:ind w:firstLine="640" w:firstLineChars="200"/>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十三、2025年度预算绩效情况说明</w:t>
      </w:r>
    </w:p>
    <w:p>
      <w:pPr>
        <w:widowControl/>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本部门预算绩效管理开展情况、绩效目标和绩效评价报告等见附件。</w:t>
      </w:r>
    </w:p>
    <w:p>
      <w:pPr>
        <w:pStyle w:val="12"/>
        <w:rPr>
          <w:sz w:val="72"/>
          <w:szCs w:val="72"/>
        </w:rPr>
      </w:pPr>
    </w:p>
    <w:p>
      <w:pPr>
        <w:pStyle w:val="12"/>
        <w:spacing w:line="360" w:lineRule="auto"/>
        <w:jc w:val="center"/>
        <w:rPr>
          <w:sz w:val="72"/>
          <w:szCs w:val="72"/>
        </w:rPr>
      </w:pPr>
      <w:r>
        <w:rPr>
          <w:rFonts w:hint="eastAsia"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名词解释</w:t>
      </w:r>
    </w:p>
    <w:p>
      <w:pPr>
        <w:widowControl/>
        <w:spacing w:line="600" w:lineRule="exact"/>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1、</w:t>
      </w:r>
      <w:r>
        <w:rPr>
          <w:rFonts w:ascii="Times New Roman" w:hAnsi="Times New Roman" w:eastAsia="仿宋_GB2312" w:cs="Times New Roman"/>
          <w:bCs/>
          <w:kern w:val="0"/>
          <w:sz w:val="32"/>
          <w:szCs w:val="32"/>
        </w:rPr>
        <w:t>财政拨款收入：指单位本年度从同级财政部门取得的各类财政拨款。</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2．上级补助收入：指事业单位从主管部门和上级单位取得的非财政补助收入。</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4．“三公”经费：指单位用一般公共预算财政拨款安排的因公出</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5．对附属单位补助支出：指事业单位用财政拨款收入之外的收入对附属单位补助发生的支出。</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6．经营支出：指事业单位在专业业务活动及其辅助活动之外开展非独立核算经营活动发生的支出。</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7</w:t>
      </w:r>
      <w:r>
        <w:rPr>
          <w:rFonts w:hint="eastAsia" w:ascii="Times New Roman" w:hAnsi="Times New Roman" w:eastAsia="仿宋_GB2312" w:cs="Times New Roman"/>
          <w:bCs/>
          <w:kern w:val="0"/>
          <w:sz w:val="32"/>
          <w:szCs w:val="32"/>
        </w:rPr>
        <w:t>.</w:t>
      </w:r>
      <w:r>
        <w:rPr>
          <w:rFonts w:ascii="Times New Roman" w:hAnsi="Times New Roman" w:eastAsia="仿宋_GB2312" w:cs="Times New Roman"/>
          <w:bCs/>
          <w:kern w:val="0"/>
          <w:sz w:val="32"/>
          <w:szCs w:val="32"/>
        </w:rPr>
        <w:t>事业收入：指事业单位开展专业业务活动及其辅助活动取得的</w:t>
      </w:r>
      <w:bookmarkStart w:id="2" w:name="28"/>
      <w:bookmarkEnd w:id="2"/>
      <w:r>
        <w:rPr>
          <w:rFonts w:ascii="Times New Roman" w:hAnsi="Times New Roman" w:eastAsia="仿宋_GB2312" w:cs="Times New Roman"/>
          <w:bCs/>
          <w:kern w:val="0"/>
          <w:sz w:val="32"/>
          <w:szCs w:val="32"/>
        </w:rPr>
        <w:t>收入，事业单位收到的财政专户实际核拨的教育收费等资金在此反映。</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8．经营收入：指事业单位在专业业务活动及其辅助活动之外开展非独立核算经营活动取得的收入。</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9．附属单位上缴收入：指事业单位附属独立核算单位按照有关规定上缴的收入。</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10．其他收入：指单位取得的除上述“财政拨款收入”、“事业收</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入”、“经营收入”等以外的各项收入。</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11．使用非财政拨款结余：指事业单位使用非财政拨款结余（原事业基金）弥补当年收支差额的数额。</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12．年初结转和结余：指单位上年结转本年使用的基本支出结转、项目支出结转和结余和经营结余。</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13．结余分配：指事业单位按规定对非财政拨款结余资金提取的专用基金、缴纳的所得税和转入非财政拨款结余等。</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14．年末结转和结余资金：指本年度或以前年度预算安排、因客观条件发生变化无法按原计划实施，需要延迟到以后年度按有关规定继续使用的资金。</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15．基本支出：指为保障机构正常运转、完成日常工作任务而发生的支出，包括人员经费和公用经费。</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16．项目支出：指在为完成特定的工作任务和事业发展目标所发生的支出。</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17．上缴上级支出：指事业单位按照财政部门和主管部门的规定上缴上级单位的支出。</w:t>
      </w:r>
    </w:p>
    <w:p>
      <w:pPr>
        <w:widowControl/>
        <w:jc w:val="left"/>
        <w:rPr>
          <w:rFonts w:ascii="黑体" w:eastAsia="黑体" w:cs="黑体"/>
          <w:color w:val="000000"/>
          <w:kern w:val="0"/>
          <w:sz w:val="70"/>
          <w:szCs w:val="70"/>
        </w:rPr>
      </w:pPr>
      <w:bookmarkStart w:id="3" w:name="29"/>
      <w:bookmarkEnd w:id="3"/>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pStyle w:val="12"/>
        <w:jc w:val="both"/>
        <w:rPr>
          <w:sz w:val="72"/>
          <w:szCs w:val="72"/>
        </w:rPr>
      </w:pPr>
    </w:p>
    <w:p>
      <w:pPr>
        <w:ind w:firstLine="640" w:firstLineChars="200"/>
        <w:jc w:val="left"/>
        <w:rPr>
          <w:rFonts w:cs="黑体" w:asciiTheme="minorEastAsia" w:hAnsiTheme="minorEastAsia"/>
          <w:color w:val="000000"/>
          <w:kern w:val="0"/>
          <w:sz w:val="32"/>
          <w:szCs w:val="32"/>
        </w:rPr>
      </w:pP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第五部分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附件</w:t>
      </w:r>
    </w:p>
    <w:p>
      <w:pPr>
        <w:widowControl/>
        <w:spacing w:line="600" w:lineRule="exact"/>
        <w:jc w:val="center"/>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2025年度部门整体支出绩效评价报告</w:t>
      </w:r>
    </w:p>
    <w:p>
      <w:pPr>
        <w:ind w:firstLine="640" w:firstLineChars="200"/>
        <w:jc w:val="left"/>
        <w:rPr>
          <w:rFonts w:cs="黑体" w:asciiTheme="minorEastAsia" w:hAnsiTheme="minorEastAsia"/>
          <w:color w:val="000000"/>
          <w:kern w:val="0"/>
          <w:sz w:val="32"/>
          <w:szCs w:val="32"/>
        </w:rPr>
      </w:pPr>
    </w:p>
    <w:p>
      <w:pPr>
        <w:ind w:firstLine="640" w:firstLineChars="200"/>
        <w:jc w:val="left"/>
        <w:rPr>
          <w:rFonts w:cs="黑体" w:asciiTheme="minorEastAsia" w:hAnsiTheme="minorEastAsia"/>
          <w:color w:val="000000"/>
          <w:kern w:val="0"/>
          <w:sz w:val="32"/>
          <w:szCs w:val="32"/>
        </w:rPr>
      </w:pPr>
    </w:p>
    <w:sectPr>
      <w:pgSz w:w="11906" w:h="16838"/>
      <w:pgMar w:top="1417" w:right="1587" w:bottom="141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0000000000000000000"/>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15A18B"/>
    <w:multiLevelType w:val="singleLevel"/>
    <w:tmpl w:val="DA15A18B"/>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004506F9"/>
    <w:rsid w:val="0002229B"/>
    <w:rsid w:val="000273BD"/>
    <w:rsid w:val="000415B7"/>
    <w:rsid w:val="00041E3F"/>
    <w:rsid w:val="00055DAA"/>
    <w:rsid w:val="00061F7B"/>
    <w:rsid w:val="000658A3"/>
    <w:rsid w:val="00074155"/>
    <w:rsid w:val="000873EF"/>
    <w:rsid w:val="000932A9"/>
    <w:rsid w:val="000A3F69"/>
    <w:rsid w:val="00103957"/>
    <w:rsid w:val="00124A1F"/>
    <w:rsid w:val="00152C6D"/>
    <w:rsid w:val="00162D39"/>
    <w:rsid w:val="001678BD"/>
    <w:rsid w:val="001811F9"/>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2E37AC"/>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A2586"/>
    <w:rsid w:val="004A2D2E"/>
    <w:rsid w:val="004B0CEE"/>
    <w:rsid w:val="00500E5F"/>
    <w:rsid w:val="005122EF"/>
    <w:rsid w:val="005137A5"/>
    <w:rsid w:val="0051441A"/>
    <w:rsid w:val="00517C33"/>
    <w:rsid w:val="00517D5F"/>
    <w:rsid w:val="00521AF2"/>
    <w:rsid w:val="00523644"/>
    <w:rsid w:val="005349B8"/>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8B270C"/>
    <w:rsid w:val="008F188F"/>
    <w:rsid w:val="00902F64"/>
    <w:rsid w:val="009237C4"/>
    <w:rsid w:val="00944C48"/>
    <w:rsid w:val="00950252"/>
    <w:rsid w:val="00967F5D"/>
    <w:rsid w:val="009A0F95"/>
    <w:rsid w:val="009B3ADF"/>
    <w:rsid w:val="009C3B52"/>
    <w:rsid w:val="009E6817"/>
    <w:rsid w:val="009E6E9A"/>
    <w:rsid w:val="009F79A9"/>
    <w:rsid w:val="00A01D2B"/>
    <w:rsid w:val="00A42218"/>
    <w:rsid w:val="00A70249"/>
    <w:rsid w:val="00A70B02"/>
    <w:rsid w:val="00A71D9F"/>
    <w:rsid w:val="00A92E9F"/>
    <w:rsid w:val="00B24D8A"/>
    <w:rsid w:val="00B33BEA"/>
    <w:rsid w:val="00B57C9F"/>
    <w:rsid w:val="00B63572"/>
    <w:rsid w:val="00B845B3"/>
    <w:rsid w:val="00B85D8B"/>
    <w:rsid w:val="00BB4A40"/>
    <w:rsid w:val="00BD6C3E"/>
    <w:rsid w:val="00BE3674"/>
    <w:rsid w:val="00C10681"/>
    <w:rsid w:val="00C3049A"/>
    <w:rsid w:val="00C31B1E"/>
    <w:rsid w:val="00C77645"/>
    <w:rsid w:val="00CD1EF1"/>
    <w:rsid w:val="00CE04C3"/>
    <w:rsid w:val="00CE76A0"/>
    <w:rsid w:val="00D148C6"/>
    <w:rsid w:val="00D17A8A"/>
    <w:rsid w:val="00D23ACE"/>
    <w:rsid w:val="00D415BA"/>
    <w:rsid w:val="00D63780"/>
    <w:rsid w:val="00D644EE"/>
    <w:rsid w:val="00D75489"/>
    <w:rsid w:val="00D84516"/>
    <w:rsid w:val="00D84AEE"/>
    <w:rsid w:val="00DC5183"/>
    <w:rsid w:val="00DD06FF"/>
    <w:rsid w:val="00DD5FE9"/>
    <w:rsid w:val="00E00C7A"/>
    <w:rsid w:val="00E209CF"/>
    <w:rsid w:val="00E3787D"/>
    <w:rsid w:val="00E37D6C"/>
    <w:rsid w:val="00E55B68"/>
    <w:rsid w:val="00E67BE6"/>
    <w:rsid w:val="00E8683C"/>
    <w:rsid w:val="00EA2B72"/>
    <w:rsid w:val="00F74360"/>
    <w:rsid w:val="00F82488"/>
    <w:rsid w:val="00FA0A99"/>
    <w:rsid w:val="00FB462F"/>
    <w:rsid w:val="00FE16FA"/>
    <w:rsid w:val="00FE328A"/>
    <w:rsid w:val="00FE6269"/>
    <w:rsid w:val="00FF5CD6"/>
    <w:rsid w:val="018D6B96"/>
    <w:rsid w:val="02414205"/>
    <w:rsid w:val="030A05D4"/>
    <w:rsid w:val="03EA3813"/>
    <w:rsid w:val="04A01725"/>
    <w:rsid w:val="05A03392"/>
    <w:rsid w:val="066F4EAD"/>
    <w:rsid w:val="0E6B6F5E"/>
    <w:rsid w:val="10F320DF"/>
    <w:rsid w:val="10F73F4D"/>
    <w:rsid w:val="11F1104F"/>
    <w:rsid w:val="13324B8D"/>
    <w:rsid w:val="1426671F"/>
    <w:rsid w:val="15720785"/>
    <w:rsid w:val="16473CF8"/>
    <w:rsid w:val="16834396"/>
    <w:rsid w:val="17D03743"/>
    <w:rsid w:val="17F376D9"/>
    <w:rsid w:val="194B570C"/>
    <w:rsid w:val="1A520251"/>
    <w:rsid w:val="1BC248BA"/>
    <w:rsid w:val="1C2C41B3"/>
    <w:rsid w:val="1C533032"/>
    <w:rsid w:val="1D503ACC"/>
    <w:rsid w:val="1D99667B"/>
    <w:rsid w:val="1DB554FC"/>
    <w:rsid w:val="1E8F4FAF"/>
    <w:rsid w:val="1EAF7992"/>
    <w:rsid w:val="1ED325BF"/>
    <w:rsid w:val="20CC5B0E"/>
    <w:rsid w:val="20FC63AD"/>
    <w:rsid w:val="221C27B9"/>
    <w:rsid w:val="223B7A07"/>
    <w:rsid w:val="24ED40A4"/>
    <w:rsid w:val="27C94452"/>
    <w:rsid w:val="27EC2D00"/>
    <w:rsid w:val="2A005E38"/>
    <w:rsid w:val="2C853F11"/>
    <w:rsid w:val="2CBC2F6B"/>
    <w:rsid w:val="2D392923"/>
    <w:rsid w:val="2D7F4033"/>
    <w:rsid w:val="2D8604D9"/>
    <w:rsid w:val="2E8822E7"/>
    <w:rsid w:val="2F7D6077"/>
    <w:rsid w:val="2FB14C9D"/>
    <w:rsid w:val="30CC0162"/>
    <w:rsid w:val="31A90E35"/>
    <w:rsid w:val="32B9319F"/>
    <w:rsid w:val="33BA63EC"/>
    <w:rsid w:val="347D25A2"/>
    <w:rsid w:val="353636A2"/>
    <w:rsid w:val="36501413"/>
    <w:rsid w:val="372907BF"/>
    <w:rsid w:val="3745195E"/>
    <w:rsid w:val="39595BF0"/>
    <w:rsid w:val="399226FF"/>
    <w:rsid w:val="3A2636DC"/>
    <w:rsid w:val="3BFA59F5"/>
    <w:rsid w:val="3C93043D"/>
    <w:rsid w:val="3D152858"/>
    <w:rsid w:val="3E455836"/>
    <w:rsid w:val="3F301F5C"/>
    <w:rsid w:val="3FCC68D7"/>
    <w:rsid w:val="41D35F26"/>
    <w:rsid w:val="426F0B0E"/>
    <w:rsid w:val="42997C24"/>
    <w:rsid w:val="43292784"/>
    <w:rsid w:val="43695A35"/>
    <w:rsid w:val="43792ACE"/>
    <w:rsid w:val="43F576DE"/>
    <w:rsid w:val="452F3837"/>
    <w:rsid w:val="459F0951"/>
    <w:rsid w:val="47585FA5"/>
    <w:rsid w:val="475F5608"/>
    <w:rsid w:val="49DC613F"/>
    <w:rsid w:val="4A5F6B69"/>
    <w:rsid w:val="4A852B11"/>
    <w:rsid w:val="4A8E2CDD"/>
    <w:rsid w:val="4B257D58"/>
    <w:rsid w:val="4C2C686D"/>
    <w:rsid w:val="4CCA4A7E"/>
    <w:rsid w:val="50816846"/>
    <w:rsid w:val="52354C09"/>
    <w:rsid w:val="53300DE6"/>
    <w:rsid w:val="53C77F81"/>
    <w:rsid w:val="54324CFF"/>
    <w:rsid w:val="54870940"/>
    <w:rsid w:val="54B24092"/>
    <w:rsid w:val="552F6557"/>
    <w:rsid w:val="55376AE3"/>
    <w:rsid w:val="5543443C"/>
    <w:rsid w:val="55742B80"/>
    <w:rsid w:val="55A20AAF"/>
    <w:rsid w:val="55B55BE8"/>
    <w:rsid w:val="55F14746"/>
    <w:rsid w:val="571B7CCD"/>
    <w:rsid w:val="57D25BCC"/>
    <w:rsid w:val="57F81DBC"/>
    <w:rsid w:val="58910790"/>
    <w:rsid w:val="59E42D8A"/>
    <w:rsid w:val="5A3F45DE"/>
    <w:rsid w:val="5B7F38DD"/>
    <w:rsid w:val="5D9231A4"/>
    <w:rsid w:val="5DFD637E"/>
    <w:rsid w:val="5E0A2849"/>
    <w:rsid w:val="5E4D5A51"/>
    <w:rsid w:val="61875944"/>
    <w:rsid w:val="623D1284"/>
    <w:rsid w:val="64096A90"/>
    <w:rsid w:val="64E5191A"/>
    <w:rsid w:val="65A802BC"/>
    <w:rsid w:val="6759039D"/>
    <w:rsid w:val="675B5AF4"/>
    <w:rsid w:val="67A60D21"/>
    <w:rsid w:val="68BA4E9A"/>
    <w:rsid w:val="68C1536C"/>
    <w:rsid w:val="6920445D"/>
    <w:rsid w:val="694D4F50"/>
    <w:rsid w:val="6AA40D85"/>
    <w:rsid w:val="6ADE65E0"/>
    <w:rsid w:val="6B21748B"/>
    <w:rsid w:val="6E6C410D"/>
    <w:rsid w:val="6F3D09AC"/>
    <w:rsid w:val="6F991755"/>
    <w:rsid w:val="70293112"/>
    <w:rsid w:val="702C73BF"/>
    <w:rsid w:val="70BC1343"/>
    <w:rsid w:val="71246B35"/>
    <w:rsid w:val="7280774F"/>
    <w:rsid w:val="72F40AF0"/>
    <w:rsid w:val="7487654A"/>
    <w:rsid w:val="753573B5"/>
    <w:rsid w:val="765326EA"/>
    <w:rsid w:val="794E1CDB"/>
    <w:rsid w:val="7A165705"/>
    <w:rsid w:val="7A225FF7"/>
    <w:rsid w:val="7C6F6241"/>
    <w:rsid w:val="7D222E16"/>
    <w:rsid w:val="7D6961D0"/>
    <w:rsid w:val="7DC91981"/>
    <w:rsid w:val="7DCA301C"/>
    <w:rsid w:val="7DF71773"/>
    <w:rsid w:val="7E3620A1"/>
    <w:rsid w:val="7E7D1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paragraph" w:customStyle="1" w:styleId="15">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31</Pages>
  <Words>1679</Words>
  <Characters>9575</Characters>
  <Lines>79</Lines>
  <Paragraphs>22</Paragraphs>
  <TotalTime>9</TotalTime>
  <ScaleCrop>false</ScaleCrop>
  <LinksUpToDate>false</LinksUpToDate>
  <CharactersWithSpaces>11232</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2026-03-23T01:50:00Z</dcterms:created>
  <dc:creator>李航 null</dc:creator>
  <cp:lastModifiedBy>蒋琼</cp:lastModifiedBy>
  <cp:lastPrinted>2023-09-08T11:01:00Z</cp:lastPrinted>
  <dcterms:modified xsi:type="dcterms:W3CDTF">2026-09-15T02:41:09Z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2F7E39C539D64467806BC704D1F75589_13</vt:lpwstr>
  </property>
  <property fmtid="{D5CDD505-2E9C-101B-9397-08002B2CF9AE}" pid="4" name="KSOTemplateDocerSaveRecord">
    <vt:lpwstr>eyJoZGlkIjoiYzYxN2RkYTBhNDA4MWUzNzRmMDdiN2FlZjRjZGVhMTQifQ==</vt:lpwstr>
  </property>
</Properties>
</file>