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ind w:firstLine="420" w:firstLineChars="0"/>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清塘镇人民政府</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清塘镇人民政府</w:t>
      </w:r>
      <w:r>
        <w:rPr>
          <w:rFonts w:hint="eastAsia" w:ascii="Times New Roman" w:hAnsi="Times New Roman" w:cs="Times New Roman"/>
          <w:bCs/>
          <w:sz w:val="32"/>
          <w:szCs w:val="32"/>
          <w:lang w:eastAsia="zh-CN"/>
        </w:rPr>
        <w:t>单位</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清塘镇人民政府</w:t>
      </w:r>
      <w:r>
        <w:rPr>
          <w:rFonts w:hint="eastAsia" w:ascii="Times New Roman" w:hAnsi="Times New Roman" w:eastAsia="方正小标宋_GBK" w:cs="Times New Roman"/>
          <w:sz w:val="52"/>
          <w:szCs w:val="52"/>
          <w:lang w:eastAsia="zh-CN"/>
        </w:rPr>
        <w:t>单位</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道县清塘镇人民政府的主要职责是：</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执行本级人民代表大会的决议和上级国家行政机关的决定和命令，发布决定和命令。</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执行本行政区域内的经济和社会发展计划，加强公共设施的建设和管理，发展各项服务事业。</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依法管理本级财政、执行本级预算。</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为农民提供有效的科技、教育、文化、信息、卫生、体育、医疗、人才开发、劳动就业、安全生产等方面的服务。</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保护国有资产和集体所有的财产，保护公民私人所有的合法财产、保障公民的人身权利、民主权利和其他权利，保护各种组织的合法权益。</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开展社会主义民主与法制教育，加强社会治安综合治理，调解民事纠纷，维护社会秩序。</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推行乡村振兴，推进新农村建设与美丽乡村建设。</w:t>
      </w:r>
    </w:p>
    <w:p>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负责民政工作，发展社会福利事业，做好社会保障工作，办理兵役事项。</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九</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承办上级人民政府交办的其他事项。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道县清塘镇人民政府单位内设机构包括：我单位为正科级全额拨款行政单位，内设党政综合办公室、基层党建办公室、经济发展办公室、社会事务办公室、自然资源和生态环境办公室、社会治安和应急管理办公室，社会事务综合服务中心、农业综合服务中心、政务服务中心，退役军人服务站，综合行政执法大队等11个办公室（事务中心、站、大队）。现编人数行政3</w:t>
      </w:r>
      <w:r>
        <w:rPr>
          <w:rFonts w:hint="eastAsia" w:ascii="Times New Roman" w:hAnsi="Times New Roman" w:eastAsia="仿宋_GB2312" w:cs="Times New Roman"/>
          <w:bCs/>
          <w:kern w:val="0"/>
          <w:sz w:val="32"/>
          <w:szCs w:val="32"/>
          <w:lang w:val="en-US" w:eastAsia="zh-CN"/>
        </w:rPr>
        <w:t>2</w:t>
      </w:r>
      <w:r>
        <w:rPr>
          <w:rFonts w:hint="eastAsia" w:ascii="Times New Roman" w:hAnsi="Times New Roman" w:eastAsia="仿宋_GB2312" w:cs="Times New Roman"/>
          <w:bCs/>
          <w:kern w:val="0"/>
          <w:sz w:val="32"/>
          <w:szCs w:val="32"/>
        </w:rPr>
        <w:t>人，事业5</w:t>
      </w:r>
      <w:r>
        <w:rPr>
          <w:rFonts w:hint="eastAsia" w:ascii="Times New Roman" w:hAnsi="Times New Roman" w:eastAsia="仿宋_GB2312" w:cs="Times New Roman"/>
          <w:bCs/>
          <w:kern w:val="0"/>
          <w:sz w:val="32"/>
          <w:szCs w:val="32"/>
          <w:lang w:val="en-US" w:eastAsia="zh-CN"/>
        </w:rPr>
        <w:t>4</w:t>
      </w:r>
      <w:r>
        <w:rPr>
          <w:rFonts w:hint="eastAsia" w:ascii="Times New Roman" w:hAnsi="Times New Roman" w:eastAsia="仿宋_GB2312" w:cs="Times New Roman"/>
          <w:bCs/>
          <w:kern w:val="0"/>
          <w:sz w:val="32"/>
          <w:szCs w:val="32"/>
        </w:rPr>
        <w:t>人。配有小车1辆。</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道县清塘镇人民政府</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道县清塘镇人民政府本级。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Ind w:w="0" w:type="dxa"/>
        <w:tblLayout w:type="fixed"/>
        <w:tblCellMar>
          <w:top w:w="0" w:type="dxa"/>
          <w:left w:w="108" w:type="dxa"/>
          <w:bottom w:w="0" w:type="dxa"/>
          <w:right w:w="108" w:type="dxa"/>
        </w:tblCellMar>
      </w:tblPr>
      <w:tblGrid>
        <w:gridCol w:w="5599"/>
        <w:gridCol w:w="725"/>
        <w:gridCol w:w="1579"/>
        <w:gridCol w:w="4646"/>
        <w:gridCol w:w="863"/>
        <w:gridCol w:w="1484"/>
      </w:tblGrid>
      <w:tr>
        <w:tblPrEx>
          <w:tblLayout w:type="fixed"/>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5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4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5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4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1707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 xml:space="preserve">08 </w:t>
            </w: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1064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 xml:space="preserve">11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 xml:space="preserve">72 </w:t>
            </w: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169</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4</w:t>
            </w:r>
            <w:r>
              <w:rPr>
                <w:rFonts w:hint="eastAsia" w:ascii="Times New Roman" w:hAnsi="Times New Roman" w:eastAsia="仿宋_GB2312" w:cs="Times New Roman"/>
                <w:color w:val="000000"/>
                <w:sz w:val="22"/>
              </w:rPr>
              <w:t xml:space="preserve">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66</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9</w:t>
            </w:r>
            <w:r>
              <w:rPr>
                <w:rFonts w:hint="eastAsia" w:ascii="Times New Roman" w:hAnsi="Times New Roman" w:eastAsia="仿宋_GB2312" w:cs="Times New Roman"/>
                <w:color w:val="000000"/>
                <w:sz w:val="22"/>
                <w:lang w:val="en-US" w:eastAsia="zh-CN"/>
              </w:rPr>
              <w:t>8</w:t>
            </w:r>
            <w:r>
              <w:rPr>
                <w:rFonts w:hint="eastAsia" w:ascii="Times New Roman" w:hAnsi="Times New Roman" w:eastAsia="仿宋_GB2312" w:cs="Times New Roman"/>
                <w:color w:val="000000"/>
                <w:sz w:val="22"/>
              </w:rPr>
              <w:t xml:space="preserve">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城乡社区支出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农林水支出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345</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 xml:space="preserve">26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住房保障支出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61.29</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七、其他支出</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w:t>
            </w:r>
            <w:r>
              <w:rPr>
                <w:rFonts w:hint="eastAsia" w:ascii="Times New Roman" w:hAnsi="Times New Roman" w:eastAsia="仿宋_GB2312" w:cs="Times New Roman"/>
                <w:color w:val="000000"/>
                <w:sz w:val="22"/>
                <w:lang w:val="en-US" w:eastAsia="zh-CN"/>
              </w:rPr>
              <w:t>2</w:t>
            </w:r>
            <w:r>
              <w:rPr>
                <w:rFonts w:hint="eastAsia" w:ascii="Times New Roman" w:hAnsi="Times New Roman" w:eastAsia="仿宋_GB2312" w:cs="Times New Roman"/>
                <w:color w:val="000000"/>
                <w:sz w:val="22"/>
              </w:rPr>
              <w:t xml:space="preserve">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1901</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 xml:space="preserve">80 </w:t>
            </w:r>
          </w:p>
        </w:tc>
        <w:tc>
          <w:tcPr>
            <w:tcW w:w="4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1901</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8</w:t>
            </w:r>
            <w:r>
              <w:rPr>
                <w:rFonts w:hint="eastAsia" w:ascii="Times New Roman" w:hAnsi="Times New Roman" w:eastAsia="仿宋_GB2312" w:cs="Times New Roman"/>
                <w:color w:val="000000"/>
                <w:sz w:val="22"/>
                <w:lang w:val="en-US" w:eastAsia="zh-CN"/>
              </w:rPr>
              <w:t>0</w:t>
            </w:r>
            <w:r>
              <w:rPr>
                <w:rFonts w:hint="eastAsia" w:ascii="Times New Roman" w:hAnsi="Times New Roman" w:eastAsia="仿宋_GB2312" w:cs="Times New Roman"/>
                <w:color w:val="000000"/>
                <w:sz w:val="22"/>
              </w:rPr>
              <w:t xml:space="preserve">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 xml:space="preserve">0.00 </w:t>
            </w:r>
          </w:p>
        </w:tc>
      </w:tr>
      <w:tr>
        <w:tblPrEx>
          <w:tblLayout w:type="fixed"/>
          <w:tblCellMar>
            <w:top w:w="0" w:type="dxa"/>
            <w:left w:w="108" w:type="dxa"/>
            <w:bottom w:w="0" w:type="dxa"/>
            <w:right w:w="108" w:type="dxa"/>
          </w:tblCellMar>
        </w:tblPrEx>
        <w:trPr>
          <w:trHeight w:val="340" w:hRule="exact"/>
          <w:jc w:val="center"/>
        </w:trPr>
        <w:tc>
          <w:tcPr>
            <w:tcW w:w="55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7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1901</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8</w:t>
            </w:r>
            <w:r>
              <w:rPr>
                <w:rFonts w:hint="eastAsia" w:ascii="Times New Roman" w:hAnsi="Times New Roman" w:eastAsia="仿宋_GB2312" w:cs="Times New Roman"/>
                <w:color w:val="000000"/>
                <w:sz w:val="22"/>
                <w:lang w:val="en-US" w:eastAsia="zh-CN"/>
              </w:rPr>
              <w:t>0</w:t>
            </w:r>
            <w:r>
              <w:rPr>
                <w:rFonts w:hint="eastAsia" w:ascii="Times New Roman" w:hAnsi="Times New Roman" w:eastAsia="仿宋_GB2312" w:cs="Times New Roman"/>
                <w:color w:val="000000"/>
                <w:sz w:val="22"/>
              </w:rPr>
              <w:t xml:space="preserve"> </w:t>
            </w:r>
          </w:p>
        </w:tc>
        <w:tc>
          <w:tcPr>
            <w:tcW w:w="46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1901</w:t>
            </w:r>
            <w:r>
              <w:rPr>
                <w:rFonts w:hint="eastAsia" w:ascii="Times New Roman" w:hAnsi="Times New Roman" w:eastAsia="仿宋_GB2312" w:cs="Times New Roman"/>
                <w:b/>
                <w:color w:val="000000"/>
                <w:sz w:val="22"/>
                <w:lang w:val="en-US" w:eastAsia="zh-CN"/>
              </w:rPr>
              <w:t>.</w:t>
            </w:r>
            <w:r>
              <w:rPr>
                <w:rFonts w:hint="eastAsia" w:ascii="Times New Roman" w:hAnsi="Times New Roman" w:eastAsia="仿宋_GB2312" w:cs="Times New Roman"/>
                <w:b/>
                <w:color w:val="000000"/>
                <w:sz w:val="22"/>
              </w:rPr>
              <w:t>8</w:t>
            </w:r>
            <w:r>
              <w:rPr>
                <w:rFonts w:hint="eastAsia" w:ascii="Times New Roman" w:hAnsi="Times New Roman" w:eastAsia="仿宋_GB2312" w:cs="Times New Roman"/>
                <w:b/>
                <w:color w:val="000000"/>
                <w:sz w:val="22"/>
                <w:lang w:val="en-US" w:eastAsia="zh-CN"/>
              </w:rPr>
              <w:t>0</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Ind w:w="0" w:type="dxa"/>
        <w:tblLayout w:type="fixed"/>
        <w:tblCellMar>
          <w:top w:w="0" w:type="dxa"/>
          <w:left w:w="0" w:type="dxa"/>
          <w:bottom w:w="0" w:type="dxa"/>
          <w:right w:w="0" w:type="dxa"/>
        </w:tblCellMar>
      </w:tblPr>
      <w:tblGrid>
        <w:gridCol w:w="1886"/>
        <w:gridCol w:w="2286"/>
        <w:gridCol w:w="1487"/>
        <w:gridCol w:w="1475"/>
        <w:gridCol w:w="1413"/>
        <w:gridCol w:w="1525"/>
        <w:gridCol w:w="1314"/>
        <w:gridCol w:w="1897"/>
        <w:gridCol w:w="1383"/>
      </w:tblGrid>
      <w:tr>
        <w:tblPrEx>
          <w:tblLayout w:type="fixed"/>
          <w:tblCellMar>
            <w:top w:w="0" w:type="dxa"/>
            <w:left w:w="0" w:type="dxa"/>
            <w:bottom w:w="0" w:type="dxa"/>
            <w:right w:w="0" w:type="dxa"/>
          </w:tblCellMar>
        </w:tblPrEx>
        <w:trPr>
          <w:trHeight w:val="450" w:hRule="atLeast"/>
          <w:jc w:val="center"/>
        </w:trPr>
        <w:tc>
          <w:tcPr>
            <w:tcW w:w="417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8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7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Layout w:type="fixed"/>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8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8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7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2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286"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8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7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2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450" w:hRule="atLeast"/>
          <w:jc w:val="center"/>
        </w:trPr>
        <w:tc>
          <w:tcPr>
            <w:tcW w:w="417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8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Layout w:type="fixed"/>
          <w:tblCellMar>
            <w:top w:w="0" w:type="dxa"/>
            <w:left w:w="0" w:type="dxa"/>
            <w:bottom w:w="0" w:type="dxa"/>
            <w:right w:w="0" w:type="dxa"/>
          </w:tblCellMar>
        </w:tblPrEx>
        <w:trPr>
          <w:trHeight w:val="450" w:hRule="atLeast"/>
          <w:jc w:val="center"/>
        </w:trPr>
        <w:tc>
          <w:tcPr>
            <w:tcW w:w="417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1901</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8</w:t>
            </w:r>
            <w:r>
              <w:rPr>
                <w:rFonts w:hint="eastAsia" w:ascii="Times New Roman" w:hAnsi="Times New Roman" w:eastAsia="仿宋_GB2312" w:cs="Times New Roman"/>
                <w:lang w:val="en-US" w:eastAsia="zh-CN"/>
              </w:rPr>
              <w:t>0</w:t>
            </w:r>
            <w:r>
              <w:rPr>
                <w:rFonts w:hint="eastAsia" w:ascii="Times New Roman" w:hAnsi="Times New Roman" w:eastAsia="仿宋_GB2312" w:cs="Times New Roman"/>
              </w:rPr>
              <w:t xml:space="preserve"> </w:t>
            </w:r>
            <w:r>
              <w:rPr>
                <w:rFonts w:ascii="Times New Roman" w:hAnsi="Times New Roman" w:eastAsia="仿宋_GB2312" w:cs="Times New Roman"/>
              </w:rPr>
              <w:t>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1901</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8</w:t>
            </w:r>
            <w:r>
              <w:rPr>
                <w:rFonts w:hint="eastAsia" w:ascii="Times New Roman" w:hAnsi="Times New Roman" w:eastAsia="仿宋_GB2312" w:cs="Times New Roman"/>
                <w:lang w:val="en-US" w:eastAsia="zh-CN"/>
              </w:rPr>
              <w:t>0</w:t>
            </w:r>
            <w:r>
              <w:rPr>
                <w:rFonts w:hint="eastAsia" w:ascii="Times New Roman" w:hAnsi="Times New Roman" w:eastAsia="仿宋_GB2312" w:cs="Times New Roman"/>
              </w:rPr>
              <w:t xml:space="preserve"> </w:t>
            </w:r>
            <w:r>
              <w:rPr>
                <w:rFonts w:ascii="Times New Roman" w:hAnsi="Times New Roman" w:eastAsia="仿宋_GB2312" w:cs="Times New Roman"/>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rPr>
              <w:t>2010199</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其他人大事务支出</w:t>
            </w:r>
          </w:p>
        </w:tc>
        <w:tc>
          <w:tcPr>
            <w:tcW w:w="14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20.35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20.35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2010301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14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849.05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849.05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2010399</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其他政府办公厅（室）及相关机构事务支出</w:t>
            </w:r>
          </w:p>
        </w:tc>
        <w:tc>
          <w:tcPr>
            <w:tcW w:w="14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186.71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186.71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2011199</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其他纪检监察事务支出</w:t>
            </w:r>
          </w:p>
        </w:tc>
        <w:tc>
          <w:tcPr>
            <w:tcW w:w="14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8.00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8.00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2080505</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机关事业单位基本养老保险缴费支出</w:t>
            </w:r>
          </w:p>
        </w:tc>
        <w:tc>
          <w:tcPr>
            <w:tcW w:w="14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130.03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130.03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2080506</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机关事业单位职业年金缴费支出</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21.42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21.42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2080801</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死亡抚恤</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16.36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16.36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2089999</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其他社会保障和就业支出</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1.62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1.62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2101101</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66.98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66.98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2130599</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其他巩固脱贫攻坚成果衔接乡村振兴支出</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153.26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rPr>
            </w:pPr>
            <w:r>
              <w:rPr>
                <w:rFonts w:hint="eastAsia" w:ascii="Times New Roman" w:hAnsi="Times New Roman" w:eastAsia="仿宋_GB2312" w:cs="Times New Roman"/>
                <w:lang w:val="en-US" w:eastAsia="zh-CN"/>
              </w:rPr>
              <w:t xml:space="preserve">153.26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2130701</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对村级公益事业建设的补助</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100.00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100.00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2130705</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对村民委员会和村党支部的补助</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92.00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92.00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2210201</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住房公积金</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61.29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61.29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lang w:val="en-US" w:eastAsia="zh-CN"/>
              </w:rPr>
              <w:t>2290403</w:t>
            </w:r>
          </w:p>
        </w:tc>
        <w:tc>
          <w:tcPr>
            <w:tcW w:w="22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其他政府性基金债务收入安排的支出</w:t>
            </w:r>
          </w:p>
        </w:tc>
        <w:tc>
          <w:tcPr>
            <w:tcW w:w="148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194.72 </w:t>
            </w:r>
          </w:p>
        </w:tc>
        <w:tc>
          <w:tcPr>
            <w:tcW w:w="147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194.72 </w:t>
            </w:r>
          </w:p>
        </w:tc>
        <w:tc>
          <w:tcPr>
            <w:tcW w:w="14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Ind w:w="0" w:type="dxa"/>
        <w:tblLayout w:type="fixed"/>
        <w:tblCellMar>
          <w:top w:w="0" w:type="dxa"/>
          <w:left w:w="108" w:type="dxa"/>
          <w:bottom w:w="0" w:type="dxa"/>
          <w:right w:w="108" w:type="dxa"/>
        </w:tblCellMar>
      </w:tblPr>
      <w:tblGrid>
        <w:gridCol w:w="2221"/>
        <w:gridCol w:w="1987"/>
        <w:gridCol w:w="1713"/>
        <w:gridCol w:w="1400"/>
        <w:gridCol w:w="1400"/>
        <w:gridCol w:w="1750"/>
        <w:gridCol w:w="1312"/>
        <w:gridCol w:w="2431"/>
      </w:tblGrid>
      <w:tr>
        <w:tblPrEx>
          <w:tblLayout w:type="fixed"/>
          <w:tblCellMar>
            <w:top w:w="0" w:type="dxa"/>
            <w:left w:w="108" w:type="dxa"/>
            <w:bottom w:w="0" w:type="dxa"/>
            <w:right w:w="108" w:type="dxa"/>
          </w:tblCellMar>
        </w:tblPrEx>
        <w:trPr>
          <w:trHeight w:val="595" w:hRule="atLeast"/>
          <w:jc w:val="center"/>
        </w:trPr>
        <w:tc>
          <w:tcPr>
            <w:tcW w:w="4208"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1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7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1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43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Layout w:type="fixed"/>
          <w:tblCellMar>
            <w:top w:w="0" w:type="dxa"/>
            <w:left w:w="108" w:type="dxa"/>
            <w:bottom w:w="0" w:type="dxa"/>
            <w:right w:w="108" w:type="dxa"/>
          </w:tblCellMar>
        </w:tblPrEx>
        <w:trPr>
          <w:trHeight w:val="312" w:hRule="exact"/>
          <w:jc w:val="center"/>
        </w:trPr>
        <w:tc>
          <w:tcPr>
            <w:tcW w:w="222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98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4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98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4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420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13"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5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12"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43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Layout w:type="fixed"/>
          <w:tblCellMar>
            <w:top w:w="0" w:type="dxa"/>
            <w:left w:w="108" w:type="dxa"/>
            <w:bottom w:w="0" w:type="dxa"/>
            <w:right w:w="108" w:type="dxa"/>
          </w:tblCellMar>
        </w:tblPrEx>
        <w:trPr>
          <w:trHeight w:val="595" w:hRule="atLeast"/>
          <w:jc w:val="center"/>
        </w:trPr>
        <w:tc>
          <w:tcPr>
            <w:tcW w:w="420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1901.80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1361.82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539.98 </w:t>
            </w:r>
          </w:p>
        </w:tc>
        <w:tc>
          <w:tcPr>
            <w:tcW w:w="175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2010199</w:t>
            </w:r>
          </w:p>
        </w:tc>
        <w:tc>
          <w:tcPr>
            <w:tcW w:w="1987" w:type="dxa"/>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其他人大事务支出</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20.35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20.35</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2010301</w:t>
            </w:r>
          </w:p>
        </w:tc>
        <w:tc>
          <w:tcPr>
            <w:tcW w:w="1987" w:type="dxa"/>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行政运行</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849.05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849.05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2010399</w:t>
            </w:r>
          </w:p>
        </w:tc>
        <w:tc>
          <w:tcPr>
            <w:tcW w:w="1987" w:type="dxa"/>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其他政府办公厅（室）及相关机构事务支出</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186.71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186.71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2011199</w:t>
            </w:r>
          </w:p>
        </w:tc>
        <w:tc>
          <w:tcPr>
            <w:tcW w:w="1987" w:type="dxa"/>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其他纪检监察事务支出</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8.00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8.00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2080505</w:t>
            </w:r>
          </w:p>
        </w:tc>
        <w:tc>
          <w:tcPr>
            <w:tcW w:w="1987" w:type="dxa"/>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机关事业单位基本养老保险缴费支出</w:t>
            </w:r>
          </w:p>
        </w:tc>
        <w:tc>
          <w:tcPr>
            <w:tcW w:w="1713"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130.03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130.03 </w:t>
            </w:r>
          </w:p>
        </w:tc>
        <w:tc>
          <w:tcPr>
            <w:tcW w:w="1400" w:type="dxa"/>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2080506</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机关事业单位职业年金缴费支出</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21.42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21.42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2080801</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死亡抚恤</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16.36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16.36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2089999</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其他社会保障和就业支出</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1.62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1.62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2101101</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行政单位医疗</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66.98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66.98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2130599</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其他巩固脱贫攻坚成果衔接乡村振兴支出</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153.26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153.26 </w:t>
            </w: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2130701</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对村级公益事业建设的补助</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100.00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100.00 </w:t>
            </w: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2130705</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对村民委员会和村党支部的补助</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92.00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92.00 </w:t>
            </w: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2210201</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住房公积金</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61.29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61.29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2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2290403</w:t>
            </w:r>
          </w:p>
        </w:tc>
        <w:tc>
          <w:tcPr>
            <w:tcW w:w="198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其他政府性基金债务收入安排的支出</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194.72 </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194.72 </w:t>
            </w:r>
          </w:p>
        </w:tc>
        <w:tc>
          <w:tcPr>
            <w:tcW w:w="17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4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仿宋_GB2312" w:cs="Times New Roman"/>
          <w:kern w:val="0"/>
          <w:sz w:val="24"/>
          <w:szCs w:val="24"/>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Ind w:w="0" w:type="dxa"/>
        <w:tblLayout w:type="fixed"/>
        <w:tblCellMar>
          <w:top w:w="0" w:type="dxa"/>
          <w:left w:w="108" w:type="dxa"/>
          <w:bottom w:w="0" w:type="dxa"/>
          <w:right w:w="108" w:type="dxa"/>
        </w:tblCellMar>
      </w:tblPr>
      <w:tblGrid>
        <w:gridCol w:w="3311"/>
        <w:gridCol w:w="713"/>
        <w:gridCol w:w="1025"/>
        <w:gridCol w:w="2537"/>
        <w:gridCol w:w="675"/>
        <w:gridCol w:w="1075"/>
        <w:gridCol w:w="1450"/>
        <w:gridCol w:w="1688"/>
        <w:gridCol w:w="1746"/>
      </w:tblGrid>
      <w:tr>
        <w:tblPrEx>
          <w:tblLayout w:type="fixed"/>
          <w:tblCellMar>
            <w:top w:w="0" w:type="dxa"/>
            <w:left w:w="108" w:type="dxa"/>
            <w:bottom w:w="0" w:type="dxa"/>
            <w:right w:w="108" w:type="dxa"/>
          </w:tblCellMar>
        </w:tblPrEx>
        <w:trPr>
          <w:trHeight w:val="402" w:hRule="atLeast"/>
          <w:jc w:val="center"/>
        </w:trPr>
        <w:tc>
          <w:tcPr>
            <w:tcW w:w="504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71"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Layout w:type="fixed"/>
          <w:tblCellMar>
            <w:top w:w="0" w:type="dxa"/>
            <w:left w:w="108" w:type="dxa"/>
            <w:bottom w:w="0" w:type="dxa"/>
            <w:right w:w="108" w:type="dxa"/>
          </w:tblCellMar>
        </w:tblPrEx>
        <w:trPr>
          <w:trHeight w:val="630"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5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4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1707.08</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1064.11</w:t>
            </w: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1064</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11</w:t>
            </w: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194.72</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38</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w:t>
            </w:r>
          </w:p>
        </w:tc>
        <w:tc>
          <w:tcPr>
            <w:tcW w:w="10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169.44</w:t>
            </w:r>
          </w:p>
        </w:tc>
        <w:tc>
          <w:tcPr>
            <w:tcW w:w="1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169.44</w:t>
            </w: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66.98</w:t>
            </w:r>
          </w:p>
        </w:tc>
        <w:tc>
          <w:tcPr>
            <w:tcW w:w="1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66.98</w:t>
            </w: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43</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345.26</w:t>
            </w:r>
          </w:p>
        </w:tc>
        <w:tc>
          <w:tcPr>
            <w:tcW w:w="1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345.26</w:t>
            </w: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47</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50</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61.29</w:t>
            </w:r>
          </w:p>
        </w:tc>
        <w:tc>
          <w:tcPr>
            <w:tcW w:w="1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61.29</w:t>
            </w: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10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0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194.72</w:t>
            </w: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194.72</w:t>
            </w: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10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10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102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58</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hint="eastAsia" w:ascii="Times New Roman" w:hAnsi="Times New Roman" w:eastAsia="仿宋_GB2312" w:cs="Times New Roman"/>
                <w:kern w:val="0"/>
                <w:sz w:val="22"/>
                <w:lang w:val="en-US" w:eastAsia="zh-CN"/>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1901</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 xml:space="preserve">80 </w:t>
            </w: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59</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1901.80</w:t>
            </w:r>
          </w:p>
        </w:tc>
        <w:tc>
          <w:tcPr>
            <w:tcW w:w="1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1707.08</w:t>
            </w:r>
          </w:p>
        </w:tc>
        <w:tc>
          <w:tcPr>
            <w:tcW w:w="16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194.72</w:t>
            </w:r>
          </w:p>
        </w:tc>
        <w:tc>
          <w:tcPr>
            <w:tcW w:w="17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b/>
                <w:bCs/>
                <w:kern w:val="0"/>
                <w:sz w:val="22"/>
              </w:rPr>
            </w:pPr>
            <w:r>
              <w:rPr>
                <w:rFonts w:hint="eastAsia" w:ascii="宋体" w:hAnsi="宋体" w:eastAsia="宋体" w:cs="宋体"/>
                <w:i w:val="0"/>
                <w:color w:val="000000"/>
                <w:kern w:val="0"/>
                <w:sz w:val="22"/>
                <w:szCs w:val="22"/>
                <w:u w:val="none"/>
                <w:lang w:val="en-US" w:eastAsia="zh-CN" w:bidi="ar"/>
              </w:rPr>
              <w:t>0.00</w:t>
            </w: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60</w:t>
            </w:r>
          </w:p>
        </w:tc>
        <w:tc>
          <w:tcPr>
            <w:tcW w:w="10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0.00</w:t>
            </w:r>
          </w:p>
        </w:tc>
        <w:tc>
          <w:tcPr>
            <w:tcW w:w="145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0.00</w:t>
            </w: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61</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71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w:t>
            </w:r>
          </w:p>
        </w:tc>
        <w:tc>
          <w:tcPr>
            <w:tcW w:w="1075"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450"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6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c>
          <w:tcPr>
            <w:tcW w:w="174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p>
        </w:tc>
      </w:tr>
      <w:tr>
        <w:tblPrEx>
          <w:tblLayout w:type="fixed"/>
          <w:tblCellMar>
            <w:top w:w="0" w:type="dxa"/>
            <w:left w:w="108" w:type="dxa"/>
            <w:bottom w:w="0" w:type="dxa"/>
            <w:right w:w="108" w:type="dxa"/>
          </w:tblCellMar>
        </w:tblPrEx>
        <w:trPr>
          <w:trHeight w:val="402" w:hRule="atLeast"/>
          <w:jc w:val="center"/>
        </w:trPr>
        <w:tc>
          <w:tcPr>
            <w:tcW w:w="3311"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13"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10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1901</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8</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253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7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64</w:t>
            </w:r>
          </w:p>
        </w:tc>
        <w:tc>
          <w:tcPr>
            <w:tcW w:w="107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1901.80</w:t>
            </w:r>
          </w:p>
        </w:tc>
        <w:tc>
          <w:tcPr>
            <w:tcW w:w="145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1707.08</w:t>
            </w:r>
          </w:p>
        </w:tc>
        <w:tc>
          <w:tcPr>
            <w:tcW w:w="16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b/>
                <w:bCs/>
                <w:kern w:val="0"/>
                <w:sz w:val="22"/>
              </w:rPr>
            </w:pPr>
            <w:r>
              <w:rPr>
                <w:rFonts w:hint="eastAsia" w:ascii="宋体" w:hAnsi="宋体" w:eastAsia="宋体" w:cs="宋体"/>
                <w:i w:val="0"/>
                <w:color w:val="000000"/>
                <w:kern w:val="0"/>
                <w:sz w:val="22"/>
                <w:szCs w:val="22"/>
                <w:u w:val="none"/>
                <w:lang w:val="en-US" w:eastAsia="zh-CN" w:bidi="ar"/>
              </w:rPr>
              <w:t>194.72</w:t>
            </w:r>
          </w:p>
        </w:tc>
        <w:tc>
          <w:tcPr>
            <w:tcW w:w="17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b/>
                <w:bCs/>
                <w:kern w:val="0"/>
                <w:sz w:val="22"/>
              </w:rPr>
            </w:pPr>
            <w:r>
              <w:rPr>
                <w:rFonts w:hint="eastAsia" w:ascii="宋体" w:hAnsi="宋体" w:eastAsia="宋体" w:cs="宋体"/>
                <w:i w:val="0"/>
                <w:color w:val="000000"/>
                <w:kern w:val="0"/>
                <w:sz w:val="22"/>
                <w:szCs w:val="22"/>
                <w:u w:val="none"/>
                <w:lang w:val="en-US" w:eastAsia="zh-CN" w:bidi="ar"/>
              </w:rPr>
              <w:t>0.00</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Ind w:w="0" w:type="dxa"/>
        <w:tblLayout w:type="fixed"/>
        <w:tblCellMar>
          <w:top w:w="0" w:type="dxa"/>
          <w:left w:w="108" w:type="dxa"/>
          <w:bottom w:w="0" w:type="dxa"/>
          <w:right w:w="108" w:type="dxa"/>
        </w:tblCellMar>
      </w:tblPr>
      <w:tblGrid>
        <w:gridCol w:w="1200"/>
        <w:gridCol w:w="4223"/>
        <w:gridCol w:w="2975"/>
        <w:gridCol w:w="2937"/>
        <w:gridCol w:w="2884"/>
      </w:tblGrid>
      <w:tr>
        <w:tblPrEx>
          <w:tblLayout w:type="fixed"/>
          <w:tblCellMar>
            <w:top w:w="0" w:type="dxa"/>
            <w:left w:w="108" w:type="dxa"/>
            <w:bottom w:w="0" w:type="dxa"/>
            <w:right w:w="108" w:type="dxa"/>
          </w:tblCellMar>
        </w:tblPrEx>
        <w:trPr>
          <w:trHeight w:val="545" w:hRule="atLeast"/>
          <w:jc w:val="center"/>
        </w:trPr>
        <w:tc>
          <w:tcPr>
            <w:tcW w:w="542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79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22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75"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93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84"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2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7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3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8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2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75"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93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84"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542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7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93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84"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542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7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17,07.08 </w:t>
            </w:r>
          </w:p>
        </w:tc>
        <w:tc>
          <w:tcPr>
            <w:tcW w:w="293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1361.82 </w:t>
            </w:r>
          </w:p>
        </w:tc>
        <w:tc>
          <w:tcPr>
            <w:tcW w:w="2884"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345.26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2010199</w:t>
            </w:r>
          </w:p>
        </w:tc>
        <w:tc>
          <w:tcPr>
            <w:tcW w:w="4223"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其他人大事务支出</w:t>
            </w:r>
          </w:p>
        </w:tc>
        <w:tc>
          <w:tcPr>
            <w:tcW w:w="2975" w:type="dxa"/>
            <w:tcBorders>
              <w:top w:val="nil"/>
              <w:left w:val="nil"/>
              <w:bottom w:val="single" w:color="auto" w:sz="4" w:space="0"/>
              <w:right w:val="single" w:color="auto" w:sz="4" w:space="0"/>
            </w:tcBorders>
            <w:shd w:val="clear" w:color="auto" w:fill="auto"/>
            <w:vAlign w:val="center"/>
          </w:tcPr>
          <w:p>
            <w:pPr>
              <w:widowControl/>
              <w:jc w:val="right"/>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xml:space="preserve">20.35 </w:t>
            </w:r>
          </w:p>
        </w:tc>
        <w:tc>
          <w:tcPr>
            <w:tcW w:w="293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20.35 </w:t>
            </w:r>
          </w:p>
        </w:tc>
        <w:tc>
          <w:tcPr>
            <w:tcW w:w="2884"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2010301</w:t>
            </w:r>
          </w:p>
        </w:tc>
        <w:tc>
          <w:tcPr>
            <w:tcW w:w="42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行政运行</w:t>
            </w:r>
          </w:p>
        </w:tc>
        <w:tc>
          <w:tcPr>
            <w:tcW w:w="297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849.05 </w:t>
            </w:r>
          </w:p>
        </w:tc>
        <w:tc>
          <w:tcPr>
            <w:tcW w:w="293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849.05 </w:t>
            </w:r>
          </w:p>
        </w:tc>
        <w:tc>
          <w:tcPr>
            <w:tcW w:w="2884"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2010399</w:t>
            </w:r>
          </w:p>
        </w:tc>
        <w:tc>
          <w:tcPr>
            <w:tcW w:w="42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其他政府办公厅（室）及相关机构事务支出</w:t>
            </w:r>
          </w:p>
        </w:tc>
        <w:tc>
          <w:tcPr>
            <w:tcW w:w="297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186.71 </w:t>
            </w:r>
          </w:p>
        </w:tc>
        <w:tc>
          <w:tcPr>
            <w:tcW w:w="293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186.71 </w:t>
            </w:r>
          </w:p>
        </w:tc>
        <w:tc>
          <w:tcPr>
            <w:tcW w:w="2884"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2011199</w:t>
            </w:r>
          </w:p>
        </w:tc>
        <w:tc>
          <w:tcPr>
            <w:tcW w:w="42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其他纪检监察事务支出</w:t>
            </w:r>
          </w:p>
        </w:tc>
        <w:tc>
          <w:tcPr>
            <w:tcW w:w="297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8.00 </w:t>
            </w:r>
          </w:p>
        </w:tc>
        <w:tc>
          <w:tcPr>
            <w:tcW w:w="293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8.00 </w:t>
            </w:r>
          </w:p>
        </w:tc>
        <w:tc>
          <w:tcPr>
            <w:tcW w:w="2884"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2080505</w:t>
            </w:r>
          </w:p>
        </w:tc>
        <w:tc>
          <w:tcPr>
            <w:tcW w:w="42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机关事业单位基本养老保险缴费支出</w:t>
            </w:r>
          </w:p>
        </w:tc>
        <w:tc>
          <w:tcPr>
            <w:tcW w:w="2975"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130.03 </w:t>
            </w:r>
          </w:p>
        </w:tc>
        <w:tc>
          <w:tcPr>
            <w:tcW w:w="293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130.03 </w:t>
            </w:r>
          </w:p>
        </w:tc>
        <w:tc>
          <w:tcPr>
            <w:tcW w:w="2884"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2080506</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机关事业单位职业年金缴费支出</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21.42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21.42 </w:t>
            </w: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2080801</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死亡抚恤</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16.36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16.36 </w:t>
            </w: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2089999</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其他社会保障和就业支出</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1.62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1.62 </w:t>
            </w: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2101101</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行政单位医疗</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66.98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66.98 </w:t>
            </w: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2130599</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其他巩固脱贫攻坚成果衔接乡村振兴支出</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153.26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153.26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2130701</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对村级公益事业建设的补助</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100.00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100.00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2130705</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对村民委员会和村党支部的补助</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92.00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92.00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2210201</w:t>
            </w:r>
          </w:p>
        </w:tc>
        <w:tc>
          <w:tcPr>
            <w:tcW w:w="4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住房公积金</w:t>
            </w:r>
          </w:p>
        </w:tc>
        <w:tc>
          <w:tcPr>
            <w:tcW w:w="29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61.29 </w:t>
            </w:r>
          </w:p>
        </w:tc>
        <w:tc>
          <w:tcPr>
            <w:tcW w:w="293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61.29 </w:t>
            </w:r>
          </w:p>
        </w:tc>
        <w:tc>
          <w:tcPr>
            <w:tcW w:w="28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Ind w:w="0" w:type="dxa"/>
        <w:tblLayout w:type="fixed"/>
        <w:tblCellMar>
          <w:top w:w="0" w:type="dxa"/>
          <w:left w:w="108" w:type="dxa"/>
          <w:bottom w:w="0" w:type="dxa"/>
          <w:right w:w="108" w:type="dxa"/>
        </w:tblCellMar>
      </w:tblPr>
      <w:tblGrid>
        <w:gridCol w:w="1081"/>
        <w:gridCol w:w="2633"/>
        <w:gridCol w:w="1183"/>
        <w:gridCol w:w="1116"/>
        <w:gridCol w:w="2018"/>
        <w:gridCol w:w="933"/>
        <w:gridCol w:w="1217"/>
        <w:gridCol w:w="3517"/>
        <w:gridCol w:w="929"/>
      </w:tblGrid>
      <w:tr>
        <w:tblPrEx>
          <w:tblLayout w:type="fixed"/>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1103.77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227.82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390.39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223.26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16.64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72.03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136.74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21.42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66.82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14.40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lang w:val="en-US" w:eastAsia="zh-CN"/>
              </w:rPr>
            </w:pPr>
            <w:r>
              <w:t>　</w:t>
            </w:r>
            <w:r>
              <w:rPr>
                <w:rFonts w:hint="eastAsia"/>
                <w:lang w:val="en-US" w:eastAsia="zh-CN"/>
              </w:rPr>
              <w:t>61.29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11.14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30.24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16.36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10.66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36.30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24.13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51.02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Layout w:type="fixed"/>
          <w:tblCellMar>
            <w:top w:w="0" w:type="dxa"/>
            <w:left w:w="108" w:type="dxa"/>
            <w:bottom w:w="0" w:type="dxa"/>
            <w:right w:w="108" w:type="dxa"/>
          </w:tblCellMar>
        </w:tblPrEx>
        <w:trPr>
          <w:trHeight w:val="255" w:hRule="exact"/>
          <w:jc w:val="center"/>
        </w:trPr>
        <w:tc>
          <w:tcPr>
            <w:tcW w:w="371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8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1134.00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227.82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Ind w:w="0" w:type="dxa"/>
        <w:tblLayout w:type="fixed"/>
        <w:tblCellMar>
          <w:top w:w="0" w:type="dxa"/>
          <w:left w:w="108" w:type="dxa"/>
          <w:bottom w:w="0" w:type="dxa"/>
          <w:right w:w="108" w:type="dxa"/>
        </w:tblCellMar>
      </w:tblPr>
      <w:tblGrid>
        <w:gridCol w:w="1322"/>
        <w:gridCol w:w="2063"/>
        <w:gridCol w:w="1925"/>
        <w:gridCol w:w="1487"/>
        <w:gridCol w:w="1757"/>
        <w:gridCol w:w="1935"/>
        <w:gridCol w:w="1918"/>
        <w:gridCol w:w="1919"/>
      </w:tblGrid>
      <w:tr>
        <w:tblPrEx>
          <w:tblLayout w:type="fixed"/>
          <w:tblCellMar>
            <w:top w:w="0" w:type="dxa"/>
            <w:left w:w="108" w:type="dxa"/>
            <w:bottom w:w="0" w:type="dxa"/>
            <w:right w:w="108" w:type="dxa"/>
          </w:tblCellMar>
        </w:tblPrEx>
        <w:trPr>
          <w:trHeight w:val="459" w:hRule="atLeast"/>
          <w:jc w:val="center"/>
        </w:trPr>
        <w:tc>
          <w:tcPr>
            <w:tcW w:w="3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6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Layout w:type="fixed"/>
          <w:tblCellMar>
            <w:top w:w="0" w:type="dxa"/>
            <w:left w:w="108" w:type="dxa"/>
            <w:bottom w:w="0" w:type="dxa"/>
            <w:right w:w="108" w:type="dxa"/>
          </w:tblCellMar>
        </w:tblPrEx>
        <w:trPr>
          <w:trHeight w:val="312" w:hRule="exact"/>
          <w:jc w:val="center"/>
        </w:trPr>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0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409" w:hRule="atLeast"/>
          <w:jc w:val="center"/>
        </w:trPr>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jc w:val="center"/>
        </w:trPr>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3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Layout w:type="fixed"/>
          <w:tblCellMar>
            <w:top w:w="0" w:type="dxa"/>
            <w:left w:w="108" w:type="dxa"/>
            <w:bottom w:w="0" w:type="dxa"/>
            <w:right w:w="108" w:type="dxa"/>
          </w:tblCellMar>
        </w:tblPrEx>
        <w:trPr>
          <w:trHeight w:val="509" w:hRule="atLeast"/>
          <w:jc w:val="center"/>
        </w:trPr>
        <w:tc>
          <w:tcPr>
            <w:tcW w:w="3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194.72</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194.72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194.72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2290403</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22"/>
                <w:szCs w:val="22"/>
                <w:u w:val="none"/>
                <w:lang w:val="en-US" w:eastAsia="zh-CN" w:bidi="ar"/>
              </w:rPr>
              <w:t>其他政府性基金债务收入安排的支出</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194.72</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194.72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194.72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both"/>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Layout w:type="fixed"/>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Layout w:type="fixed"/>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14544" w:type="dxa"/>
        <w:jc w:val="center"/>
        <w:tblInd w:w="0" w:type="dxa"/>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Layout w:type="fixed"/>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Layout w:type="fixed"/>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Layout w:type="fixed"/>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Layout w:type="fixed"/>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3803.60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658.24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20.93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收入部分</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本年度增加了</w:t>
      </w:r>
      <w:r>
        <w:rPr>
          <w:rFonts w:hint="eastAsia" w:ascii="Times New Roman" w:hAnsi="Times New Roman" w:eastAsia="仿宋_GB2312" w:cs="Times New Roman"/>
          <w:sz w:val="32"/>
          <w:szCs w:val="32"/>
        </w:rPr>
        <w:t>政府性基金预算财政拨款收入</w:t>
      </w:r>
      <w:r>
        <w:rPr>
          <w:rFonts w:hint="eastAsia" w:ascii="Times New Roman" w:hAnsi="Times New Roman" w:eastAsia="仿宋_GB2312" w:cs="Times New Roman"/>
          <w:sz w:val="32"/>
          <w:szCs w:val="32"/>
          <w:lang w:eastAsia="zh-CN"/>
        </w:rPr>
        <w:t>和人均经费增加，导致收入增加；支出部分主要是因为增加了其他支出（其他政府性基金债务收入安排的支出）和各项保障支出增加，导致了支出增加。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单位贯彻落实党政机关习惯过紧日子有关要求，厉行节约办一切事业，严控一般性支出，进一步优化支出结构，持续压降“三公”经费、办公经费、会议培训等行政开支。同时坚持有保有压，优化支出结构，提高资金使用效率，合理保障行政运行、其他政府办公厅（室）及相关机构事务支出、机关事业单位基本养老保险缴费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1901.80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1901.80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1901.80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1361.82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71.61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539.98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29.39</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3803.60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658.24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20.93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收入部分主要是因为本年度增加了政府性基金预算财政拨款收入和人均经费增加，导致收入增加；支出部分主要是因为增加了其他支出（其他政府性基金债务收入安排的支出）和各项保障支出增加，导致了支出增加。</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1707.08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89.76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134.4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补助</w:t>
      </w:r>
      <w:r>
        <w:rPr>
          <w:rFonts w:hint="eastAsia" w:ascii="Times New Roman" w:hAnsi="Times New Roman" w:eastAsia="仿宋_GB2312" w:cs="Times New Roman"/>
          <w:sz w:val="32"/>
          <w:szCs w:val="32"/>
        </w:rPr>
        <w:t>项目</w:t>
      </w:r>
      <w:r>
        <w:rPr>
          <w:rFonts w:hint="eastAsia" w:ascii="Times New Roman" w:hAnsi="Times New Roman" w:eastAsia="仿宋_GB2312" w:cs="Times New Roman"/>
          <w:sz w:val="32"/>
          <w:szCs w:val="32"/>
          <w:lang w:eastAsia="zh-CN"/>
        </w:rPr>
        <w:t>和人员增加导致经费</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1707.08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1064.11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62.34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169.44</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66.98</w:t>
      </w:r>
      <w:r>
        <w:rPr>
          <w:rFonts w:hint="eastAsia" w:ascii="Times New Roman" w:hAnsi="Times New Roman" w:eastAsia="仿宋_GB2312" w:cs="Times New Roman"/>
          <w:sz w:val="32"/>
          <w:szCs w:val="32"/>
        </w:rPr>
        <w:t>万元，占3.</w:t>
      </w:r>
      <w:r>
        <w:rPr>
          <w:rFonts w:hint="eastAsia" w:ascii="Times New Roman" w:hAnsi="Times New Roman" w:eastAsia="仿宋_GB2312" w:cs="Times New Roman"/>
          <w:sz w:val="32"/>
          <w:szCs w:val="32"/>
          <w:lang w:val="en-US" w:eastAsia="zh-CN"/>
        </w:rPr>
        <w:t>92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w:t>
      </w:r>
      <w:r>
        <w:rPr>
          <w:rFonts w:hint="eastAsia" w:ascii="Times New Roman" w:hAnsi="Times New Roman" w:eastAsia="仿宋_GB2312" w:cs="Times New Roman"/>
          <w:sz w:val="32"/>
          <w:szCs w:val="32"/>
          <w:lang w:val="en-US" w:eastAsia="zh-CN"/>
        </w:rPr>
        <w:t>345.26</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20.23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61.29</w:t>
      </w:r>
      <w:r>
        <w:rPr>
          <w:rFonts w:hint="eastAsia" w:ascii="Times New Roman" w:hAnsi="Times New Roman" w:eastAsia="仿宋_GB2312" w:cs="Times New Roman"/>
          <w:sz w:val="32"/>
          <w:szCs w:val="32"/>
        </w:rPr>
        <w:t>万元，占3.</w:t>
      </w:r>
      <w:r>
        <w:rPr>
          <w:rFonts w:hint="eastAsia" w:ascii="Times New Roman" w:hAnsi="Times New Roman" w:eastAsia="仿宋_GB2312" w:cs="Times New Roman"/>
          <w:sz w:val="32"/>
          <w:szCs w:val="32"/>
          <w:lang w:val="en-US" w:eastAsia="zh-CN"/>
        </w:rPr>
        <w:t>59</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；其他支出</w:t>
      </w:r>
      <w:r>
        <w:rPr>
          <w:rFonts w:hint="eastAsia" w:ascii="Times New Roman" w:hAnsi="Times New Roman" w:eastAsia="仿宋_GB2312" w:cs="Times New Roman"/>
          <w:sz w:val="32"/>
          <w:szCs w:val="32"/>
          <w:lang w:val="en-US" w:eastAsia="zh-CN"/>
        </w:rPr>
        <w:t>194.72万元，占11.41</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rPr>
        <w:t>（三）</w:t>
      </w:r>
      <w:r>
        <w:rPr>
          <w:rFonts w:ascii="Times New Roman" w:hAnsi="Times New Roman" w:eastAsia="楷体_GB2312" w:cs="Times New Roman"/>
          <w:b/>
          <w:sz w:val="32"/>
          <w:szCs w:val="32"/>
          <w:highlight w:val="none"/>
        </w:rPr>
        <w:t>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1707.08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1707.08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1064.11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1064.11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169.44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169.44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卫生健康支出。</w:t>
      </w:r>
    </w:p>
    <w:p>
      <w:pPr>
        <w:pStyle w:val="12"/>
        <w:numPr>
          <w:ilvl w:val="0"/>
          <w:numId w:val="0"/>
        </w:numPr>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年初预算为66.98万元，支出决算为66.98万元，完成年初预算的100.00%。</w:t>
      </w:r>
    </w:p>
    <w:p>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农林水支出。</w:t>
      </w:r>
    </w:p>
    <w:p>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345.26</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345.26</w:t>
      </w:r>
      <w:r>
        <w:rPr>
          <w:rFonts w:hint="eastAsia" w:ascii="Times New Roman" w:hAnsi="Times New Roman" w:eastAsia="仿宋_GB2312" w:cs="Times New Roman"/>
          <w:sz w:val="32"/>
          <w:szCs w:val="32"/>
          <w:lang w:eastAsia="zh-CN"/>
        </w:rPr>
        <w:t>万元，完成年初预算的100.00%。</w:t>
      </w:r>
    </w:p>
    <w:p>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住房保障支出。</w:t>
      </w:r>
    </w:p>
    <w:p>
      <w:pPr>
        <w:pStyle w:val="12"/>
        <w:numPr>
          <w:ilvl w:val="0"/>
          <w:numId w:val="0"/>
        </w:numPr>
        <w:overflowPunct w:val="0"/>
        <w:autoSpaceDE/>
        <w:autoSpaceDN/>
        <w:spacing w:line="600" w:lineRule="exact"/>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s="Times New Roman"/>
          <w:sz w:val="32"/>
          <w:szCs w:val="32"/>
          <w:lang w:val="en-US" w:eastAsia="zh-CN"/>
        </w:rPr>
        <w:t xml:space="preserve">    年初预算为61.29万元，支出决算为61.29万元，完成年初预算的100.00%。</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rPr>
        <w:t>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849.05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44.64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行政</w:t>
      </w:r>
      <w:r>
        <w:rPr>
          <w:rFonts w:hint="eastAsia" w:ascii="Times New Roman" w:hAnsi="Times New Roman" w:eastAsia="仿宋_GB2312" w:cs="Times New Roman"/>
          <w:sz w:val="32"/>
          <w:szCs w:val="32"/>
        </w:rPr>
        <w:t>运维方面</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1361.82</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1134.00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83.27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w:t>
      </w:r>
      <w:r>
        <w:rPr>
          <w:rFonts w:hint="eastAsia" w:ascii="Times New Roman" w:hAnsi="Times New Roman" w:eastAsia="仿宋_GB2312" w:cs="Times New Roman"/>
          <w:sz w:val="32"/>
          <w:szCs w:val="32"/>
        </w:rPr>
        <w:t>职业年金缴费</w:t>
      </w:r>
      <w:r>
        <w:rPr>
          <w:rFonts w:hint="eastAsia" w:ascii="Times New Roman" w:hAnsi="Times New Roman" w:eastAsia="仿宋_GB2312" w:cs="Times New Roman"/>
          <w:sz w:val="32"/>
          <w:szCs w:val="32"/>
          <w:lang w:eastAsia="zh-CN"/>
        </w:rPr>
        <w:t>、职工基本医疗保险缴费、公务员医疗补助缴费、其他社会保障缴费、住房公积金、对个人和家庭的补助</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227.82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16.73</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电费、邮电费、差旅费、维修（护）费、租赁费、会议费、培训费、劳务费、委托业务费、工会经费、福利费、公务用车运行维护费、其他交通费用、其他商品和服务支出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64.00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没有了公务接待费用</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sz w:val="32"/>
          <w:szCs w:val="32"/>
        </w:rPr>
        <w:t>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公务用车购置费及运行维护费支出预算为4.</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0万元，支出决算为4.20万元，完成预算的100.00%；与上年相比未变化。其中：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运营维护及日常加油等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没有了公务接待费用</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194.72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194.72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194.72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194.72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194.72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完成预算数德</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w:t>
      </w:r>
      <w:r>
        <w:rPr>
          <w:rFonts w:ascii="Times New Roman" w:hAnsi="Times New Roman" w:cs="Times New Roman"/>
          <w:bCs/>
          <w:sz w:val="32"/>
          <w:szCs w:val="32"/>
          <w:highlight w:val="none"/>
        </w:rPr>
        <w:t>关于机关运行经费支出说明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227.82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227.82</w:t>
      </w:r>
      <w:r>
        <w:rPr>
          <w:rFonts w:hint="eastAsia" w:ascii="Times New Roman" w:hAnsi="Times New Roman" w:eastAsia="仿宋_GB2312" w:cs="Times New Roman"/>
          <w:sz w:val="32"/>
          <w:szCs w:val="32"/>
        </w:rPr>
        <w:t>万元，与年初预算持平，完成年初预算的100%</w:t>
      </w:r>
      <w:r>
        <w:rPr>
          <w:rFonts w:hint="eastAsia" w:ascii="Times New Roman" w:hAnsi="Times New Roman" w:eastAsia="仿宋_GB2312" w:cs="Times New Roman"/>
          <w:sz w:val="32"/>
          <w:szCs w:val="32"/>
          <w:lang w:eastAsia="zh-CN"/>
        </w:rPr>
        <w:t>，其中：办公费</w:t>
      </w:r>
      <w:r>
        <w:rPr>
          <w:rFonts w:hint="eastAsia" w:ascii="Times New Roman" w:hAnsi="Times New Roman" w:eastAsia="仿宋_GB2312" w:cs="Times New Roman"/>
          <w:sz w:val="32"/>
          <w:szCs w:val="32"/>
          <w:lang w:val="en-US" w:eastAsia="zh-CN"/>
        </w:rPr>
        <w:t>22.04万元，印刷费16.64万元，电费8.20万元，邮电费0.90万元，差旅费14.40万元，维修（护）费11.14万元，租赁费0.70万元，会议费5.57万元，培训费2.76万元，劳务费36.30万元，委托业务费0.88万元，工会经费15.00万元，福利费13.92万元，公务用车运行维护费4.20万元，其他交通费用24.13万元，其他商品和服务51.02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5.57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highlight w:val="none"/>
          <w:lang w:val="en-US" w:eastAsia="zh-CN"/>
        </w:rPr>
        <w:t>916</w:t>
      </w:r>
      <w:r>
        <w:rPr>
          <w:rFonts w:ascii="Times New Roman" w:hAnsi="Times New Roman" w:eastAsia="仿宋_GB2312" w:cs="Times New Roman"/>
          <w:sz w:val="32"/>
          <w:szCs w:val="32"/>
        </w:rPr>
        <w:t>人，内容为</w:t>
      </w:r>
      <w:bookmarkStart w:id="3" w:name="MEET_FUNDS_HYNR"/>
      <w:r>
        <w:rPr>
          <w:rFonts w:hint="eastAsia" w:ascii="Times New Roman" w:hAnsi="Times New Roman" w:eastAsia="仿宋_GB2312"/>
          <w:sz w:val="32"/>
          <w:szCs w:val="32"/>
        </w:rPr>
        <w:t>本单位工作会议</w:t>
      </w:r>
      <w:bookmarkEnd w:id="3"/>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2.76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干部培训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县党校培训和预备党员培训</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highlight w:val="yellow"/>
        </w:rPr>
      </w:pPr>
      <w:r>
        <w:rPr>
          <w:rFonts w:ascii="Times New Roman" w:hAnsi="Times New Roman" w:cs="Times New Roman"/>
          <w:bCs/>
          <w:sz w:val="32"/>
          <w:szCs w:val="32"/>
        </w:rPr>
        <w:t>十一、</w:t>
      </w:r>
      <w:r>
        <w:rPr>
          <w:rFonts w:ascii="Times New Roman" w:hAnsi="Times New Roman" w:cs="Times New Roman"/>
          <w:bCs/>
          <w:sz w:val="32"/>
          <w:szCs w:val="32"/>
          <w:highlight w:val="none"/>
        </w:rPr>
        <w:t>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政府采购支出</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w:t>
      </w:r>
      <w:r>
        <w:rPr>
          <w:rFonts w:ascii="Times New Roman" w:hAnsi="Times New Roman" w:cs="Times New Roman"/>
          <w:bCs/>
          <w:color w:val="auto"/>
          <w:sz w:val="32"/>
          <w:szCs w:val="32"/>
          <w:highlight w:val="none"/>
        </w:rPr>
        <w:t>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w:t>
      </w:r>
      <w:r>
        <w:rPr>
          <w:rFonts w:ascii="Times New Roman" w:hAnsi="Times New Roman" w:eastAsia="楷体_GB2312" w:cs="Times New Roman"/>
          <w:b/>
          <w:bCs/>
          <w:sz w:val="32"/>
          <w:szCs w:val="32"/>
          <w:highlight w:val="none"/>
        </w:rPr>
        <w:t>绩效评价工作开展情况。</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overflowPunct w:val="0"/>
        <w:spacing w:line="600" w:lineRule="exact"/>
        <w:ind w:firstLine="640" w:firstLineChars="200"/>
        <w:rPr>
          <w:rFonts w:hint="eastAsia" w:ascii="Times New Roman" w:hAnsi="Times New Roman" w:eastAsia="仿宋_GB2312" w:cs="Times New Roman"/>
          <w:bCs/>
          <w:sz w:val="32"/>
          <w:szCs w:val="32"/>
          <w:lang w:eastAsia="zh-CN"/>
        </w:rPr>
      </w:pPr>
      <w:bookmarkStart w:id="4" w:name="_GoBack"/>
      <w:bookmarkEnd w:id="4"/>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1901.80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1901.80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91.09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三公经费合理减少支出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总体决算数未超过预算数</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会计人员较缺乏，</w:t>
      </w:r>
      <w:r>
        <w:rPr>
          <w:rFonts w:hint="eastAsia" w:ascii="Times New Roman" w:hAnsi="Times New Roman" w:eastAsia="仿宋_GB2312" w:cs="Times New Roman"/>
          <w:sz w:val="32"/>
          <w:szCs w:val="32"/>
          <w:lang w:eastAsia="zh-CN"/>
        </w:rPr>
        <w:t>工作开展受限</w:t>
      </w:r>
      <w:r>
        <w:rPr>
          <w:rFonts w:hint="eastAsia" w:ascii="Times New Roman" w:hAnsi="Times New Roman" w:eastAsia="仿宋_GB2312" w:cs="Times New Roman"/>
          <w:sz w:val="32"/>
          <w:szCs w:val="32"/>
        </w:rPr>
        <w:t>，机制建立存在部分不足。</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highlight w:val="none"/>
        </w:rPr>
        <w:t>缺少高质高量的培训，需要大量时间进行熟悉</w:t>
      </w:r>
      <w:r>
        <w:rPr>
          <w:rFonts w:hint="eastAsia" w:ascii="Times New Roman" w:hAnsi="Times New Roman" w:eastAsia="仿宋_GB2312" w:cs="Times New Roman"/>
          <w:sz w:val="32"/>
          <w:szCs w:val="32"/>
          <w:highlight w:val="none"/>
          <w:lang w:eastAsia="zh-CN"/>
        </w:rPr>
        <w:t>操作</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规范账务处理，提高财务信息质量 。严格按照《会计法》、《行政单位会计制度》、《行政单位财务规则》等规定执行财务核算，并结合实际情况，完整、准确地披露相关信息，做到决算与预算相衔接</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落实管理制度，进一步加强接待管理。按照《道县党政机关公务接待管理实施细则》的加强接待管理工作，对被接待单位人员要及时索取接待函，对存在的问题认真进行整改</w:t>
      </w:r>
      <w:r>
        <w:rPr>
          <w:rFonts w:hint="eastAsia" w:ascii="Times New Roman" w:hAnsi="Times New Roman" w:eastAsia="仿宋_GB2312" w:cs="Times New Roman"/>
          <w:sz w:val="32"/>
          <w:szCs w:val="32"/>
          <w:lang w:eastAsia="zh-CN"/>
        </w:rPr>
        <w:t>；三是加强会计机构队伍建设按照《中华人民共和国会计法》要求建立会计机关，配备齐会计人员，做到不相容岗位分设，加强会计监督；四是会计人员自身严格遵照规定制度实施工作，落实好基层资金合规使用要求。</w:t>
      </w:r>
    </w:p>
    <w:p>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根据《会计法》、《预算法》、《行政单位会计制度》等法律和财政部及省财政厅有关财务规章的规定，乡政府先后制订了《财务管理制度》、《清塘镇政府事处公务接待管理办法》、《清塘镇政府事处差旅费管理办法》等制度，制度明确了经费审批权限及程序，经费预算、核算管理、资产购置与处置、财务监督等，针对“三公”经费建立公用经费标准定额体系，开展公用经费使用监督和绩效评估，领导重视，干部参与，制度建立完善</w:t>
      </w:r>
      <w:r>
        <w:rPr>
          <w:rFonts w:ascii="Times New Roman" w:hAnsi="Times New Roman" w:eastAsia="仿宋_GB2312" w:cs="Times New Roman"/>
          <w:color w:val="auto"/>
          <w:sz w:val="32"/>
          <w:szCs w:val="32"/>
        </w:rPr>
        <w:t>。</w:t>
      </w: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widowControl/>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财政拨款收入：指单位本年度从同级财政部门取得的各类财政拨款。</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w:t>
      </w:r>
      <w:r>
        <w:rPr>
          <w:rFonts w:hint="eastAsia" w:ascii="Times New Roman" w:hAnsi="Times New Roman" w:eastAsia="仿宋_GB2312" w:cs="Times New Roman"/>
          <w:color w:val="000000"/>
          <w:kern w:val="0"/>
          <w:sz w:val="32"/>
          <w:szCs w:val="32"/>
        </w:rPr>
        <w:t>上级补助收入：指事业单位从主管部门和上级单位取得的非财政补助收入。</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三、</w:t>
      </w:r>
      <w:r>
        <w:rPr>
          <w:rFonts w:hint="eastAsia" w:ascii="Times New Roman" w:hAnsi="Times New Roman" w:eastAsia="仿宋_GB2312" w:cs="Times New Roman"/>
          <w:color w:val="000000"/>
          <w:kern w:val="0"/>
          <w:sz w:val="32"/>
          <w:szCs w:val="32"/>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ab/>
      </w:r>
      <w:r>
        <w:rPr>
          <w:rFonts w:hint="eastAsia" w:ascii="Times New Roman" w:hAnsi="Times New Roman" w:eastAsia="仿宋_GB2312" w:cs="Times New Roman"/>
          <w:color w:val="000000"/>
          <w:kern w:val="0"/>
          <w:sz w:val="32"/>
          <w:szCs w:val="32"/>
          <w:lang w:eastAsia="zh-CN"/>
        </w:rPr>
        <w:t>四、</w:t>
      </w:r>
      <w:r>
        <w:rPr>
          <w:rFonts w:hint="eastAsia" w:ascii="Times New Roman" w:hAnsi="Times New Roman" w:eastAsia="仿宋_GB2312" w:cs="Times New Roman"/>
          <w:color w:val="000000"/>
          <w:kern w:val="0"/>
          <w:sz w:val="32"/>
          <w:szCs w:val="32"/>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五、</w:t>
      </w:r>
      <w:r>
        <w:rPr>
          <w:rFonts w:hint="eastAsia" w:ascii="Times New Roman" w:hAnsi="Times New Roman" w:eastAsia="仿宋_GB2312" w:cs="Times New Roman"/>
          <w:color w:val="000000"/>
          <w:kern w:val="0"/>
          <w:sz w:val="32"/>
          <w:szCs w:val="32"/>
        </w:rPr>
        <w:t>对附属单位补助支出：指事业单位用财政拨款收入之外的收入对附属单位补助发生的支出。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六、</w:t>
      </w:r>
      <w:r>
        <w:rPr>
          <w:rFonts w:hint="eastAsia" w:ascii="Times New Roman" w:hAnsi="Times New Roman" w:eastAsia="仿宋_GB2312" w:cs="Times New Roman"/>
          <w:color w:val="000000"/>
          <w:kern w:val="0"/>
          <w:sz w:val="32"/>
          <w:szCs w:val="32"/>
        </w:rPr>
        <w:t>经营支出：指事业单位在专业业务活动及其辅助活动之外开展非独立核算经营活动发生的支出。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七、</w:t>
      </w:r>
      <w:r>
        <w:rPr>
          <w:rFonts w:hint="eastAsia" w:ascii="Times New Roman" w:hAnsi="Times New Roman" w:eastAsia="仿宋_GB2312" w:cs="Times New Roman"/>
          <w:color w:val="000000"/>
          <w:kern w:val="0"/>
          <w:sz w:val="32"/>
          <w:szCs w:val="32"/>
        </w:rPr>
        <w:t>上缴上级支出：指事业单位按照财政部门和主管部门的规定上缴上级单位的支出。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八、</w:t>
      </w:r>
      <w:r>
        <w:rPr>
          <w:rFonts w:hint="eastAsia" w:ascii="Times New Roman" w:hAnsi="Times New Roman" w:eastAsia="仿宋_GB2312" w:cs="Times New Roman"/>
          <w:color w:val="000000"/>
          <w:kern w:val="0"/>
          <w:sz w:val="32"/>
          <w:szCs w:val="32"/>
        </w:rPr>
        <w:t>项目支出：指在为完成特定的工作任务和事业发展目标所发生的支出。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九、</w:t>
      </w:r>
      <w:r>
        <w:rPr>
          <w:rFonts w:hint="eastAsia" w:ascii="Times New Roman" w:hAnsi="Times New Roman" w:eastAsia="仿宋_GB2312" w:cs="Times New Roman"/>
          <w:color w:val="000000"/>
          <w:kern w:val="0"/>
          <w:sz w:val="32"/>
          <w:szCs w:val="32"/>
        </w:rPr>
        <w:t>基本支出：指为保障机构正常运转、完成日常工作任务而发生的支出，包括人员经费和公用经费。</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hint="eastAsia" w:ascii="Times New Roman" w:hAnsi="Times New Roman" w:eastAsia="仿宋_GB2312" w:cs="Times New Roman"/>
          <w:color w:val="000000"/>
          <w:kern w:val="0"/>
          <w:sz w:val="32"/>
          <w:szCs w:val="32"/>
        </w:rPr>
        <w:t>年末结转和结余资金：指本年度或以前年度预算安排、因客观条件发生变化无法按原计划实施，需要延迟到以后年度按有关规定继续使用的资金。</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十一、</w:t>
      </w:r>
      <w:r>
        <w:rPr>
          <w:rFonts w:hint="eastAsia" w:ascii="Times New Roman" w:hAnsi="Times New Roman" w:eastAsia="仿宋_GB2312" w:cs="Times New Roman"/>
          <w:color w:val="000000"/>
          <w:kern w:val="0"/>
          <w:sz w:val="32"/>
          <w:szCs w:val="32"/>
        </w:rPr>
        <w:t>结余分配：指事业单位按规定对非财政拨款结余资金提取的专用基金、缴纳的所得税和转入非财政拨款结余等。</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十二、</w:t>
      </w:r>
      <w:r>
        <w:rPr>
          <w:rFonts w:hint="eastAsia" w:ascii="Times New Roman" w:hAnsi="Times New Roman" w:eastAsia="仿宋_GB2312" w:cs="Times New Roman"/>
          <w:color w:val="000000"/>
          <w:kern w:val="0"/>
          <w:sz w:val="32"/>
          <w:szCs w:val="32"/>
        </w:rPr>
        <w:t>年初结转和结余：指单位上年结转本年使用的基本支出结转、项目支出结转和结余和经营结余。</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十三、</w:t>
      </w:r>
      <w:r>
        <w:rPr>
          <w:rFonts w:hint="eastAsia" w:ascii="Times New Roman" w:hAnsi="Times New Roman" w:eastAsia="仿宋_GB2312" w:cs="Times New Roman"/>
          <w:color w:val="000000"/>
          <w:kern w:val="0"/>
          <w:sz w:val="32"/>
          <w:szCs w:val="32"/>
        </w:rPr>
        <w:t>使用非财政拨款结余：指事业单位使用非财政拨款结余（原事业基金）弥补当年收支差额的数额。</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十四、</w:t>
      </w:r>
      <w:r>
        <w:rPr>
          <w:rFonts w:hint="eastAsia" w:ascii="Times New Roman" w:hAnsi="Times New Roman" w:eastAsia="仿宋_GB2312" w:cs="Times New Roman"/>
          <w:color w:val="000000"/>
          <w:kern w:val="0"/>
          <w:sz w:val="32"/>
          <w:szCs w:val="32"/>
        </w:rPr>
        <w:t>其他收入：指单位取得的除上述“财政拨款收入”、“事业收入”、“经营收入”等以外的各项收入。</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十五、</w:t>
      </w:r>
      <w:r>
        <w:rPr>
          <w:rFonts w:hint="eastAsia" w:ascii="Times New Roman" w:hAnsi="Times New Roman" w:eastAsia="仿宋_GB2312" w:cs="Times New Roman"/>
          <w:color w:val="000000"/>
          <w:kern w:val="0"/>
          <w:sz w:val="32"/>
          <w:szCs w:val="32"/>
        </w:rPr>
        <w:t>事业收入：指事业单位开展专业业务活动及其辅助活动取得的收入，事业单位收到的财政专户实际核拨的教育收费等资金在此反映。</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十六、</w:t>
      </w:r>
      <w:r>
        <w:rPr>
          <w:rFonts w:hint="eastAsia" w:ascii="Times New Roman" w:hAnsi="Times New Roman" w:eastAsia="仿宋_GB2312" w:cs="Times New Roman"/>
          <w:color w:val="000000"/>
          <w:kern w:val="0"/>
          <w:sz w:val="32"/>
          <w:szCs w:val="32"/>
        </w:rPr>
        <w:t>经营收入：指事业单位在专业业务活动及其辅助活动之外开展非独立核算经营活动取得的收入。</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十七、</w:t>
      </w:r>
      <w:r>
        <w:rPr>
          <w:rFonts w:hint="eastAsia" w:ascii="Times New Roman" w:hAnsi="Times New Roman" w:eastAsia="仿宋_GB2312" w:cs="Times New Roman"/>
          <w:color w:val="000000"/>
          <w:kern w:val="0"/>
          <w:sz w:val="32"/>
          <w:szCs w:val="32"/>
        </w:rPr>
        <w:t>附属单位上缴收入：指事业单位附属独立核算单位按照有关规定上缴的收入。</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十八、</w:t>
      </w:r>
      <w:r>
        <w:rPr>
          <w:rFonts w:hint="eastAsia" w:ascii="Times New Roman" w:hAnsi="Times New Roman" w:eastAsia="仿宋_GB2312" w:cs="Times New Roman"/>
          <w:color w:val="000000"/>
          <w:kern w:val="0"/>
          <w:sz w:val="32"/>
          <w:szCs w:val="32"/>
        </w:rPr>
        <w:t>一般公共服务支出（类）人大事务（款）其他人大事务支出（项）：反映除上述项目以外的其他人大事务支出。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十九、</w:t>
      </w:r>
      <w:r>
        <w:rPr>
          <w:rFonts w:hint="eastAsia" w:ascii="Times New Roman" w:hAnsi="Times New Roman" w:eastAsia="仿宋_GB2312" w:cs="Times New Roman"/>
          <w:color w:val="000000"/>
          <w:kern w:val="0"/>
          <w:sz w:val="32"/>
          <w:szCs w:val="32"/>
        </w:rPr>
        <w:t>一般公共服务支出（类）政府办公厅（室）及相关机构事务（款）行政运行（项）：反映行政单位（包括实行公务员管理的事业单位）的基本 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w:t>
      </w:r>
      <w:r>
        <w:rPr>
          <w:rFonts w:hint="eastAsia" w:ascii="Times New Roman" w:hAnsi="Times New Roman" w:eastAsia="仿宋_GB2312" w:cs="Times New Roman"/>
          <w:color w:val="000000"/>
          <w:kern w:val="0"/>
          <w:sz w:val="32"/>
          <w:szCs w:val="32"/>
        </w:rPr>
        <w:t>一般公共服务支出（类）政府办公厅（室）及相关机构事务（款）其他政府办公厅（室）及相关机构事务支出（项）：反映除上述项目以外的其他政府办公厅（室）及相关机构事 务支出。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二十一、</w:t>
      </w:r>
      <w:r>
        <w:rPr>
          <w:rFonts w:hint="eastAsia" w:ascii="Times New Roman" w:hAnsi="Times New Roman" w:eastAsia="仿宋_GB2312" w:cs="Times New Roman"/>
          <w:color w:val="000000"/>
          <w:kern w:val="0"/>
          <w:sz w:val="32"/>
          <w:szCs w:val="32"/>
        </w:rPr>
        <w:t>一般公共服务支出（类）纪检监察事务（款）其他纪检监察事务支出（项）：反映除上述项目以外其他纪检监察事务方面的支出。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二十二、</w:t>
      </w:r>
      <w:r>
        <w:rPr>
          <w:rFonts w:hint="eastAsia" w:ascii="Times New Roman" w:hAnsi="Times New Roman" w:eastAsia="仿宋_GB2312" w:cs="Times New Roman"/>
          <w:color w:val="000000"/>
          <w:kern w:val="0"/>
          <w:sz w:val="32"/>
          <w:szCs w:val="32"/>
        </w:rPr>
        <w:t>一般公共服务支出（类）群众团体事务（款）其他群众团体事务支出（项）：反映除上述项目以外其他用于群众团体事务方面的支出。</w:t>
      </w:r>
    </w:p>
    <w:p>
      <w:pPr>
        <w:widowControl/>
        <w:ind w:firstLine="640" w:firstLineChars="200"/>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二十三、</w:t>
      </w:r>
      <w:r>
        <w:rPr>
          <w:rFonts w:hint="eastAsia" w:ascii="Times New Roman" w:hAnsi="Times New Roman" w:eastAsia="仿宋_GB2312" w:cs="Times New Roman"/>
          <w:color w:val="000000"/>
          <w:kern w:val="0"/>
          <w:sz w:val="32"/>
          <w:szCs w:val="32"/>
        </w:rPr>
        <w:t>一般公共服务支出（类）其他一般公共服务支出（款）其他一般公共服务支出（项）：反映除上述项目以外的其他一般公共服务支出</w:t>
      </w:r>
      <w:r>
        <w:rPr>
          <w:rFonts w:hint="eastAsia" w:ascii="Times New Roman" w:hAnsi="Times New Roman" w:eastAsia="仿宋_GB2312" w:cs="Times New Roman"/>
          <w:color w:val="000000"/>
          <w:kern w:val="0"/>
          <w:sz w:val="32"/>
          <w:szCs w:val="32"/>
          <w:lang w:eastAsia="zh-CN"/>
        </w:rPr>
        <w:t>。</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二十四、</w:t>
      </w:r>
      <w:r>
        <w:rPr>
          <w:rFonts w:hint="eastAsia" w:ascii="Times New Roman" w:hAnsi="Times New Roman" w:eastAsia="仿宋_GB2312" w:cs="Times New Roman"/>
          <w:color w:val="000000"/>
          <w:kern w:val="0"/>
          <w:sz w:val="32"/>
          <w:szCs w:val="32"/>
        </w:rPr>
        <w:t>社会保障和就业支出（类）行政事业单位养老支出（款）机关事业单位基本养老保险缴费支出（项）：反映机关事业单位实施养老保险制度由单位缴纳的基本养老保险费支出。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二十五、</w:t>
      </w:r>
      <w:r>
        <w:rPr>
          <w:rFonts w:hint="eastAsia" w:ascii="Times New Roman" w:hAnsi="Times New Roman" w:eastAsia="仿宋_GB2312" w:cs="Times New Roman"/>
          <w:color w:val="000000"/>
          <w:kern w:val="0"/>
          <w:sz w:val="32"/>
          <w:szCs w:val="32"/>
        </w:rPr>
        <w:t>社会保障和就业支出（类）抚恤（款）死亡抚恤（项）：反映按规定用于烈士和牺牲、病故人员家属的一次性和定期 抚恤金、丧葬补助费以及烈士褒扬金。</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二十六、</w:t>
      </w:r>
      <w:r>
        <w:rPr>
          <w:rFonts w:hint="eastAsia" w:ascii="Times New Roman" w:hAnsi="Times New Roman" w:eastAsia="仿宋_GB2312" w:cs="Times New Roman"/>
          <w:color w:val="000000"/>
          <w:kern w:val="0"/>
          <w:sz w:val="32"/>
          <w:szCs w:val="32"/>
        </w:rPr>
        <w:t>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二十七、</w:t>
      </w:r>
      <w:r>
        <w:rPr>
          <w:rFonts w:hint="eastAsia" w:ascii="Times New Roman" w:hAnsi="Times New Roman" w:eastAsia="仿宋_GB2312" w:cs="Times New Roman"/>
          <w:color w:val="000000"/>
          <w:kern w:val="0"/>
          <w:sz w:val="32"/>
          <w:szCs w:val="32"/>
        </w:rPr>
        <w:t>农林水支出（类）巩固脱贫衔接乡村振兴（款）其他巩固脱贫衔接乡村振兴支出（项）：反映除上述项目以外其他用于巩固拓展脱贫攻坚成果同乡村</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二十八、</w:t>
      </w:r>
      <w:r>
        <w:rPr>
          <w:rFonts w:hint="eastAsia" w:ascii="Times New Roman" w:hAnsi="Times New Roman" w:eastAsia="仿宋_GB2312" w:cs="Times New Roman"/>
          <w:color w:val="000000"/>
          <w:kern w:val="0"/>
          <w:sz w:val="32"/>
          <w:szCs w:val="32"/>
        </w:rPr>
        <w:t>农林水支出（类）农村综合改革（款）对村级公益事业建设的补助（项）：反映农村综合改革方面的支出。</w:t>
      </w:r>
    </w:p>
    <w:p>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二十九、</w:t>
      </w:r>
      <w:r>
        <w:rPr>
          <w:rFonts w:hint="eastAsia" w:ascii="Times New Roman" w:hAnsi="Times New Roman" w:eastAsia="仿宋_GB2312" w:cs="Times New Roman"/>
          <w:color w:val="000000"/>
          <w:kern w:val="0"/>
          <w:sz w:val="32"/>
          <w:szCs w:val="32"/>
        </w:rPr>
        <w:t>农林水支出（类）农村综合改革（款）对村民委员会和村党支部的补助（项）：反映各级财政对村民委员会和村党支部的补助支出，以及支持建立县级基本财力保障机制安排的村级组织运转奖补资金。</w:t>
      </w:r>
    </w:p>
    <w:p>
      <w:pPr>
        <w:widowControl/>
        <w:ind w:firstLine="640" w:firstLineChars="200"/>
        <w:jc w:val="left"/>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lang w:eastAsia="zh-CN"/>
        </w:rPr>
        <w:t>三十、</w:t>
      </w:r>
      <w:r>
        <w:rPr>
          <w:rFonts w:hint="eastAsia" w:ascii="Times New Roman" w:hAnsi="Times New Roman" w:eastAsia="仿宋_GB2312" w:cs="Times New Roman"/>
          <w:color w:val="000000"/>
          <w:kern w:val="0"/>
          <w:sz w:val="32"/>
          <w:szCs w:val="32"/>
        </w:rPr>
        <w:t>灾害防治及应急管理支出（类）自然灾害防治（款）森林草原防灾减灾（项）：反映防治森林草原火灾、自然水呈灾害等发生的支出。</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C7A40"/>
    <w:multiLevelType w:val="singleLevel"/>
    <w:tmpl w:val="230C7A4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636457"/>
    <w:rsid w:val="027A4199"/>
    <w:rsid w:val="03231B8D"/>
    <w:rsid w:val="034F740A"/>
    <w:rsid w:val="04960037"/>
    <w:rsid w:val="04C00FB9"/>
    <w:rsid w:val="04CE2A73"/>
    <w:rsid w:val="060B572E"/>
    <w:rsid w:val="07246D37"/>
    <w:rsid w:val="07C11F02"/>
    <w:rsid w:val="09D6004F"/>
    <w:rsid w:val="0A584601"/>
    <w:rsid w:val="0C4E5305"/>
    <w:rsid w:val="0DF117BB"/>
    <w:rsid w:val="0E6C06AC"/>
    <w:rsid w:val="0F6B536B"/>
    <w:rsid w:val="10A6533C"/>
    <w:rsid w:val="120B76A1"/>
    <w:rsid w:val="13BC71A4"/>
    <w:rsid w:val="18356299"/>
    <w:rsid w:val="18EA0A96"/>
    <w:rsid w:val="1B8639D8"/>
    <w:rsid w:val="1D97DEFF"/>
    <w:rsid w:val="1DFF72E5"/>
    <w:rsid w:val="1EA8257A"/>
    <w:rsid w:val="1EFC6F07"/>
    <w:rsid w:val="20092BCA"/>
    <w:rsid w:val="23E76EA7"/>
    <w:rsid w:val="245C350A"/>
    <w:rsid w:val="27903735"/>
    <w:rsid w:val="28217689"/>
    <w:rsid w:val="2C8E7808"/>
    <w:rsid w:val="2FCD71EC"/>
    <w:rsid w:val="2FDF85B8"/>
    <w:rsid w:val="2FFFEE04"/>
    <w:rsid w:val="300B1B32"/>
    <w:rsid w:val="33C355B2"/>
    <w:rsid w:val="34DF85B0"/>
    <w:rsid w:val="38E227BD"/>
    <w:rsid w:val="3B8F36BC"/>
    <w:rsid w:val="3BF971A0"/>
    <w:rsid w:val="3C96192C"/>
    <w:rsid w:val="3CFF138D"/>
    <w:rsid w:val="3DC4274A"/>
    <w:rsid w:val="3EEE5BC5"/>
    <w:rsid w:val="3FA63B4F"/>
    <w:rsid w:val="40BF5C4B"/>
    <w:rsid w:val="410E685F"/>
    <w:rsid w:val="42653D3F"/>
    <w:rsid w:val="44AC1FCD"/>
    <w:rsid w:val="459574BE"/>
    <w:rsid w:val="491FF225"/>
    <w:rsid w:val="4BFB2093"/>
    <w:rsid w:val="4C162EF7"/>
    <w:rsid w:val="4E3657FF"/>
    <w:rsid w:val="4F5823CF"/>
    <w:rsid w:val="4FFD214C"/>
    <w:rsid w:val="552E1341"/>
    <w:rsid w:val="554D14DB"/>
    <w:rsid w:val="5777D4F5"/>
    <w:rsid w:val="59DD8326"/>
    <w:rsid w:val="5AA20FC8"/>
    <w:rsid w:val="5C940F17"/>
    <w:rsid w:val="5CE519CD"/>
    <w:rsid w:val="5D121417"/>
    <w:rsid w:val="5D3A399B"/>
    <w:rsid w:val="5D5927BB"/>
    <w:rsid w:val="5DEF592A"/>
    <w:rsid w:val="5FC6BB1E"/>
    <w:rsid w:val="5FF720F1"/>
    <w:rsid w:val="65BD6458"/>
    <w:rsid w:val="67FF5C0B"/>
    <w:rsid w:val="69EA75BC"/>
    <w:rsid w:val="6CBC5A71"/>
    <w:rsid w:val="6D206F74"/>
    <w:rsid w:val="6EA07417"/>
    <w:rsid w:val="6EFC0924"/>
    <w:rsid w:val="6F075249"/>
    <w:rsid w:val="6FB74722"/>
    <w:rsid w:val="6FCE053A"/>
    <w:rsid w:val="6FEF8B7E"/>
    <w:rsid w:val="70454CDF"/>
    <w:rsid w:val="71A6591B"/>
    <w:rsid w:val="737D59BA"/>
    <w:rsid w:val="76D4073F"/>
    <w:rsid w:val="77C37683"/>
    <w:rsid w:val="791C7D36"/>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6599</Words>
  <Characters>7524</Characters>
  <Lines>69</Lines>
  <Paragraphs>19</Paragraphs>
  <TotalTime>7</TotalTime>
  <ScaleCrop>false</ScaleCrop>
  <LinksUpToDate>false</LinksUpToDate>
  <CharactersWithSpaces>8843</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lenovo</cp:lastModifiedBy>
  <cp:lastPrinted>2026-09-03T01:52:00Z</cp:lastPrinted>
  <dcterms:modified xsi:type="dcterms:W3CDTF">2026-09-08T03:34:20Z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y fmtid="{D5CDD505-2E9C-101B-9397-08002B2CF9AE}" pid="3" name="ICV">
    <vt:lpwstr>B2F57AE50CD94CD5847BCE18C5D82DC4_13</vt:lpwstr>
  </property>
</Properties>
</file>