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6"/>
        <w:jc w:val="center"/>
        <w:rPr>
          <w:sz w:val="56"/>
          <w:szCs w:val="56"/>
        </w:rPr>
      </w:pPr>
    </w:p>
    <w:p>
      <w:pPr>
        <w:pStyle w:val="16"/>
        <w:jc w:val="center"/>
        <w:rPr>
          <w:sz w:val="84"/>
          <w:szCs w:val="84"/>
        </w:rPr>
      </w:pPr>
    </w:p>
    <w:p>
      <w:pPr>
        <w:pStyle w:val="16"/>
        <w:jc w:val="center"/>
        <w:rPr>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中国人民政治协商会议湖南省道县委员会</w:t>
      </w:r>
      <w:r>
        <w:rPr>
          <w:rFonts w:hint="eastAsia" w:ascii="方正小标宋_GBK" w:hAnsi="方正小标宋_GBK" w:eastAsia="方正小标宋_GBK" w:cs="方正小标宋_GBK"/>
          <w:sz w:val="84"/>
          <w:szCs w:val="84"/>
        </w:rPr>
        <w:t>部门决算</w:t>
      </w:r>
    </w:p>
    <w:p>
      <w:pPr>
        <w:pStyle w:val="16"/>
        <w:jc w:val="center"/>
        <w:rPr>
          <w:rFonts w:hint="eastAsia" w:ascii="方正小标宋_GBK" w:hAnsi="方正小标宋_GBK" w:eastAsia="方正小标宋_GBK" w:cs="方正小标宋_GBK"/>
          <w:sz w:val="56"/>
          <w:szCs w:val="56"/>
        </w:rPr>
      </w:pPr>
    </w:p>
    <w:p>
      <w:pPr>
        <w:pStyle w:val="16"/>
        <w:jc w:val="center"/>
        <w:rPr>
          <w:sz w:val="56"/>
          <w:szCs w:val="56"/>
        </w:rPr>
      </w:pPr>
    </w:p>
    <w:p>
      <w:pPr>
        <w:pStyle w:val="16"/>
        <w:jc w:val="center"/>
        <w:rPr>
          <w:sz w:val="56"/>
          <w:szCs w:val="56"/>
        </w:rPr>
      </w:pPr>
    </w:p>
    <w:p>
      <w:pPr>
        <w:pStyle w:val="16"/>
        <w:jc w:val="center"/>
        <w:rPr>
          <w:sz w:val="56"/>
          <w:szCs w:val="56"/>
        </w:rPr>
      </w:pPr>
    </w:p>
    <w:p>
      <w:pPr>
        <w:pStyle w:val="16"/>
        <w:jc w:val="center"/>
        <w:rPr>
          <w:sz w:val="32"/>
          <w:szCs w:val="32"/>
        </w:rPr>
      </w:pPr>
    </w:p>
    <w:p>
      <w:pPr>
        <w:pStyle w:val="16"/>
        <w:jc w:val="center"/>
        <w:rPr>
          <w:sz w:val="32"/>
          <w:szCs w:val="32"/>
        </w:rPr>
      </w:pPr>
    </w:p>
    <w:p>
      <w:pPr>
        <w:pStyle w:val="16"/>
        <w:jc w:val="center"/>
        <w:rPr>
          <w:sz w:val="32"/>
          <w:szCs w:val="32"/>
        </w:rPr>
      </w:pPr>
    </w:p>
    <w:p>
      <w:pPr>
        <w:pStyle w:val="16"/>
        <w:spacing w:line="500" w:lineRule="exact"/>
        <w:jc w:val="both"/>
        <w:rPr>
          <w:b/>
          <w:sz w:val="36"/>
          <w:szCs w:val="28"/>
        </w:rPr>
      </w:pPr>
    </w:p>
    <w:p>
      <w:pPr>
        <w:pStyle w:val="16"/>
        <w:spacing w:line="500" w:lineRule="exact"/>
        <w:jc w:val="center"/>
        <w:rPr>
          <w:b/>
          <w:sz w:val="36"/>
          <w:szCs w:val="28"/>
        </w:rPr>
      </w:pPr>
      <w:r>
        <w:rPr>
          <w:rFonts w:hint="eastAsia"/>
          <w:b/>
          <w:sz w:val="36"/>
          <w:szCs w:val="28"/>
        </w:rPr>
        <w:t>目录</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中国人民政治协商会议湖南省道县委员会单位</w:t>
      </w:r>
      <w:r>
        <w:rPr>
          <w:rFonts w:hint="eastAsia" w:ascii="黑体" w:hAnsi="黑体" w:eastAsia="黑体" w:cs="黑体"/>
          <w:b w:val="0"/>
          <w:bCs/>
          <w:sz w:val="28"/>
          <w:szCs w:val="28"/>
        </w:rPr>
        <w:t>概况</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6"/>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6"/>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pStyle w:val="8"/>
        <w:rPr>
          <w:rFonts w:hint="eastAsia"/>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中国人民政治协商会议湖南省道县委员会</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both"/>
        <w:rPr>
          <w:sz w:val="72"/>
          <w:szCs w:val="72"/>
        </w:rPr>
      </w:pPr>
    </w:p>
    <w:p>
      <w:pPr>
        <w:pStyle w:val="17"/>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(一)负责县政协全体会议、常务委员会议、主席办公会议、常务委员专题座谈会和专门委员会的会务工作，负责上述会议所形成的决议、决定、建议案的组织实施</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(二)协调县政协各专门委员会的工作，充分发挥政协委员的作用，履行好政治协商、民主监督、参政议政的基本职能</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（三)负责县政协委员进行视察、参观、调查、座谈</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学习、研讨等日常活动的服务和具体组织工作，受市政协的委托，组织在道县的市政协委员进行视察活动</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(四)研究统一战线和人民政协的理论、政策，调查研究地方政协的共同性问题及其解决办法，供领导参考</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(五)宣传人民政协的方针政策、工作业绩和经验以及政协委员的先进事迹，收集和反映县政协委员和各界人士的意见与建议，综合反映社情民意。</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(六)联系各民主党派、工商联、各人民团体和无党派</w:t>
      </w:r>
    </w:p>
    <w:p>
      <w:pPr>
        <w:keepNext w:val="0"/>
        <w:keepLines w:val="0"/>
        <w:widowControl/>
        <w:suppressLineNumbers w:val="0"/>
        <w:pBdr>
          <w:top w:val="none" w:color="auto" w:sz="0" w:space="0"/>
          <w:left w:val="none" w:color="auto" w:sz="0" w:space="0"/>
          <w:bottom w:val="none" w:color="auto" w:sz="0" w:space="0"/>
          <w:right w:val="none" w:color="auto" w:sz="0" w:space="0"/>
        </w:pBdr>
        <w:ind w:lef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人士，联系县直有关部门，互通信息，协调工作，加强合作。</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ind w:left="0" w:firstLine="640" w:firstLineChars="200"/>
        <w:jc w:val="left"/>
        <w:rPr>
          <w:rFonts w:hint="eastAsia" w:ascii="仿宋_GB2312" w:hAnsi="仿宋_GB2312" w:eastAsia="仿宋_GB2312" w:cs="仿宋_GB2312"/>
          <w:i w:val="0"/>
          <w:caps w:val="0"/>
          <w:color w:val="333333"/>
          <w:spacing w:val="0"/>
          <w:kern w:val="0"/>
          <w:sz w:val="32"/>
          <w:szCs w:val="32"/>
          <w:lang w:val="en-US" w:eastAsia="zh-CN" w:bidi="ar"/>
        </w:rPr>
      </w:pPr>
      <w:r>
        <w:rPr>
          <w:rFonts w:hint="eastAsia" w:ascii="仿宋_GB2312" w:hAnsi="仿宋_GB2312" w:eastAsia="仿宋_GB2312" w:cs="仿宋_GB2312"/>
          <w:i w:val="0"/>
          <w:caps w:val="0"/>
          <w:color w:val="333333"/>
          <w:spacing w:val="0"/>
          <w:kern w:val="0"/>
          <w:sz w:val="32"/>
          <w:szCs w:val="32"/>
          <w:lang w:val="en-US" w:eastAsia="zh-CN" w:bidi="ar"/>
        </w:rPr>
        <w:t>负责县政协开展各项活动的有关后勤服务管理工作和县政协机关行政事务管理工作。</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ind w:leftChars="200" w:firstLine="320" w:firstLineChars="100"/>
        <w:jc w:val="left"/>
        <w:rPr>
          <w:rFonts w:hint="eastAsia" w:ascii="仿宋_GB2312" w:hAnsi="仿宋_GB2312" w:eastAsia="仿宋_GB2312" w:cs="仿宋_GB2312"/>
          <w:i w:val="0"/>
          <w:caps w:val="0"/>
          <w:color w:val="333333"/>
          <w:spacing w:val="0"/>
          <w:kern w:val="0"/>
          <w:sz w:val="32"/>
          <w:szCs w:val="32"/>
          <w:lang w:val="en-US" w:eastAsia="zh-CN" w:bidi="ar"/>
        </w:rPr>
      </w:pPr>
      <w:r>
        <w:rPr>
          <w:rFonts w:hint="eastAsia" w:ascii="仿宋_GB2312" w:hAnsi="仿宋_GB2312" w:eastAsia="仿宋_GB2312" w:cs="仿宋_GB2312"/>
          <w:i w:val="0"/>
          <w:caps w:val="0"/>
          <w:color w:val="333333"/>
          <w:spacing w:val="0"/>
          <w:kern w:val="0"/>
          <w:sz w:val="32"/>
          <w:szCs w:val="32"/>
          <w:lang w:val="en-US" w:eastAsia="zh-CN" w:bidi="ar"/>
        </w:rPr>
        <w:t>(八)负责权限范围内的人事任免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200"/>
        </w:tabs>
        <w:ind w:left="0" w:leftChars="0" w:firstLine="736" w:firstLineChars="230"/>
        <w:jc w:val="left"/>
        <w:rPr>
          <w:rFonts w:hint="eastAsia" w:ascii="仿宋_GB2312" w:hAnsi="仿宋_GB2312" w:eastAsia="仿宋_GB2312" w:cs="仿宋_GB2312"/>
          <w:i w:val="0"/>
          <w:caps w:val="0"/>
          <w:color w:val="333333"/>
          <w:spacing w:val="0"/>
          <w:kern w:val="0"/>
          <w:sz w:val="32"/>
          <w:szCs w:val="32"/>
          <w:lang w:val="en-US" w:eastAsia="zh-CN" w:bidi="ar"/>
        </w:rPr>
      </w:pPr>
      <w:r>
        <w:rPr>
          <w:rFonts w:hint="eastAsia" w:ascii="仿宋_GB2312" w:hAnsi="仿宋_GB2312" w:eastAsia="仿宋_GB2312" w:cs="仿宋_GB2312"/>
          <w:i w:val="0"/>
          <w:caps w:val="0"/>
          <w:color w:val="333333"/>
          <w:spacing w:val="0"/>
          <w:kern w:val="0"/>
          <w:sz w:val="32"/>
          <w:szCs w:val="32"/>
          <w:lang w:val="en-US" w:eastAsia="zh-CN" w:bidi="ar"/>
        </w:rPr>
        <w:t>(九)负责接待来道县访问的海内外有关友好人士和对外联谊工作。</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ind w:left="0" w:leftChars="0" w:firstLine="736" w:firstLineChars="230"/>
        <w:jc w:val="left"/>
        <w:rPr>
          <w:rFonts w:hint="eastAsia" w:ascii="黑体" w:hAnsi="黑体" w:eastAsia="黑体" w:cs="黑体"/>
          <w:b w:val="0"/>
          <w:bCs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(十)承办县委、县政协主席、副主席交办的其它事项。</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line="520" w:lineRule="exact"/>
        <w:ind w:firstLine="643" w:firstLineChars="200"/>
        <w:rPr>
          <w:rFonts w:ascii="仿宋" w:hAnsi="仿宋" w:eastAsia="仿宋"/>
          <w:sz w:val="32"/>
        </w:rPr>
      </w:pPr>
      <w:r>
        <w:rPr>
          <w:rFonts w:hint="eastAsia" w:ascii="仿宋" w:hAnsi="仿宋" w:eastAsia="仿宋"/>
          <w:b/>
          <w:sz w:val="32"/>
          <w:lang w:eastAsia="zh-CN"/>
        </w:rPr>
        <w:t>（一）</w:t>
      </w:r>
      <w:r>
        <w:rPr>
          <w:rFonts w:hint="eastAsia" w:ascii="仿宋" w:hAnsi="仿宋" w:eastAsia="仿宋"/>
          <w:b/>
          <w:sz w:val="32"/>
        </w:rPr>
        <w:t>机构</w:t>
      </w:r>
      <w:r>
        <w:rPr>
          <w:rFonts w:hint="eastAsia" w:ascii="仿宋" w:hAnsi="仿宋" w:eastAsia="仿宋"/>
          <w:b/>
          <w:sz w:val="32"/>
          <w:lang w:eastAsia="zh-CN"/>
        </w:rPr>
        <w:t>、人员</w:t>
      </w:r>
      <w:r>
        <w:rPr>
          <w:rFonts w:hint="eastAsia" w:ascii="仿宋" w:hAnsi="仿宋" w:eastAsia="仿宋"/>
          <w:b/>
          <w:sz w:val="32"/>
        </w:rPr>
        <w:t>情况</w:t>
      </w:r>
    </w:p>
    <w:p>
      <w:pPr>
        <w:spacing w:line="520" w:lineRule="exact"/>
        <w:ind w:firstLine="643"/>
        <w:rPr>
          <w:rFonts w:eastAsia="仿宋_GB2312"/>
          <w:sz w:val="32"/>
          <w:szCs w:val="32"/>
        </w:rPr>
      </w:pPr>
      <w:r>
        <w:rPr>
          <w:rFonts w:hint="eastAsia" w:ascii="Times New Roman" w:hAnsi="Times New Roman" w:eastAsia="仿宋_GB2312" w:cs="仿宋_GB2312"/>
          <w:bCs/>
          <w:kern w:val="0"/>
          <w:sz w:val="32"/>
          <w:szCs w:val="32"/>
        </w:rPr>
        <w:t>内设机构设置。</w:t>
      </w:r>
      <w:r>
        <w:rPr>
          <w:rFonts w:hint="eastAsia" w:ascii="仿宋_GB2312" w:hAnsi="仿宋_GB2312" w:eastAsia="仿宋_GB2312" w:cs="仿宋_GB2312"/>
          <w:i w:val="0"/>
          <w:caps w:val="0"/>
          <w:color w:val="333333"/>
          <w:spacing w:val="0"/>
          <w:kern w:val="0"/>
          <w:sz w:val="32"/>
          <w:szCs w:val="32"/>
          <w:lang w:val="en-US" w:eastAsia="zh-CN" w:bidi="ar"/>
        </w:rPr>
        <w:t>县政协为正处级单位，内设六委一室一政协云中心。</w:t>
      </w:r>
      <w:r>
        <w:rPr>
          <w:rFonts w:hint="eastAsia" w:ascii="仿宋" w:hAnsi="仿宋" w:eastAsia="仿宋"/>
          <w:b/>
          <w:sz w:val="32"/>
        </w:rPr>
        <w:t xml:space="preserve"> </w:t>
      </w:r>
      <w:r>
        <w:rPr>
          <w:rFonts w:hint="eastAsia" w:ascii="仿宋_GB2312" w:hAnsi="仿宋_GB2312" w:eastAsia="仿宋_GB2312" w:cs="仿宋_GB2312"/>
          <w:color w:val="000000"/>
          <w:sz w:val="32"/>
          <w:szCs w:val="32"/>
          <w:shd w:val="clear" w:color="auto" w:fill="FFFFFF"/>
        </w:rPr>
        <w:t>目前在职人数</w:t>
      </w:r>
      <w:r>
        <w:rPr>
          <w:rFonts w:hint="eastAsia" w:ascii="仿宋_GB2312" w:hAnsi="仿宋_GB2312" w:eastAsia="仿宋_GB2312" w:cs="仿宋_GB2312"/>
          <w:color w:val="000000"/>
          <w:sz w:val="32"/>
          <w:szCs w:val="32"/>
          <w:shd w:val="clear" w:color="auto" w:fill="FFFFFF"/>
          <w:lang w:val="en-US" w:eastAsia="zh-CN"/>
        </w:rPr>
        <w:t>29</w:t>
      </w:r>
      <w:r>
        <w:rPr>
          <w:rFonts w:hint="eastAsia" w:ascii="仿宋_GB2312" w:hAnsi="仿宋_GB2312" w:eastAsia="仿宋_GB2312" w:cs="仿宋_GB2312"/>
          <w:color w:val="000000"/>
          <w:sz w:val="32"/>
          <w:szCs w:val="32"/>
          <w:shd w:val="clear" w:color="auto" w:fill="FFFFFF"/>
        </w:rPr>
        <w:t>人，其中副厅级</w:t>
      </w:r>
      <w:r>
        <w:rPr>
          <w:rFonts w:hint="default" w:ascii="仿宋_GB2312" w:hAnsi="仿宋_GB2312" w:eastAsia="仿宋_GB2312" w:cs="仿宋_GB2312"/>
          <w:color w:val="000000"/>
          <w:sz w:val="32"/>
          <w:szCs w:val="32"/>
          <w:shd w:val="clear" w:color="auto" w:fill="FFFFFF"/>
          <w:lang w:val="en-US"/>
        </w:rPr>
        <w:t>2</w:t>
      </w:r>
      <w:r>
        <w:rPr>
          <w:rFonts w:hint="eastAsia" w:ascii="仿宋_GB2312" w:hAnsi="仿宋_GB2312" w:eastAsia="仿宋_GB2312" w:cs="仿宋_GB2312"/>
          <w:color w:val="000000"/>
          <w:sz w:val="32"/>
          <w:szCs w:val="32"/>
          <w:shd w:val="clear" w:color="auto" w:fill="FFFFFF"/>
        </w:rPr>
        <w:t>人，正副处级</w:t>
      </w:r>
      <w:r>
        <w:rPr>
          <w:rFonts w:hint="default" w:ascii="仿宋_GB2312" w:hAnsi="仿宋_GB2312" w:eastAsia="仿宋_GB2312" w:cs="仿宋_GB2312"/>
          <w:color w:val="000000"/>
          <w:sz w:val="32"/>
          <w:szCs w:val="32"/>
          <w:shd w:val="clear" w:color="auto" w:fill="FFFFFF"/>
          <w:lang w:val="en-US"/>
        </w:rPr>
        <w:t>4</w:t>
      </w:r>
      <w:r>
        <w:rPr>
          <w:rFonts w:hint="eastAsia" w:ascii="仿宋_GB2312" w:hAnsi="仿宋_GB2312" w:eastAsia="仿宋_GB2312" w:cs="仿宋_GB2312"/>
          <w:color w:val="000000"/>
          <w:sz w:val="32"/>
          <w:szCs w:val="32"/>
          <w:shd w:val="clear" w:color="auto" w:fill="FFFFFF"/>
        </w:rPr>
        <w:t>人，正副科级</w:t>
      </w:r>
      <w:r>
        <w:rPr>
          <w:rFonts w:hint="eastAsia" w:ascii="仿宋_GB2312" w:hAnsi="仿宋_GB2312" w:eastAsia="仿宋_GB2312" w:cs="仿宋_GB2312"/>
          <w:color w:val="000000"/>
          <w:sz w:val="32"/>
          <w:szCs w:val="32"/>
          <w:shd w:val="clear" w:color="auto" w:fill="FFFFFF"/>
          <w:lang w:val="en-US" w:eastAsia="zh-CN"/>
        </w:rPr>
        <w:t>13</w:t>
      </w:r>
      <w:r>
        <w:rPr>
          <w:rFonts w:hint="eastAsia" w:ascii="仿宋_GB2312" w:hAnsi="仿宋_GB2312" w:eastAsia="仿宋_GB2312" w:cs="仿宋_GB2312"/>
          <w:color w:val="000000"/>
          <w:sz w:val="32"/>
          <w:szCs w:val="32"/>
          <w:shd w:val="clear" w:color="auto" w:fill="FFFFFF"/>
        </w:rPr>
        <w:t>人，其它人员1</w:t>
      </w:r>
      <w:r>
        <w:rPr>
          <w:rFonts w:hint="default" w:ascii="仿宋_GB2312" w:hAnsi="仿宋_GB2312" w:eastAsia="仿宋_GB2312" w:cs="仿宋_GB2312"/>
          <w:color w:val="000000"/>
          <w:sz w:val="32"/>
          <w:szCs w:val="32"/>
          <w:shd w:val="clear" w:color="auto" w:fill="FFFFFF"/>
          <w:lang w:val="en-US"/>
        </w:rPr>
        <w:t>0</w:t>
      </w:r>
      <w:r>
        <w:rPr>
          <w:rFonts w:hint="eastAsia" w:ascii="仿宋_GB2312" w:hAnsi="仿宋_GB2312" w:eastAsia="仿宋_GB2312" w:cs="仿宋_GB2312"/>
          <w:color w:val="000000"/>
          <w:sz w:val="32"/>
          <w:szCs w:val="32"/>
          <w:shd w:val="clear" w:color="auto" w:fill="FFFFFF"/>
        </w:rPr>
        <w:t>人，机关事务中心统一安排会务服务人员1人，临聘食堂厨师及帮工人员2人，实际</w:t>
      </w:r>
      <w:r>
        <w:rPr>
          <w:rFonts w:hint="eastAsia" w:ascii="仿宋_GB2312" w:hAnsi="仿宋_GB2312" w:eastAsia="仿宋_GB2312" w:cs="仿宋_GB2312"/>
          <w:color w:val="000000"/>
          <w:sz w:val="32"/>
          <w:szCs w:val="32"/>
          <w:shd w:val="clear" w:color="auto" w:fill="FFFFFF"/>
          <w:lang w:val="en-US" w:eastAsia="zh-CN"/>
        </w:rPr>
        <w:t>在编</w:t>
      </w:r>
      <w:r>
        <w:rPr>
          <w:rFonts w:hint="eastAsia" w:ascii="仿宋_GB2312" w:hAnsi="仿宋_GB2312" w:eastAsia="仿宋_GB2312" w:cs="仿宋_GB2312"/>
          <w:color w:val="000000"/>
          <w:sz w:val="32"/>
          <w:szCs w:val="32"/>
          <w:shd w:val="clear" w:color="auto" w:fill="FFFFFF"/>
        </w:rPr>
        <w:t>在岗</w:t>
      </w:r>
      <w:r>
        <w:rPr>
          <w:rFonts w:hint="eastAsia" w:ascii="仿宋_GB2312" w:hAnsi="仿宋_GB2312" w:eastAsia="仿宋_GB2312" w:cs="仿宋_GB2312"/>
          <w:color w:val="000000"/>
          <w:sz w:val="32"/>
          <w:szCs w:val="32"/>
          <w:shd w:val="clear" w:color="auto" w:fill="FFFFFF"/>
          <w:lang w:val="en-US" w:eastAsia="zh-CN"/>
        </w:rPr>
        <w:t>29</w:t>
      </w:r>
      <w:r>
        <w:rPr>
          <w:rFonts w:hint="eastAsia" w:ascii="仿宋_GB2312" w:hAnsi="仿宋_GB2312" w:eastAsia="仿宋_GB2312" w:cs="仿宋_GB2312"/>
          <w:color w:val="000000"/>
          <w:sz w:val="32"/>
          <w:szCs w:val="32"/>
          <w:shd w:val="clear" w:color="auto" w:fill="FFFFFF"/>
        </w:rPr>
        <w:t>人，退休</w:t>
      </w:r>
      <w:r>
        <w:rPr>
          <w:rFonts w:hint="default" w:ascii="仿宋_GB2312" w:hAnsi="仿宋_GB2312" w:eastAsia="仿宋_GB2312" w:cs="仿宋_GB2312"/>
          <w:color w:val="000000"/>
          <w:sz w:val="32"/>
          <w:szCs w:val="32"/>
          <w:shd w:val="clear" w:color="auto" w:fill="FFFFFF"/>
          <w:lang w:val="en-US"/>
        </w:rPr>
        <w:t>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人</w:t>
      </w:r>
      <w:r>
        <w:rPr>
          <w:rFonts w:hint="eastAsia" w:ascii="仿宋_GB2312" w:hAnsi="仿宋_GB2312" w:eastAsia="仿宋_GB2312" w:cs="仿宋_GB2312"/>
          <w:i w:val="0"/>
          <w:caps w:val="0"/>
          <w:color w:val="333333"/>
          <w:spacing w:val="0"/>
          <w:kern w:val="0"/>
          <w:sz w:val="32"/>
          <w:szCs w:val="32"/>
          <w:lang w:val="en-US" w:eastAsia="zh-CN" w:bidi="ar"/>
        </w:rPr>
        <w:t>。</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i w:val="0"/>
          <w:caps w:val="0"/>
          <w:color w:val="333333"/>
          <w:spacing w:val="0"/>
          <w:kern w:val="0"/>
          <w:sz w:val="32"/>
          <w:szCs w:val="32"/>
          <w:lang w:val="en-US" w:eastAsia="zh-CN" w:bidi="ar"/>
        </w:rPr>
        <w:t>道县政协只有本级</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_GB2312" w:hAnsi="仿宋_GB2312" w:eastAsia="仿宋_GB2312" w:cs="仿宋_GB2312"/>
          <w:i w:val="0"/>
          <w:caps w:val="0"/>
          <w:color w:val="333333"/>
          <w:spacing w:val="0"/>
          <w:kern w:val="0"/>
          <w:sz w:val="32"/>
          <w:szCs w:val="32"/>
          <w:lang w:val="en-US" w:eastAsia="zh-CN" w:bidi="ar"/>
        </w:rPr>
        <w:t>道县政协只有本级</w:t>
      </w:r>
      <w:r>
        <w:rPr>
          <w:rFonts w:hint="eastAsia" w:eastAsia="仿宋_GB2312"/>
          <w:sz w:val="32"/>
          <w:szCs w:val="32"/>
          <w:lang w:eastAsia="zh-CN"/>
        </w:rPr>
        <w:t>没有其他二级预算单位，</w:t>
      </w:r>
      <w:r>
        <w:rPr>
          <w:rFonts w:hint="eastAsia" w:ascii="仿宋_GB2312" w:hAnsi="仿宋_GB2312" w:eastAsia="仿宋_GB2312" w:cs="仿宋_GB2312"/>
          <w:i w:val="0"/>
          <w:caps w:val="0"/>
          <w:color w:val="333333"/>
          <w:spacing w:val="0"/>
          <w:kern w:val="0"/>
          <w:sz w:val="32"/>
          <w:szCs w:val="32"/>
          <w:lang w:val="en-US" w:eastAsia="zh-CN" w:bidi="ar"/>
        </w:rPr>
        <w:t>只有</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pStyle w:val="16"/>
        <w:jc w:val="both"/>
        <w:rPr>
          <w:rFonts w:hint="eastAsia" w:ascii="方正小标宋_GBK" w:hAnsi="方正小标宋_GBK" w:eastAsia="方正小标宋_GBK" w:cs="方正小标宋_GBK"/>
          <w:sz w:val="84"/>
          <w:szCs w:val="84"/>
        </w:rPr>
      </w:pPr>
    </w:p>
    <w:p>
      <w:pPr>
        <w:pStyle w:val="16"/>
        <w:jc w:val="both"/>
        <w:rPr>
          <w:rFonts w:hint="eastAsia" w:ascii="方正小标宋_GBK" w:hAnsi="方正小标宋_GBK" w:eastAsia="方正小标宋_GBK" w:cs="方正小标宋_GBK"/>
          <w:sz w:val="84"/>
          <w:szCs w:val="84"/>
        </w:rPr>
      </w:pPr>
    </w:p>
    <w:p>
      <w:pPr>
        <w:pStyle w:val="16"/>
        <w:jc w:val="both"/>
        <w:rPr>
          <w:rFonts w:hint="eastAsia" w:ascii="方正小标宋_GBK" w:hAnsi="方正小标宋_GBK" w:eastAsia="方正小标宋_GBK" w:cs="方正小标宋_GBK"/>
          <w:sz w:val="84"/>
          <w:szCs w:val="84"/>
        </w:rPr>
      </w:pPr>
    </w:p>
    <w:p>
      <w:pPr>
        <w:pStyle w:val="16"/>
        <w:jc w:val="both"/>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278"/>
        <w:gridCol w:w="278"/>
        <w:gridCol w:w="483"/>
        <w:gridCol w:w="2100"/>
        <w:gridCol w:w="1410"/>
        <w:gridCol w:w="1335"/>
        <w:gridCol w:w="1566"/>
        <w:gridCol w:w="1805"/>
        <w:gridCol w:w="1189"/>
        <w:gridCol w:w="2421"/>
        <w:gridCol w:w="2563"/>
      </w:tblGrid>
      <w:tr>
        <w:tblPrEx>
          <w:tblCellMar>
            <w:top w:w="0" w:type="dxa"/>
            <w:left w:w="0" w:type="dxa"/>
            <w:bottom w:w="0" w:type="dxa"/>
            <w:right w:w="0" w:type="dxa"/>
          </w:tblCellMar>
        </w:tblPrEx>
        <w:trPr>
          <w:trHeight w:val="435" w:hRule="atLeast"/>
        </w:trPr>
        <w:tc>
          <w:tcPr>
            <w:tcW w:w="15428"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7"/>
              <w:gridCol w:w="582"/>
              <w:gridCol w:w="1334"/>
              <w:gridCol w:w="4767"/>
              <w:gridCol w:w="1546"/>
              <w:gridCol w:w="491"/>
              <w:gridCol w:w="595"/>
              <w:gridCol w:w="1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27"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60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9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01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640"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317"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4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6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90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13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9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4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部门：中国人民政治协商会议道县委员会</w:t>
                  </w:r>
                </w:p>
              </w:tc>
              <w:tc>
                <w:tcPr>
                  <w:tcW w:w="5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6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90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13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9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577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12"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62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779.85</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717.32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八、社会保障和就业支出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eastAsia="zh-CN"/>
                    </w:rPr>
                    <w:t>十一、卫生健康支出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二十一、其他支出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779.85</w:t>
                  </w: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779.85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62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62"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779.85</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779.85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83"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3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8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556"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993"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中国人民政治协商会议道县委员会</w:t>
            </w:r>
            <w:r>
              <w:rPr>
                <w:rFonts w:hint="eastAsia"/>
              </w:rPr>
              <w:t>　</w:t>
            </w:r>
          </w:p>
          <w:p>
            <w:pPr>
              <w:jc w:val="right"/>
              <w:rPr>
                <w:rFonts w:ascii="宋体" w:hAnsi="宋体" w:eastAsia="宋体" w:cs="宋体"/>
                <w:sz w:val="24"/>
                <w:szCs w:val="24"/>
              </w:rPr>
            </w:pPr>
            <w:r>
              <w:rPr>
                <w:rFonts w:hint="eastAsia"/>
              </w:rPr>
              <w:t>　</w:t>
            </w:r>
          </w:p>
        </w:tc>
        <w:tc>
          <w:tcPr>
            <w:tcW w:w="133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66"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8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139"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本年收入合计</w:t>
            </w:r>
          </w:p>
        </w:tc>
        <w:tc>
          <w:tcPr>
            <w:tcW w:w="133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财政拨款收入</w:t>
            </w:r>
          </w:p>
        </w:tc>
        <w:tc>
          <w:tcPr>
            <w:tcW w:w="15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上级补助收入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事业收入</w:t>
            </w:r>
          </w:p>
        </w:tc>
        <w:tc>
          <w:tcPr>
            <w:tcW w:w="118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经营收入</w:t>
            </w:r>
          </w:p>
        </w:tc>
        <w:tc>
          <w:tcPr>
            <w:tcW w:w="24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附属单位上缴收入</w:t>
            </w:r>
          </w:p>
        </w:tc>
        <w:tc>
          <w:tcPr>
            <w:tcW w:w="25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其他收入</w:t>
            </w:r>
          </w:p>
        </w:tc>
      </w:tr>
      <w:tr>
        <w:tblPrEx>
          <w:tblCellMar>
            <w:top w:w="0" w:type="dxa"/>
            <w:left w:w="0" w:type="dxa"/>
            <w:bottom w:w="0" w:type="dxa"/>
            <w:right w:w="0" w:type="dxa"/>
          </w:tblCellMar>
        </w:tblPrEx>
        <w:trPr>
          <w:trHeight w:val="450" w:hRule="atLeast"/>
        </w:trPr>
        <w:tc>
          <w:tcPr>
            <w:tcW w:w="103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1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56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118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242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9"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0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6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8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4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139"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5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1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24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5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CellMar>
            <w:top w:w="0" w:type="dxa"/>
            <w:left w:w="0" w:type="dxa"/>
            <w:bottom w:w="0" w:type="dxa"/>
            <w:right w:w="0" w:type="dxa"/>
          </w:tblCellMar>
        </w:tblPrEx>
        <w:trPr>
          <w:trHeight w:val="450" w:hRule="atLeast"/>
        </w:trPr>
        <w:tc>
          <w:tcPr>
            <w:tcW w:w="3139"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779.86</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779.86</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其他政协事务支出</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106.9</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sz w:val="24"/>
                <w:szCs w:val="24"/>
                <w:lang w:val="en-US" w:eastAsia="zh-CN"/>
              </w:rPr>
              <w:t>106.9</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579"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2010201</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cs="宋体"/>
                <w:sz w:val="24"/>
                <w:szCs w:val="24"/>
                <w:lang w:val="en-US"/>
              </w:rPr>
            </w:pPr>
            <w:r>
              <w:rPr>
                <w:rFonts w:hint="eastAsia" w:ascii="宋体" w:hAnsi="宋体" w:eastAsia="宋体" w:cs="宋体"/>
                <w:i w:val="0"/>
                <w:iCs w:val="0"/>
                <w:color w:val="000000"/>
                <w:kern w:val="0"/>
                <w:sz w:val="22"/>
                <w:szCs w:val="22"/>
                <w:u w:val="none"/>
                <w:lang w:val="en-US" w:eastAsia="zh-CN" w:bidi="ar"/>
              </w:rPr>
              <w:t>422.74</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422.74</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2010205</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sz w:val="24"/>
                <w:szCs w:val="24"/>
                <w:lang w:eastAsia="zh-CN"/>
              </w:rPr>
            </w:pPr>
            <w:r>
              <w:rPr>
                <w:rFonts w:hint="eastAsia" w:ascii="宋体" w:hAnsi="宋体" w:eastAsia="宋体" w:cs="宋体"/>
                <w:sz w:val="24"/>
                <w:szCs w:val="24"/>
                <w:lang w:eastAsia="zh-CN"/>
              </w:rPr>
              <w:t>委员视察</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16.53</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16.53</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2010206</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参政议政</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10.83</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10.83</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21.59</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21.59</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39.71</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39.71</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2010204</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政协会议</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160.32</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160.32</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615" w:hRule="atLeast"/>
        </w:trPr>
        <w:tc>
          <w:tcPr>
            <w:tcW w:w="15428" w:type="dxa"/>
            <w:gridSpan w:val="11"/>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0" w:type="dxa"/>
            <w:bottom w:w="0" w:type="dxa"/>
            <w:right w:w="0" w:type="dxa"/>
          </w:tblCellMar>
        </w:tblPrEx>
        <w:trPr>
          <w:trHeight w:val="615" w:hRule="atLeast"/>
        </w:trPr>
        <w:tc>
          <w:tcPr>
            <w:tcW w:w="15428" w:type="dxa"/>
            <w:gridSpan w:val="11"/>
            <w:tcBorders>
              <w:top w:val="nil"/>
              <w:left w:val="nil"/>
              <w:bottom w:val="nil"/>
              <w:right w:val="nil"/>
            </w:tcBorders>
            <w:shd w:val="clear" w:color="auto" w:fill="auto"/>
            <w:tcMar>
              <w:top w:w="15" w:type="dxa"/>
              <w:left w:w="15" w:type="dxa"/>
              <w:bottom w:w="0" w:type="dxa"/>
              <w:right w:w="15" w:type="dxa"/>
            </w:tcMar>
            <w:vAlign w:val="center"/>
          </w:tcPr>
          <w:p>
            <w:pPr>
              <w:rPr>
                <w:rFonts w:hint="eastAsia"/>
              </w:rPr>
            </w:pP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0"/>
        <w:tblW w:w="15604" w:type="dxa"/>
        <w:tblInd w:w="93" w:type="dxa"/>
        <w:tblLayout w:type="fixed"/>
        <w:tblCellMar>
          <w:top w:w="0" w:type="dxa"/>
          <w:left w:w="108" w:type="dxa"/>
          <w:bottom w:w="0" w:type="dxa"/>
          <w:right w:w="108" w:type="dxa"/>
        </w:tblCellMar>
      </w:tblPr>
      <w:tblGrid>
        <w:gridCol w:w="1341"/>
        <w:gridCol w:w="282"/>
        <w:gridCol w:w="263"/>
        <w:gridCol w:w="2168"/>
        <w:gridCol w:w="1265"/>
        <w:gridCol w:w="1338"/>
        <w:gridCol w:w="2452"/>
        <w:gridCol w:w="1995"/>
        <w:gridCol w:w="1860"/>
        <w:gridCol w:w="2640"/>
      </w:tblGrid>
      <w:tr>
        <w:tblPrEx>
          <w:tblCellMar>
            <w:top w:w="0" w:type="dxa"/>
            <w:left w:w="108" w:type="dxa"/>
            <w:bottom w:w="0" w:type="dxa"/>
            <w:right w:w="108" w:type="dxa"/>
          </w:tblCellMar>
        </w:tblPrEx>
        <w:trPr>
          <w:trHeight w:val="807" w:hRule="atLeast"/>
        </w:trPr>
        <w:tc>
          <w:tcPr>
            <w:tcW w:w="15604"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328" w:hRule="atLeast"/>
        </w:trPr>
        <w:tc>
          <w:tcPr>
            <w:tcW w:w="162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6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3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40"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623"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3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i w:val="0"/>
                <w:color w:val="000000"/>
                <w:kern w:val="0"/>
                <w:sz w:val="20"/>
                <w:szCs w:val="20"/>
                <w:u w:val="none"/>
                <w:lang w:val="en-US" w:eastAsia="zh-CN" w:bidi="ar"/>
              </w:rPr>
              <w:t>中国人民政治协商会议道县委员会</w:t>
            </w:r>
            <w:r>
              <w:rPr>
                <w:rFonts w:hint="eastAsia" w:ascii="宋体" w:hAnsi="宋体" w:eastAsia="宋体" w:cs="宋体"/>
                <w:kern w:val="0"/>
                <w:sz w:val="24"/>
                <w:szCs w:val="24"/>
              </w:rPr>
              <w:t>　</w:t>
            </w:r>
          </w:p>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3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2"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40"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25" w:hRule="atLeast"/>
        </w:trPr>
        <w:tc>
          <w:tcPr>
            <w:tcW w:w="4054"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2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本年支出合计</w:t>
            </w:r>
          </w:p>
        </w:tc>
        <w:tc>
          <w:tcPr>
            <w:tcW w:w="133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基本支出</w:t>
            </w:r>
          </w:p>
        </w:tc>
        <w:tc>
          <w:tcPr>
            <w:tcW w:w="24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项目支出</w:t>
            </w:r>
          </w:p>
        </w:tc>
        <w:tc>
          <w:tcPr>
            <w:tcW w:w="199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上缴上级支出</w:t>
            </w:r>
          </w:p>
        </w:tc>
        <w:tc>
          <w:tcPr>
            <w:tcW w:w="18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经营支出</w:t>
            </w:r>
          </w:p>
        </w:tc>
        <w:tc>
          <w:tcPr>
            <w:tcW w:w="26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CellMar>
            <w:top w:w="0" w:type="dxa"/>
            <w:left w:w="108" w:type="dxa"/>
            <w:bottom w:w="0" w:type="dxa"/>
            <w:right w:w="108" w:type="dxa"/>
          </w:tblCellMar>
        </w:tblPrEx>
        <w:trPr>
          <w:trHeight w:val="595" w:hRule="atLeast"/>
        </w:trPr>
        <w:tc>
          <w:tcPr>
            <w:tcW w:w="1886"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68"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33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245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9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c>
          <w:tcPr>
            <w:tcW w:w="2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kern w:val="0"/>
                <w:sz w:val="24"/>
                <w:szCs w:val="24"/>
              </w:rPr>
            </w:pPr>
          </w:p>
        </w:tc>
      </w:tr>
      <w:tr>
        <w:tblPrEx>
          <w:tblCellMar>
            <w:top w:w="0" w:type="dxa"/>
            <w:left w:w="108" w:type="dxa"/>
            <w:bottom w:w="0" w:type="dxa"/>
            <w:right w:w="108" w:type="dxa"/>
          </w:tblCellMar>
        </w:tblPrEx>
        <w:trPr>
          <w:trHeight w:val="385" w:hRule="atLeast"/>
        </w:trPr>
        <w:tc>
          <w:tcPr>
            <w:tcW w:w="188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6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3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6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405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26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33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2452"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99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86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64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CellMar>
            <w:top w:w="0" w:type="dxa"/>
            <w:left w:w="108" w:type="dxa"/>
            <w:bottom w:w="0" w:type="dxa"/>
            <w:right w:w="108" w:type="dxa"/>
          </w:tblCellMar>
        </w:tblPrEx>
        <w:trPr>
          <w:trHeight w:val="595" w:hRule="atLeast"/>
        </w:trPr>
        <w:tc>
          <w:tcPr>
            <w:tcW w:w="405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779.86</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601.77</w:t>
            </w:r>
          </w:p>
          <w:p>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178.09</w:t>
            </w: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val="0"/>
                <w:bCs w:val="0"/>
                <w:kern w:val="0"/>
                <w:sz w:val="24"/>
                <w:szCs w:val="24"/>
              </w:rPr>
            </w:pPr>
            <w:r>
              <w:rPr>
                <w:rFonts w:hint="eastAsia" w:ascii="宋体" w:hAnsi="宋体" w:eastAsia="宋体" w:cs="宋体"/>
                <w:b w:val="0"/>
                <w:bCs w:val="0"/>
                <w:i w:val="0"/>
                <w:iCs w:val="0"/>
                <w:color w:val="000000"/>
                <w:kern w:val="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val="0"/>
                <w:bCs w:val="0"/>
                <w:kern w:val="0"/>
                <w:sz w:val="24"/>
                <w:szCs w:val="24"/>
              </w:rPr>
            </w:pPr>
            <w:r>
              <w:rPr>
                <w:rFonts w:hint="eastAsia" w:ascii="宋体" w:hAnsi="宋体" w:eastAsia="宋体" w:cs="宋体"/>
                <w:b w:val="0"/>
                <w:bCs w:val="0"/>
                <w:i w:val="0"/>
                <w:iCs w:val="0"/>
                <w:color w:val="000000"/>
                <w:kern w:val="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val="0"/>
                <w:bCs w:val="0"/>
                <w:kern w:val="0"/>
                <w:sz w:val="24"/>
                <w:szCs w:val="24"/>
              </w:rPr>
            </w:pPr>
            <w:r>
              <w:rPr>
                <w:rFonts w:hint="eastAsia" w:ascii="宋体" w:hAnsi="宋体" w:eastAsia="宋体" w:cs="宋体"/>
                <w:b w:val="0"/>
                <w:bCs w:val="0"/>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其他政协事务支出</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106.9</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106.9</w:t>
            </w: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2010201</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422.74</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422.74</w:t>
            </w: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2010205</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z w:val="24"/>
                <w:szCs w:val="24"/>
                <w:lang w:eastAsia="zh-CN"/>
              </w:rPr>
              <w:t>委员视察</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16.53</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16.53</w:t>
            </w: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2010206</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参政议政</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10.83</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10.83</w:t>
            </w: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1.24</w:t>
            </w: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21.59</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21.59</w:t>
            </w: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39.71</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39.71</w:t>
            </w: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2010204</w:t>
            </w:r>
          </w:p>
        </w:tc>
        <w:tc>
          <w:tcPr>
            <w:tcW w:w="271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政协会议</w:t>
            </w:r>
          </w:p>
        </w:tc>
        <w:tc>
          <w:tcPr>
            <w:tcW w:w="12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160.32</w:t>
            </w:r>
          </w:p>
        </w:tc>
        <w:tc>
          <w:tcPr>
            <w:tcW w:w="13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c>
          <w:tcPr>
            <w:tcW w:w="24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160.32</w:t>
            </w:r>
          </w:p>
        </w:tc>
        <w:tc>
          <w:tcPr>
            <w:tcW w:w="19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828" w:hRule="atLeast"/>
        </w:trPr>
        <w:tc>
          <w:tcPr>
            <w:tcW w:w="15604"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tbl>
      <w:tblPr>
        <w:tblStyle w:val="10"/>
        <w:tblW w:w="4791" w:type="pct"/>
        <w:jc w:val="center"/>
        <w:tblLayout w:type="autofit"/>
        <w:tblCellMar>
          <w:top w:w="32" w:type="dxa"/>
          <w:left w:w="64" w:type="dxa"/>
          <w:bottom w:w="32" w:type="dxa"/>
          <w:right w:w="64" w:type="dxa"/>
        </w:tblCellMar>
      </w:tblPr>
      <w:tblGrid>
        <w:gridCol w:w="3730"/>
        <w:gridCol w:w="528"/>
        <w:gridCol w:w="857"/>
        <w:gridCol w:w="2770"/>
        <w:gridCol w:w="530"/>
        <w:gridCol w:w="1024"/>
        <w:gridCol w:w="1758"/>
        <w:gridCol w:w="1639"/>
        <w:gridCol w:w="2041"/>
      </w:tblGrid>
      <w:tr>
        <w:tblPrEx>
          <w:tblCellMar>
            <w:top w:w="32" w:type="dxa"/>
            <w:left w:w="64" w:type="dxa"/>
            <w:bottom w:w="32" w:type="dxa"/>
            <w:right w:w="64" w:type="dxa"/>
          </w:tblCellMar>
        </w:tblPrEx>
        <w:trPr>
          <w:trHeight w:val="0" w:hRule="atLeast"/>
          <w:jc w:val="center"/>
        </w:trPr>
        <w:tc>
          <w:tcPr>
            <w:tcW w:w="5000" w:type="pct"/>
            <w:gridSpan w:val="9"/>
            <w:tcBorders>
              <w:top w:val="nil"/>
              <w:left w:val="nil"/>
              <w:bottom w:val="nil"/>
              <w:right w:val="nil"/>
            </w:tcBorders>
            <w:shd w:val="clear" w:color="auto" w:fill="auto"/>
            <w:noWrap/>
            <w:vAlign w:val="center"/>
          </w:tcPr>
          <w:p>
            <w:pPr>
              <w:widowControl/>
              <w:snapToGrid w:val="0"/>
              <w:jc w:val="center"/>
              <w:rPr>
                <w:rFonts w:ascii="华文中宋" w:hAnsi="华文中宋" w:eastAsia="华文中宋" w:cs="宋体"/>
                <w:color w:val="000000"/>
                <w:kern w:val="0"/>
                <w:sz w:val="32"/>
                <w:szCs w:val="32"/>
              </w:rPr>
            </w:pPr>
            <w:bookmarkStart w:id="0" w:name="RANGE!A1:F16"/>
            <w:r>
              <w:rPr>
                <w:rFonts w:hint="eastAsia" w:ascii="华文中宋" w:hAnsi="华文中宋" w:eastAsia="华文中宋" w:cs="宋体"/>
                <w:color w:val="000000"/>
                <w:kern w:val="0"/>
                <w:sz w:val="32"/>
                <w:szCs w:val="32"/>
              </w:rPr>
              <w:t>财政拨款收入支出决算总表</w:t>
            </w:r>
          </w:p>
        </w:tc>
      </w:tr>
      <w:tr>
        <w:tblPrEx>
          <w:tblCellMar>
            <w:top w:w="32" w:type="dxa"/>
            <w:left w:w="64" w:type="dxa"/>
            <w:bottom w:w="32" w:type="dxa"/>
            <w:right w:w="64" w:type="dxa"/>
          </w:tblCellMar>
        </w:tblPrEx>
        <w:trPr>
          <w:trHeight w:val="0" w:hRule="atLeast"/>
          <w:jc w:val="center"/>
        </w:trPr>
        <w:tc>
          <w:tcPr>
            <w:tcW w:w="1254"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6"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31"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4"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91"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51"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85"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32" w:type="dxa"/>
            <w:left w:w="64" w:type="dxa"/>
            <w:bottom w:w="32" w:type="dxa"/>
            <w:right w:w="64" w:type="dxa"/>
          </w:tblCellMar>
        </w:tblPrEx>
        <w:trPr>
          <w:trHeight w:val="0" w:hRule="atLeast"/>
          <w:jc w:val="center"/>
        </w:trPr>
        <w:tc>
          <w:tcPr>
            <w:tcW w:w="1254" w:type="pct"/>
            <w:tcBorders>
              <w:top w:val="nil"/>
              <w:left w:val="nil"/>
              <w:bottom w:val="nil"/>
              <w:right w:val="nil"/>
            </w:tcBorders>
            <w:shd w:val="clear" w:color="000000" w:fill="FFFFFF"/>
            <w:noWrap/>
            <w:vAlign w:val="center"/>
          </w:tcPr>
          <w:p>
            <w:pPr>
              <w:widowControl/>
              <w:snapToGrid w:val="0"/>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中国人民政治协商会议道县委员会</w:t>
            </w:r>
          </w:p>
        </w:tc>
        <w:tc>
          <w:tcPr>
            <w:tcW w:w="177"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6"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31"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4"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91"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51"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85" w:type="pct"/>
            <w:tcBorders>
              <w:top w:val="nil"/>
              <w:left w:val="nil"/>
              <w:bottom w:val="nil"/>
              <w:right w:val="nil"/>
            </w:tcBorders>
            <w:shd w:val="clear" w:color="000000" w:fill="FFFFFF"/>
            <w:noWrap/>
            <w:vAlign w:val="center"/>
          </w:tcPr>
          <w:p>
            <w:pPr>
              <w:widowControl/>
              <w:snapToGrid w:val="0"/>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32" w:type="dxa"/>
            <w:left w:w="64" w:type="dxa"/>
            <w:bottom w:w="32" w:type="dxa"/>
            <w:right w:w="64" w:type="dxa"/>
          </w:tblCellMar>
        </w:tblPrEx>
        <w:trPr>
          <w:trHeight w:val="0" w:hRule="atLeast"/>
          <w:jc w:val="center"/>
        </w:trPr>
        <w:tc>
          <w:tcPr>
            <w:tcW w:w="1719"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3280" w:type="pct"/>
            <w:gridSpan w:val="6"/>
            <w:tcBorders>
              <w:top w:val="single" w:color="auto" w:sz="4" w:space="0"/>
              <w:left w:val="nil"/>
              <w:bottom w:val="single" w:color="auto" w:sz="4" w:space="0"/>
              <w:right w:val="single" w:color="auto" w:sz="4" w:space="0"/>
            </w:tcBorders>
            <w:shd w:val="clear" w:color="000000" w:fill="FFFFFF"/>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286"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931"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8"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44"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591" w:type="pct"/>
            <w:tcBorders>
              <w:top w:val="nil"/>
              <w:left w:val="nil"/>
              <w:bottom w:val="single" w:color="auto" w:sz="4" w:space="0"/>
              <w:right w:val="single" w:color="auto" w:sz="4" w:space="0"/>
            </w:tcBorders>
            <w:shd w:val="clear" w:color="auto" w:fill="auto"/>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551" w:type="pct"/>
            <w:tcBorders>
              <w:top w:val="nil"/>
              <w:left w:val="nil"/>
              <w:bottom w:val="single" w:color="auto" w:sz="4" w:space="0"/>
              <w:right w:val="single" w:color="auto" w:sz="4" w:space="0"/>
            </w:tcBorders>
            <w:shd w:val="clear" w:color="auto" w:fill="auto"/>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685" w:type="pct"/>
            <w:tcBorders>
              <w:top w:val="nil"/>
              <w:left w:val="nil"/>
              <w:bottom w:val="single" w:color="auto" w:sz="4" w:space="0"/>
              <w:right w:val="single" w:color="auto" w:sz="4" w:space="0"/>
            </w:tcBorders>
            <w:shd w:val="clear" w:color="auto" w:fill="auto"/>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6"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931"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78"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44"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591"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1</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b w:val="0"/>
                <w:bCs/>
                <w:i w:val="0"/>
                <w:color w:val="000000"/>
                <w:sz w:val="22"/>
                <w:szCs w:val="22"/>
                <w:u w:val="none"/>
                <w:lang w:val="en-US" w:eastAsia="zh-CN"/>
              </w:rPr>
              <w:t>779.85</w:t>
            </w:r>
          </w:p>
        </w:tc>
        <w:tc>
          <w:tcPr>
            <w:tcW w:w="931"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一、一般公共服务支出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14</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717.32</w:t>
            </w: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717.32</w:t>
            </w: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2</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default"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二、外交支出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15</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3</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三、国防支出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16</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4</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四、公共安全支出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17</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5</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五、教育支出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18</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6</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六、科学技术支出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19</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7</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eastAsia="zh-CN"/>
              </w:rPr>
              <w:t>八、社会保障和就业支出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20</w:t>
            </w:r>
          </w:p>
        </w:tc>
        <w:tc>
          <w:tcPr>
            <w:tcW w:w="344" w:type="pct"/>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40.95</w:t>
            </w:r>
          </w:p>
        </w:tc>
        <w:tc>
          <w:tcPr>
            <w:tcW w:w="591" w:type="pct"/>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40.95</w:t>
            </w: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8</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pPr>
              <w:snapToGrid w:val="0"/>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eastAsia="zh-CN"/>
              </w:rPr>
              <w:t>十一、卫生健康支出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w:t>
            </w:r>
          </w:p>
        </w:tc>
        <w:tc>
          <w:tcPr>
            <w:tcW w:w="344" w:type="pct"/>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21.59</w:t>
            </w:r>
          </w:p>
        </w:tc>
        <w:tc>
          <w:tcPr>
            <w:tcW w:w="591" w:type="pct"/>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21.59</w:t>
            </w: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9</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b w:val="0"/>
                <w:bCs/>
                <w:i w:val="0"/>
                <w:color w:val="000000"/>
                <w:sz w:val="22"/>
                <w:szCs w:val="22"/>
                <w:u w:val="none"/>
                <w:lang w:val="en-US" w:eastAsia="zh-CN"/>
              </w:rPr>
              <w:t>779.85</w:t>
            </w:r>
          </w:p>
        </w:tc>
        <w:tc>
          <w:tcPr>
            <w:tcW w:w="931" w:type="pct"/>
            <w:tcBorders>
              <w:top w:val="nil"/>
              <w:left w:val="nil"/>
              <w:bottom w:val="single" w:color="auto" w:sz="4" w:space="0"/>
              <w:right w:val="single" w:color="auto" w:sz="4" w:space="0"/>
            </w:tcBorders>
            <w:shd w:val="clear" w:color="auto" w:fill="auto"/>
            <w:noWrap/>
            <w:vAlign w:val="center"/>
          </w:tcPr>
          <w:p>
            <w:pPr>
              <w:snapToGrid w:val="0"/>
              <w:jc w:val="both"/>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2"/>
                <w:sz w:val="20"/>
                <w:szCs w:val="20"/>
                <w:u w:val="none"/>
                <w:lang w:val="en-US" w:eastAsia="zh-CN" w:bidi="ar-SA"/>
              </w:rPr>
              <w:t>二十三、其他支出</w:t>
            </w:r>
          </w:p>
        </w:tc>
        <w:tc>
          <w:tcPr>
            <w:tcW w:w="178" w:type="pct"/>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22</w:t>
            </w:r>
          </w:p>
        </w:tc>
        <w:tc>
          <w:tcPr>
            <w:tcW w:w="344" w:type="pct"/>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b w:val="0"/>
                <w:bCs/>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b w:val="0"/>
                <w:bCs/>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10</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default"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b/>
                <w:bCs/>
                <w:kern w:val="0"/>
                <w:sz w:val="22"/>
              </w:rPr>
              <w:t>本年支出合计</w:t>
            </w:r>
          </w:p>
        </w:tc>
        <w:tc>
          <w:tcPr>
            <w:tcW w:w="178"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24</w:t>
            </w:r>
          </w:p>
        </w:tc>
        <w:tc>
          <w:tcPr>
            <w:tcW w:w="344" w:type="pct"/>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779.85</w:t>
            </w:r>
          </w:p>
        </w:tc>
        <w:tc>
          <w:tcPr>
            <w:tcW w:w="591" w:type="pct"/>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779.85</w:t>
            </w: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11</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78"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25</w:t>
            </w:r>
          </w:p>
        </w:tc>
        <w:tc>
          <w:tcPr>
            <w:tcW w:w="344" w:type="pct"/>
            <w:tcBorders>
              <w:top w:val="nil"/>
              <w:left w:val="nil"/>
              <w:bottom w:val="single" w:color="auto" w:sz="4" w:space="0"/>
              <w:right w:val="single" w:color="auto" w:sz="4" w:space="0"/>
            </w:tcBorders>
            <w:shd w:val="clear" w:color="auto" w:fill="auto"/>
            <w:noWrap/>
            <w:vAlign w:val="center"/>
          </w:tcPr>
          <w:p>
            <w:pPr>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12</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eastAsia"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8"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26</w:t>
            </w:r>
          </w:p>
        </w:tc>
        <w:tc>
          <w:tcPr>
            <w:tcW w:w="344" w:type="pct"/>
            <w:tcBorders>
              <w:top w:val="nil"/>
              <w:left w:val="nil"/>
              <w:bottom w:val="single" w:color="auto" w:sz="4" w:space="0"/>
              <w:right w:val="single" w:color="auto" w:sz="4" w:space="0"/>
            </w:tcBorders>
            <w:shd w:val="clear" w:color="auto" w:fill="auto"/>
            <w:noWrap/>
            <w:vAlign w:val="center"/>
          </w:tcPr>
          <w:p>
            <w:pPr>
              <w:rPr>
                <w:rFonts w:hint="eastAsia" w:ascii="宋体" w:hAnsi="宋体" w:eastAsia="宋体" w:cs="宋体"/>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rPr>
                <w:rFonts w:hint="eastAsia" w:ascii="宋体" w:hAnsi="宋体" w:eastAsia="宋体" w:cs="宋体"/>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177"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13</w:t>
            </w:r>
          </w:p>
        </w:tc>
        <w:tc>
          <w:tcPr>
            <w:tcW w:w="286" w:type="pct"/>
            <w:tcBorders>
              <w:top w:val="nil"/>
              <w:left w:val="nil"/>
              <w:bottom w:val="single" w:color="auto" w:sz="4" w:space="0"/>
              <w:right w:val="single" w:color="auto" w:sz="4" w:space="0"/>
            </w:tcBorders>
            <w:shd w:val="clear" w:color="auto" w:fill="auto"/>
            <w:noWrap/>
            <w:vAlign w:val="center"/>
          </w:tcPr>
          <w:p>
            <w:pPr>
              <w:snapToGrid w:val="0"/>
              <w:jc w:val="right"/>
              <w:rPr>
                <w:rFonts w:hint="default" w:ascii="宋体" w:hAnsi="宋体" w:eastAsia="宋体" w:cs="宋体"/>
                <w:i w:val="0"/>
                <w:color w:val="000000"/>
                <w:kern w:val="2"/>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c>
          <w:tcPr>
            <w:tcW w:w="178" w:type="pct"/>
            <w:tcBorders>
              <w:top w:val="nil"/>
              <w:left w:val="nil"/>
              <w:bottom w:val="single" w:color="auto" w:sz="4" w:space="0"/>
              <w:right w:val="single" w:color="auto" w:sz="4" w:space="0"/>
            </w:tcBorders>
            <w:shd w:val="clear" w:color="auto" w:fill="auto"/>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27</w:t>
            </w:r>
          </w:p>
        </w:tc>
        <w:tc>
          <w:tcPr>
            <w:tcW w:w="344" w:type="pct"/>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b w:val="0"/>
                <w:bCs/>
                <w:i w:val="0"/>
                <w:color w:val="000000"/>
                <w:kern w:val="2"/>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b w:val="0"/>
                <w:bCs/>
                <w:i w:val="0"/>
                <w:color w:val="000000"/>
                <w:kern w:val="2"/>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kern w:val="0"/>
                <w:sz w:val="22"/>
              </w:rPr>
            </w:pPr>
            <w:r>
              <w:rPr>
                <w:rFonts w:hint="eastAsia" w:ascii="宋体" w:hAnsi="宋体" w:eastAsia="宋体" w:cs="宋体"/>
                <w:kern w:val="0"/>
                <w:sz w:val="22"/>
              </w:rPr>
              <w:t>　</w:t>
            </w:r>
          </w:p>
        </w:tc>
      </w:tr>
      <w:tr>
        <w:tblPrEx>
          <w:tblCellMar>
            <w:top w:w="32" w:type="dxa"/>
            <w:left w:w="64" w:type="dxa"/>
            <w:bottom w:w="32" w:type="dxa"/>
            <w:right w:w="64" w:type="dxa"/>
          </w:tblCellMar>
        </w:tblPrEx>
        <w:trPr>
          <w:trHeight w:val="0" w:hRule="atLeast"/>
          <w:jc w:val="center"/>
        </w:trPr>
        <w:tc>
          <w:tcPr>
            <w:tcW w:w="1254" w:type="pct"/>
            <w:tcBorders>
              <w:top w:val="nil"/>
              <w:left w:val="single" w:color="auto" w:sz="4" w:space="0"/>
              <w:bottom w:val="single" w:color="auto" w:sz="4" w:space="0"/>
              <w:right w:val="single" w:color="auto" w:sz="4" w:space="0"/>
            </w:tcBorders>
            <w:shd w:val="clear" w:color="000000" w:fill="FFFFFF"/>
            <w:noWrap/>
            <w:vAlign w:val="center"/>
          </w:tcPr>
          <w:p>
            <w:pPr>
              <w:widowControl/>
              <w:snapToGrid w:val="0"/>
              <w:jc w:val="center"/>
              <w:rPr>
                <w:rFonts w:ascii="宋体" w:hAnsi="宋体" w:eastAsia="宋体" w:cs="宋体"/>
                <w:b/>
                <w:bCs/>
                <w:kern w:val="0"/>
                <w:sz w:val="22"/>
              </w:rPr>
            </w:pPr>
            <w:r>
              <w:rPr>
                <w:rFonts w:hint="eastAsia" w:ascii="宋体" w:hAnsi="宋体" w:eastAsia="宋体" w:cs="宋体"/>
                <w:b/>
                <w:bCs/>
                <w:kern w:val="0"/>
                <w:sz w:val="22"/>
              </w:rPr>
              <w:t>总计</w:t>
            </w:r>
          </w:p>
        </w:tc>
        <w:tc>
          <w:tcPr>
            <w:tcW w:w="177" w:type="pct"/>
            <w:tcBorders>
              <w:top w:val="nil"/>
              <w:left w:val="nil"/>
              <w:bottom w:val="single" w:color="auto" w:sz="4" w:space="0"/>
              <w:right w:val="single" w:color="auto" w:sz="4" w:space="0"/>
            </w:tcBorders>
            <w:shd w:val="clear" w:color="000000" w:fill="FFFFFF"/>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14</w:t>
            </w:r>
          </w:p>
        </w:tc>
        <w:tc>
          <w:tcPr>
            <w:tcW w:w="286"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rPr>
            </w:pPr>
            <w:r>
              <w:rPr>
                <w:rFonts w:hint="eastAsia" w:ascii="宋体" w:hAnsi="宋体" w:eastAsia="宋体" w:cs="宋体"/>
                <w:b w:val="0"/>
                <w:bCs/>
                <w:i w:val="0"/>
                <w:color w:val="000000"/>
                <w:sz w:val="22"/>
                <w:szCs w:val="22"/>
                <w:u w:val="none"/>
                <w:lang w:val="en-US" w:eastAsia="zh-CN"/>
              </w:rPr>
              <w:t>779.85</w:t>
            </w:r>
            <w:r>
              <w:rPr>
                <w:rFonts w:hint="eastAsia" w:ascii="宋体" w:hAnsi="宋体" w:eastAsia="宋体" w:cs="宋体"/>
                <w:kern w:val="0"/>
                <w:sz w:val="22"/>
              </w:rPr>
              <w:t>　</w:t>
            </w:r>
          </w:p>
        </w:tc>
        <w:tc>
          <w:tcPr>
            <w:tcW w:w="931" w:type="pct"/>
            <w:tcBorders>
              <w:top w:val="nil"/>
              <w:left w:val="nil"/>
              <w:bottom w:val="single" w:color="auto" w:sz="4" w:space="0"/>
              <w:right w:val="single" w:color="auto" w:sz="4" w:space="0"/>
            </w:tcBorders>
            <w:shd w:val="clear" w:color="000000" w:fill="FFFFFF"/>
            <w:noWrap/>
            <w:vAlign w:val="center"/>
          </w:tcPr>
          <w:p>
            <w:pPr>
              <w:widowControl/>
              <w:snapToGrid w:val="0"/>
              <w:jc w:val="center"/>
              <w:rPr>
                <w:rFonts w:ascii="宋体" w:hAnsi="宋体" w:eastAsia="宋体" w:cs="宋体"/>
                <w:b/>
                <w:bCs/>
                <w:kern w:val="0"/>
                <w:sz w:val="22"/>
              </w:rPr>
            </w:pPr>
            <w:r>
              <w:rPr>
                <w:rFonts w:hint="eastAsia" w:ascii="宋体" w:hAnsi="宋体" w:eastAsia="宋体" w:cs="宋体"/>
                <w:b/>
                <w:bCs/>
                <w:kern w:val="0"/>
                <w:sz w:val="22"/>
              </w:rPr>
              <w:t>总计</w:t>
            </w:r>
          </w:p>
        </w:tc>
        <w:tc>
          <w:tcPr>
            <w:tcW w:w="178" w:type="pct"/>
            <w:tcBorders>
              <w:top w:val="nil"/>
              <w:left w:val="nil"/>
              <w:bottom w:val="single" w:color="auto" w:sz="4" w:space="0"/>
              <w:right w:val="single" w:color="auto" w:sz="4" w:space="0"/>
            </w:tcBorders>
            <w:shd w:val="clear" w:color="000000" w:fill="FFFFFF"/>
            <w:noWrap/>
            <w:vAlign w:val="center"/>
          </w:tcPr>
          <w:p>
            <w:pPr>
              <w:widowControl/>
              <w:snapToGrid w:val="0"/>
              <w:jc w:val="center"/>
              <w:rPr>
                <w:rFonts w:ascii="宋体" w:hAnsi="宋体" w:eastAsia="宋体" w:cs="宋体"/>
                <w:kern w:val="0"/>
                <w:sz w:val="22"/>
              </w:rPr>
            </w:pPr>
            <w:r>
              <w:rPr>
                <w:rFonts w:hint="eastAsia" w:ascii="宋体" w:hAnsi="宋体" w:eastAsia="宋体" w:cs="宋体"/>
                <w:kern w:val="0"/>
                <w:sz w:val="22"/>
              </w:rPr>
              <w:t>28</w:t>
            </w:r>
          </w:p>
        </w:tc>
        <w:tc>
          <w:tcPr>
            <w:tcW w:w="102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kern w:val="0"/>
                <w:sz w:val="22"/>
                <w:szCs w:val="22"/>
                <w:lang w:val="en-US" w:eastAsia="zh-CN" w:bidi="ar-SA"/>
              </w:rPr>
            </w:pPr>
            <w:r>
              <w:rPr>
                <w:rFonts w:hint="eastAsia" w:ascii="宋体" w:hAnsi="宋体" w:eastAsia="宋体" w:cs="宋体"/>
                <w:b w:val="0"/>
                <w:bCs/>
                <w:i w:val="0"/>
                <w:color w:val="000000"/>
                <w:sz w:val="22"/>
                <w:szCs w:val="22"/>
                <w:u w:val="none"/>
                <w:lang w:val="en-US" w:eastAsia="zh-CN"/>
              </w:rPr>
              <w:t>779.85</w:t>
            </w:r>
          </w:p>
        </w:tc>
        <w:tc>
          <w:tcPr>
            <w:tcW w:w="1758" w:type="dxa"/>
            <w:tcBorders>
              <w:top w:val="nil"/>
              <w:left w:val="nil"/>
              <w:bottom w:val="single" w:color="auto" w:sz="4" w:space="0"/>
              <w:right w:val="single" w:color="auto" w:sz="4" w:space="0"/>
            </w:tcBorders>
            <w:shd w:val="clear" w:color="auto" w:fill="auto"/>
            <w:noWrap/>
            <w:vAlign w:val="center"/>
          </w:tcPr>
          <w:p>
            <w:pPr>
              <w:rPr>
                <w:rFonts w:hint="default" w:ascii="宋体" w:hAnsi="宋体" w:eastAsia="宋体" w:cs="宋体"/>
                <w:kern w:val="0"/>
                <w:sz w:val="22"/>
                <w:szCs w:val="22"/>
                <w:lang w:val="en-US" w:eastAsia="zh-CN" w:bidi="ar-SA"/>
              </w:rPr>
            </w:pPr>
            <w:r>
              <w:rPr>
                <w:rFonts w:hint="eastAsia" w:ascii="宋体" w:hAnsi="宋体" w:eastAsia="宋体" w:cs="宋体"/>
                <w:b w:val="0"/>
                <w:bCs/>
                <w:i w:val="0"/>
                <w:color w:val="000000"/>
                <w:sz w:val="22"/>
                <w:szCs w:val="22"/>
                <w:u w:val="none"/>
                <w:lang w:val="en-US" w:eastAsia="zh-CN"/>
              </w:rPr>
              <w:t>779.85</w:t>
            </w:r>
          </w:p>
        </w:tc>
        <w:tc>
          <w:tcPr>
            <w:tcW w:w="551" w:type="pct"/>
            <w:tcBorders>
              <w:top w:val="nil"/>
              <w:left w:val="nil"/>
              <w:bottom w:val="single" w:color="auto" w:sz="4" w:space="0"/>
              <w:right w:val="single" w:color="auto" w:sz="4" w:space="0"/>
            </w:tcBorders>
            <w:shd w:val="clear" w:color="auto" w:fill="auto"/>
            <w:noWrap/>
            <w:vAlign w:val="center"/>
          </w:tcPr>
          <w:p>
            <w:pPr>
              <w:widowControl/>
              <w:snapToGrid w:val="0"/>
              <w:jc w:val="righ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685" w:type="pct"/>
            <w:tcBorders>
              <w:top w:val="nil"/>
              <w:left w:val="nil"/>
              <w:bottom w:val="single" w:color="auto" w:sz="4" w:space="0"/>
              <w:right w:val="single" w:color="auto" w:sz="4" w:space="0"/>
            </w:tcBorders>
            <w:shd w:val="clear" w:color="auto" w:fill="auto"/>
            <w:noWrap/>
            <w:vAlign w:val="center"/>
          </w:tcPr>
          <w:p>
            <w:pPr>
              <w:widowControl/>
              <w:snapToGrid w:val="0"/>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32" w:type="dxa"/>
            <w:left w:w="64" w:type="dxa"/>
            <w:bottom w:w="32" w:type="dxa"/>
            <w:right w:w="64" w:type="dxa"/>
          </w:tblCellMar>
        </w:tblPrEx>
        <w:trPr>
          <w:trHeight w:val="0" w:hRule="atLeast"/>
          <w:jc w:val="center"/>
        </w:trPr>
        <w:tc>
          <w:tcPr>
            <w:tcW w:w="5000" w:type="pct"/>
            <w:gridSpan w:val="9"/>
            <w:tcBorders>
              <w:top w:val="nil"/>
              <w:left w:val="nil"/>
              <w:bottom w:val="nil"/>
              <w:right w:val="nil"/>
            </w:tcBorders>
            <w:shd w:val="clear" w:color="auto" w:fill="auto"/>
            <w:vAlign w:val="center"/>
          </w:tcPr>
          <w:p>
            <w:pPr>
              <w:widowControl/>
              <w:snapToGrid w:val="0"/>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0"/>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i w:val="0"/>
          <w:color w:val="000000"/>
          <w:kern w:val="0"/>
          <w:sz w:val="20"/>
          <w:szCs w:val="20"/>
          <w:u w:val="none"/>
          <w:lang w:val="en-US" w:eastAsia="zh-CN" w:bidi="ar"/>
        </w:rPr>
        <w:t>中国人民政治协商会议道县委员会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63"/>
        <w:gridCol w:w="3164"/>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779.86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601.77</w:t>
            </w:r>
          </w:p>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178.09</w:t>
            </w: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2010299</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其他政协事务支出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106.9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sz w:val="24"/>
                <w:szCs w:val="24"/>
                <w:lang w:val="en-US" w:eastAsia="zh-CN"/>
              </w:rPr>
              <w:t>106.9</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2010201</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华文中宋" w:hAnsi="华文中宋" w:eastAsia="华文中宋"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422.74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422.74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2010205</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z w:val="24"/>
                <w:szCs w:val="24"/>
                <w:lang w:eastAsia="zh-CN"/>
              </w:rPr>
              <w:t>委员视察</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16.53</w:t>
            </w: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2010206</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参政议政</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10.83</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w:t>
            </w: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21.59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21.59</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39.71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39.71</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2010204</w:t>
            </w:r>
          </w:p>
        </w:tc>
        <w:tc>
          <w:tcPr>
            <w:tcW w:w="316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政协会议</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160.32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bidi="ar-SA"/>
              </w:rPr>
              <w:t>160.32</w:t>
            </w: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945"/>
        <w:gridCol w:w="238"/>
        <w:gridCol w:w="89"/>
        <w:gridCol w:w="1480"/>
        <w:gridCol w:w="788"/>
        <w:gridCol w:w="1028"/>
        <w:gridCol w:w="1312"/>
        <w:gridCol w:w="907"/>
        <w:gridCol w:w="2523"/>
        <w:gridCol w:w="108"/>
        <w:gridCol w:w="1014"/>
        <w:gridCol w:w="840"/>
        <w:gridCol w:w="139"/>
        <w:gridCol w:w="1661"/>
        <w:gridCol w:w="968"/>
        <w:gridCol w:w="1252"/>
        <w:gridCol w:w="60"/>
      </w:tblGrid>
      <w:tr>
        <w:tblPrEx>
          <w:tblCellMar>
            <w:top w:w="0" w:type="dxa"/>
            <w:left w:w="108" w:type="dxa"/>
            <w:bottom w:w="0" w:type="dxa"/>
            <w:right w:w="108" w:type="dxa"/>
          </w:tblCellMar>
        </w:tblPrEx>
        <w:trPr>
          <w:gridAfter w:val="1"/>
          <w:wAfter w:w="60" w:type="dxa"/>
          <w:trHeight w:val="113" w:hRule="atLeast"/>
        </w:trPr>
        <w:tc>
          <w:tcPr>
            <w:tcW w:w="15292" w:type="dxa"/>
            <w:gridSpan w:val="16"/>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1" w:name="RANGE!A1:I34"/>
            <w:r>
              <w:rPr>
                <w:rFonts w:hint="eastAsia" w:ascii="华文中宋" w:hAnsi="华文中宋" w:eastAsia="华文中宋" w:cs="宋体"/>
                <w:color w:val="000000"/>
                <w:kern w:val="0"/>
                <w:szCs w:val="32"/>
              </w:rPr>
              <w:t>一般公共预算财政拨款基本支出决算明细表</w:t>
            </w:r>
            <w:bookmarkEnd w:id="1"/>
          </w:p>
          <w:p>
            <w:pPr>
              <w:widowControl/>
              <w:wordWrap w:val="0"/>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宋体" w:hAnsi="宋体" w:eastAsia="宋体" w:cs="宋体"/>
                <w:i w:val="0"/>
                <w:color w:val="000000"/>
                <w:kern w:val="0"/>
                <w:sz w:val="20"/>
                <w:szCs w:val="20"/>
                <w:u w:val="none"/>
                <w:lang w:val="en-US" w:eastAsia="zh-CN" w:bidi="ar"/>
              </w:rPr>
              <w:t>中国人民政治协商会议道县委员会</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gridAfter w:val="1"/>
          <w:wAfter w:w="60" w:type="dxa"/>
          <w:trHeight w:val="1043" w:hRule="atLeast"/>
        </w:trPr>
        <w:tc>
          <w:tcPr>
            <w:tcW w:w="12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26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0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5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2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768"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5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486.89</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113.88</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167.95</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17.1</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77.7</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8.81</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92.89</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18.12</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63.17</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3.04</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33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28.2</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7.79</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5.42</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7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15.27</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14.9</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9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3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2.1</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45"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20</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9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2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26.32</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35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2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5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1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w:t>
            </w:r>
          </w:p>
        </w:tc>
        <w:tc>
          <w:tcPr>
            <w:tcW w:w="8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6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1"/>
          <w:wAfter w:w="60" w:type="dxa"/>
          <w:trHeight w:val="284" w:hRule="exact"/>
        </w:trPr>
        <w:tc>
          <w:tcPr>
            <w:tcW w:w="354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23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487.89</w:t>
            </w:r>
          </w:p>
        </w:tc>
        <w:tc>
          <w:tcPr>
            <w:tcW w:w="8160" w:type="dxa"/>
            <w:gridSpan w:val="8"/>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公用经费合计</w:t>
            </w:r>
          </w:p>
        </w:tc>
        <w:tc>
          <w:tcPr>
            <w:tcW w:w="125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1"/>
                <w:szCs w:val="18"/>
                <w:lang w:val="en-US" w:eastAsia="zh-CN" w:bidi="ar-SA"/>
              </w:rPr>
            </w:pPr>
            <w:r>
              <w:rPr>
                <w:rFonts w:hint="eastAsia" w:ascii="宋体" w:hAnsi="宋体" w:eastAsia="宋体" w:cs="宋体"/>
                <w:color w:val="000000"/>
                <w:kern w:val="0"/>
                <w:sz w:val="21"/>
                <w:szCs w:val="18"/>
                <w:lang w:val="en-US" w:eastAsia="zh-CN" w:bidi="ar-SA"/>
              </w:rPr>
              <w:t>113.88</w:t>
            </w:r>
          </w:p>
        </w:tc>
      </w:tr>
      <w:tr>
        <w:tblPrEx>
          <w:tblCellMar>
            <w:top w:w="0" w:type="dxa"/>
            <w:left w:w="108" w:type="dxa"/>
            <w:bottom w:w="0" w:type="dxa"/>
            <w:right w:w="108" w:type="dxa"/>
          </w:tblCellMar>
        </w:tblPrEx>
        <w:trPr>
          <w:gridAfter w:val="1"/>
          <w:wAfter w:w="60" w:type="dxa"/>
          <w:trHeight w:val="284" w:hRule="exact"/>
        </w:trPr>
        <w:tc>
          <w:tcPr>
            <w:tcW w:w="15292" w:type="dxa"/>
            <w:gridSpan w:val="16"/>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352"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5"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56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81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3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9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6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80" w:type="dxa"/>
            <w:gridSpan w:val="3"/>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94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8"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5604" w:type="dxa"/>
            <w:gridSpan w:val="6"/>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中国人民政治协商会议道县委员会</w:t>
            </w:r>
          </w:p>
        </w:tc>
        <w:tc>
          <w:tcPr>
            <w:tcW w:w="263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9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6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80" w:type="dxa"/>
            <w:gridSpan w:val="3"/>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18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2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1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5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19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11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15352"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说明：我单位没有使用政府性基金预算安排的支出，故本表无数据。</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pPr>
        <w:widowControl/>
        <w:jc w:val="center"/>
        <w:rPr>
          <w:rFonts w:hint="eastAsia" w:ascii="Times New Roman" w:hAnsi="Times New Roman" w:eastAsia="方正小标宋_GBK" w:cs="Times New Roman"/>
          <w:color w:val="000000"/>
          <w:kern w:val="0"/>
          <w:sz w:val="36"/>
          <w:szCs w:val="36"/>
          <w:lang w:val="en-US" w:eastAsia="zh-CN"/>
        </w:rPr>
      </w:pPr>
    </w:p>
    <w:p>
      <w:pPr>
        <w:widowControl/>
        <w:jc w:val="center"/>
        <w:rPr>
          <w:rFonts w:hint="eastAsia" w:ascii="Times New Roman" w:hAnsi="Times New Roman" w:eastAsia="方正小标宋_GBK" w:cs="Times New Roman"/>
          <w:color w:val="000000"/>
          <w:kern w:val="0"/>
          <w:sz w:val="36"/>
          <w:szCs w:val="36"/>
          <w:lang w:val="en-US" w:eastAsia="zh-CN"/>
        </w:rPr>
      </w:pPr>
    </w:p>
    <w:p>
      <w:pPr>
        <w:widowControl/>
        <w:jc w:val="center"/>
        <w:rPr>
          <w:rFonts w:hint="eastAsia" w:ascii="Times New Roman" w:hAnsi="Times New Roman" w:eastAsia="方正小标宋_GBK" w:cs="Times New Roman"/>
          <w:color w:val="000000"/>
          <w:kern w:val="0"/>
          <w:sz w:val="36"/>
          <w:szCs w:val="36"/>
          <w:lang w:val="en-US" w:eastAsia="zh-CN"/>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560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中国人民政治协商会议道县委员会</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909"/>
        <w:gridCol w:w="915"/>
        <w:gridCol w:w="959"/>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0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9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95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378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中国人民政治协商会议道县委员会</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1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6"/>
        <w:jc w:val="both"/>
        <w:rPr>
          <w:sz w:val="72"/>
          <w:szCs w:val="72"/>
        </w:rPr>
      </w:pPr>
    </w:p>
    <w:p>
      <w:pPr>
        <w:pStyle w:val="16"/>
        <w:jc w:val="center"/>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第三部分</w:t>
      </w:r>
    </w:p>
    <w:p>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br w:type="page"/>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69.02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厉行节俭。</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601.77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77</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178.09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23</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69.02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厉行节俭。</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69.02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厉行节俭。</w:t>
      </w:r>
    </w:p>
    <w:p>
      <w:pPr>
        <w:pStyle w:val="16"/>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717.32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92</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40.95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其他支出21.59万元，占3%。</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106.9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97</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厉行节俭。</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422.74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422.74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委员视察</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16.53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参政议政</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10.83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社会保障就业支出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死亡抚恤</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社会保障就业支出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39.71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39.71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政协会议</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160.32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160.32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黑体" w:hAnsi="黑体" w:eastAsia="黑体" w:cs="黑体"/>
          <w:b w:val="0"/>
          <w:bCs/>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21.59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21.59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6"/>
        <w:spacing w:line="600" w:lineRule="exact"/>
        <w:ind w:firstLine="640" w:firstLineChars="200"/>
        <w:rPr>
          <w:rFonts w:hint="eastAsia" w:ascii="仿宋" w:hAnsi="仿宋" w:eastAsia="仿宋"/>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601.77</w:t>
      </w:r>
      <w:r>
        <w:rPr>
          <w:rFonts w:hint="eastAsia" w:ascii="Times New Roman" w:hAnsi="Times New Roman" w:eastAsia="仿宋_GB2312"/>
          <w:sz w:val="32"/>
          <w:szCs w:val="32"/>
        </w:rPr>
        <w:t>万元，全年工资福利</w:t>
      </w:r>
      <w:r>
        <w:rPr>
          <w:rFonts w:hint="eastAsia" w:ascii="Times New Roman" w:hAnsi="Times New Roman" w:eastAsia="仿宋_GB2312"/>
          <w:sz w:val="32"/>
          <w:szCs w:val="32"/>
          <w:lang w:eastAsia="zh-CN"/>
        </w:rPr>
        <w:t>决</w:t>
      </w:r>
      <w:r>
        <w:rPr>
          <w:rFonts w:hint="eastAsia" w:ascii="Times New Roman" w:hAnsi="Times New Roman" w:eastAsia="仿宋_GB2312"/>
          <w:sz w:val="32"/>
          <w:szCs w:val="32"/>
        </w:rPr>
        <w:t>算支出</w:t>
      </w:r>
      <w:r>
        <w:rPr>
          <w:rFonts w:hint="eastAsia" w:ascii="仿宋" w:hAnsi="仿宋" w:eastAsia="仿宋" w:cs="仿宋_GB2312"/>
          <w:sz w:val="32"/>
          <w:szCs w:val="32"/>
        </w:rPr>
        <w:t>：</w:t>
      </w:r>
      <w:r>
        <w:rPr>
          <w:rFonts w:hint="eastAsia" w:ascii="仿宋" w:hAnsi="仿宋" w:eastAsia="仿宋"/>
          <w:sz w:val="32"/>
          <w:szCs w:val="32"/>
          <w:lang w:val="en-US" w:eastAsia="zh-CN"/>
        </w:rPr>
        <w:t>509.86</w:t>
      </w:r>
      <w:r>
        <w:rPr>
          <w:rFonts w:hint="eastAsia" w:ascii="仿宋" w:hAnsi="仿宋" w:eastAsia="仿宋"/>
          <w:sz w:val="32"/>
          <w:szCs w:val="32"/>
        </w:rPr>
        <w:t>万元，主要包括：基本工资</w:t>
      </w:r>
      <w:r>
        <w:rPr>
          <w:rFonts w:hint="eastAsia" w:ascii="仿宋" w:hAnsi="仿宋" w:eastAsia="仿宋"/>
          <w:sz w:val="32"/>
          <w:szCs w:val="32"/>
          <w:lang w:val="en-US" w:eastAsia="zh-CN"/>
        </w:rPr>
        <w:t>167.95</w:t>
      </w:r>
      <w:r>
        <w:rPr>
          <w:rFonts w:hint="eastAsia" w:ascii="仿宋" w:hAnsi="仿宋" w:eastAsia="仿宋"/>
          <w:sz w:val="32"/>
          <w:szCs w:val="32"/>
        </w:rPr>
        <w:t>万元，津贴补贴</w:t>
      </w:r>
      <w:r>
        <w:rPr>
          <w:rFonts w:hint="eastAsia" w:ascii="仿宋" w:hAnsi="仿宋" w:eastAsia="仿宋"/>
          <w:sz w:val="32"/>
          <w:szCs w:val="32"/>
          <w:lang w:val="en-US" w:eastAsia="zh-CN"/>
        </w:rPr>
        <w:t>77.7</w:t>
      </w:r>
      <w:r>
        <w:rPr>
          <w:rFonts w:hint="eastAsia" w:ascii="仿宋" w:hAnsi="仿宋" w:eastAsia="仿宋"/>
          <w:sz w:val="32"/>
          <w:szCs w:val="32"/>
        </w:rPr>
        <w:t>万元，奖金</w:t>
      </w:r>
      <w:r>
        <w:rPr>
          <w:rFonts w:hint="eastAsia" w:ascii="仿宋" w:hAnsi="仿宋" w:eastAsia="仿宋"/>
          <w:sz w:val="32"/>
          <w:szCs w:val="32"/>
          <w:lang w:val="en-US" w:eastAsia="zh-CN"/>
        </w:rPr>
        <w:t>92.89</w:t>
      </w:r>
      <w:r>
        <w:rPr>
          <w:rFonts w:hint="eastAsia" w:ascii="仿宋" w:hAnsi="仿宋" w:eastAsia="仿宋"/>
          <w:sz w:val="32"/>
          <w:szCs w:val="32"/>
        </w:rPr>
        <w:t>万元，伙食补助费</w:t>
      </w:r>
      <w:r>
        <w:rPr>
          <w:rFonts w:hint="eastAsia" w:ascii="仿宋" w:hAnsi="仿宋" w:eastAsia="仿宋"/>
          <w:sz w:val="32"/>
          <w:szCs w:val="32"/>
          <w:lang w:val="en-US" w:eastAsia="zh-CN"/>
        </w:rPr>
        <w:t>19</w:t>
      </w:r>
      <w:r>
        <w:rPr>
          <w:rFonts w:hint="eastAsia" w:ascii="仿宋" w:hAnsi="仿宋" w:eastAsia="仿宋"/>
          <w:sz w:val="32"/>
          <w:szCs w:val="32"/>
        </w:rPr>
        <w:t>万元，绩效工资</w:t>
      </w:r>
      <w:r>
        <w:rPr>
          <w:rFonts w:hint="eastAsia" w:ascii="仿宋" w:hAnsi="仿宋" w:eastAsia="仿宋"/>
          <w:sz w:val="32"/>
          <w:szCs w:val="32"/>
          <w:lang w:val="en-US" w:eastAsia="zh-CN"/>
        </w:rPr>
        <w:t>18.12</w:t>
      </w:r>
      <w:r>
        <w:rPr>
          <w:rFonts w:hint="eastAsia" w:ascii="仿宋" w:hAnsi="仿宋" w:eastAsia="仿宋"/>
          <w:sz w:val="32"/>
          <w:szCs w:val="32"/>
        </w:rPr>
        <w:t>万元，基本养老</w:t>
      </w:r>
      <w:r>
        <w:rPr>
          <w:rFonts w:hint="eastAsia" w:ascii="仿宋" w:hAnsi="仿宋" w:eastAsia="仿宋"/>
          <w:sz w:val="32"/>
          <w:szCs w:val="32"/>
          <w:lang w:val="en-US" w:eastAsia="zh-CN"/>
        </w:rPr>
        <w:t>63.17</w:t>
      </w:r>
      <w:r>
        <w:rPr>
          <w:rFonts w:hint="eastAsia" w:ascii="仿宋" w:hAnsi="仿宋" w:eastAsia="仿宋"/>
          <w:sz w:val="32"/>
          <w:szCs w:val="32"/>
        </w:rPr>
        <w:t>万元，医疗保险缴费</w:t>
      </w:r>
      <w:r>
        <w:rPr>
          <w:rFonts w:hint="eastAsia" w:ascii="仿宋" w:hAnsi="仿宋" w:eastAsia="仿宋"/>
          <w:sz w:val="32"/>
          <w:szCs w:val="32"/>
          <w:lang w:val="en-US" w:eastAsia="zh-CN"/>
        </w:rPr>
        <w:t>28.2</w:t>
      </w:r>
      <w:r>
        <w:rPr>
          <w:rFonts w:hint="eastAsia" w:ascii="仿宋" w:hAnsi="仿宋" w:eastAsia="仿宋"/>
          <w:sz w:val="32"/>
          <w:szCs w:val="32"/>
        </w:rPr>
        <w:t>万元，住房公积金</w:t>
      </w:r>
      <w:r>
        <w:rPr>
          <w:rFonts w:hint="eastAsia" w:ascii="仿宋" w:hAnsi="仿宋" w:eastAsia="仿宋"/>
          <w:sz w:val="32"/>
          <w:szCs w:val="32"/>
          <w:lang w:val="en-US" w:eastAsia="zh-CN"/>
        </w:rPr>
        <w:t>17</w:t>
      </w:r>
      <w:r>
        <w:rPr>
          <w:rFonts w:hint="eastAsia" w:ascii="仿宋" w:hAnsi="仿宋" w:eastAsia="仿宋"/>
          <w:sz w:val="32"/>
          <w:szCs w:val="32"/>
        </w:rPr>
        <w:t>万元</w:t>
      </w:r>
      <w:r>
        <w:rPr>
          <w:rFonts w:hint="eastAsia" w:ascii="仿宋" w:hAnsi="仿宋" w:eastAsia="仿宋"/>
          <w:sz w:val="32"/>
          <w:szCs w:val="32"/>
          <w:lang w:val="en-US" w:eastAsia="zh-CN"/>
        </w:rPr>
        <w:t>,其他工资福利支出14.9万元</w:t>
      </w:r>
      <w:r>
        <w:rPr>
          <w:rFonts w:hint="eastAsia" w:ascii="仿宋" w:hAnsi="仿宋" w:eastAsia="仿宋"/>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val="0"/>
          <w:bCs w:val="0"/>
          <w:sz w:val="32"/>
          <w:szCs w:val="32"/>
        </w:rPr>
        <w:t>公用经费</w:t>
      </w:r>
      <w:r>
        <w:rPr>
          <w:rFonts w:hint="eastAsia" w:ascii="Times New Roman" w:hAnsi="Times New Roman" w:eastAsia="仿宋_GB2312"/>
          <w:sz w:val="32"/>
          <w:szCs w:val="32"/>
          <w:lang w:val="en-US" w:eastAsia="zh-CN"/>
        </w:rPr>
        <w:t>113.88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用于发改日常办公工作开支。其中：办公费17.1万元，印刷费8.81万元，邮电费3.04万元，物业管理费7.79万元，差旅费5.42万元，公务接待费0.5万元，其他交通费26.32万元，劳务费2.1万元，工会经费20万元，福利费1.6万元，其他商品和服务支出6万元</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20.9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举办了几次大会，相应增加了办公费、会议费和培训费。</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厉行节俭，</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持平。</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厉行节俭</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万元，全年共接待来访来宾</w:t>
      </w:r>
      <w:r>
        <w:rPr>
          <w:rFonts w:hint="eastAsia" w:ascii="Times New Roman" w:hAnsi="Times New Roman" w:eastAsia="仿宋_GB2312"/>
          <w:sz w:val="32"/>
          <w:szCs w:val="32"/>
          <w:lang w:val="en-US" w:eastAsia="zh-CN"/>
        </w:rPr>
        <w:t>47</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接待上级领导部门、重点课题调研、相关企业、客商等</w:t>
      </w:r>
      <w:r>
        <w:rPr>
          <w:rFonts w:hint="eastAsia" w:ascii="Times New Roman" w:hAnsi="Times New Roman" w:eastAsia="仿宋_GB2312"/>
          <w:sz w:val="32"/>
          <w:szCs w:val="32"/>
        </w:rPr>
        <w:t>发生的接待支出。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keepNext w:val="0"/>
        <w:keepLines w:val="0"/>
        <w:widowControl/>
        <w:suppressLineNumbers w:val="0"/>
        <w:jc w:val="left"/>
        <w:textAlignment w:val="cente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cs="黑体"/>
          <w:color w:val="000000"/>
          <w:kern w:val="0"/>
          <w:sz w:val="32"/>
          <w:szCs w:val="32"/>
          <w:lang w:val="en-US" w:eastAsia="zh-CN" w:bidi="ar-SA"/>
        </w:rPr>
        <w:t xml:space="preserve"> 我单位没有使用政府性基金预算安排的支出，故本表无数据。   </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487.89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，机关运行经费</w:t>
      </w:r>
      <w:r>
        <w:rPr>
          <w:rFonts w:hint="eastAsia" w:ascii="Times New Roman" w:hAnsi="Times New Roman" w:eastAsia="仿宋_GB2312"/>
          <w:sz w:val="32"/>
          <w:szCs w:val="32"/>
        </w:rPr>
        <w:t>是指为保障单位机构正常运转、完成日常工作任务而发生的各项支出，包括用于基本工资、津贴补贴等人员经费以及办公费、印刷费、水电费、办公设备购置等日常工作运转经费。</w:t>
      </w:r>
    </w:p>
    <w:p>
      <w:pPr>
        <w:pStyle w:val="16"/>
        <w:spacing w:line="600" w:lineRule="exact"/>
        <w:ind w:firstLine="640" w:firstLineChars="200"/>
        <w:rPr>
          <w:rFonts w:hint="eastAsia" w:ascii="仿宋" w:hAnsi="仿宋" w:eastAsia="仿宋"/>
          <w:sz w:val="32"/>
          <w:szCs w:val="32"/>
        </w:rPr>
      </w:pPr>
      <w:r>
        <w:rPr>
          <w:rFonts w:hint="eastAsia" w:ascii="Times New Roman" w:hAnsi="Times New Roman" w:eastAsia="仿宋_GB2312"/>
          <w:sz w:val="32"/>
          <w:szCs w:val="32"/>
        </w:rPr>
        <w:t>1.工资福利支出。全年工资福利</w:t>
      </w:r>
      <w:r>
        <w:rPr>
          <w:rFonts w:hint="eastAsia" w:ascii="Times New Roman" w:hAnsi="Times New Roman" w:eastAsia="仿宋_GB2312"/>
          <w:sz w:val="32"/>
          <w:szCs w:val="32"/>
          <w:lang w:eastAsia="zh-CN"/>
        </w:rPr>
        <w:t>决</w:t>
      </w:r>
      <w:r>
        <w:rPr>
          <w:rFonts w:hint="eastAsia" w:ascii="Times New Roman" w:hAnsi="Times New Roman" w:eastAsia="仿宋_GB2312"/>
          <w:sz w:val="32"/>
          <w:szCs w:val="32"/>
        </w:rPr>
        <w:t>算支出</w:t>
      </w:r>
      <w:r>
        <w:rPr>
          <w:rFonts w:hint="eastAsia" w:ascii="仿宋" w:hAnsi="仿宋" w:eastAsia="仿宋" w:cs="仿宋_GB2312"/>
          <w:sz w:val="32"/>
          <w:szCs w:val="32"/>
        </w:rPr>
        <w:t>：</w:t>
      </w:r>
      <w:r>
        <w:rPr>
          <w:rFonts w:hint="eastAsia" w:ascii="仿宋" w:hAnsi="仿宋" w:eastAsia="仿宋"/>
          <w:sz w:val="32"/>
          <w:szCs w:val="32"/>
          <w:lang w:val="en-US" w:eastAsia="zh-CN"/>
        </w:rPr>
        <w:t>486.89</w:t>
      </w:r>
      <w:r>
        <w:rPr>
          <w:rFonts w:hint="eastAsia" w:ascii="仿宋" w:hAnsi="仿宋" w:eastAsia="仿宋"/>
          <w:sz w:val="32"/>
          <w:szCs w:val="32"/>
        </w:rPr>
        <w:t>万元，主要包括：基本工资</w:t>
      </w:r>
      <w:r>
        <w:rPr>
          <w:rFonts w:hint="eastAsia" w:ascii="仿宋" w:hAnsi="仿宋" w:eastAsia="仿宋"/>
          <w:sz w:val="32"/>
          <w:szCs w:val="32"/>
          <w:lang w:val="en-US" w:eastAsia="zh-CN"/>
        </w:rPr>
        <w:t>167.95</w:t>
      </w:r>
      <w:r>
        <w:rPr>
          <w:rFonts w:hint="eastAsia" w:ascii="仿宋" w:hAnsi="仿宋" w:eastAsia="仿宋"/>
          <w:sz w:val="32"/>
          <w:szCs w:val="32"/>
        </w:rPr>
        <w:t>万元，津贴补贴</w:t>
      </w:r>
      <w:r>
        <w:rPr>
          <w:rFonts w:hint="eastAsia" w:ascii="仿宋" w:hAnsi="仿宋" w:eastAsia="仿宋"/>
          <w:sz w:val="32"/>
          <w:szCs w:val="32"/>
          <w:lang w:val="en-US" w:eastAsia="zh-CN"/>
        </w:rPr>
        <w:t>77.7</w:t>
      </w:r>
      <w:r>
        <w:rPr>
          <w:rFonts w:hint="eastAsia" w:ascii="仿宋" w:hAnsi="仿宋" w:eastAsia="仿宋"/>
          <w:sz w:val="32"/>
          <w:szCs w:val="32"/>
        </w:rPr>
        <w:t>万元，奖金</w:t>
      </w:r>
      <w:r>
        <w:rPr>
          <w:rFonts w:hint="eastAsia" w:ascii="仿宋" w:hAnsi="仿宋" w:eastAsia="仿宋"/>
          <w:sz w:val="32"/>
          <w:szCs w:val="32"/>
          <w:lang w:val="en-US" w:eastAsia="zh-CN"/>
        </w:rPr>
        <w:t>92.89</w:t>
      </w:r>
      <w:r>
        <w:rPr>
          <w:rFonts w:hint="eastAsia" w:ascii="仿宋" w:hAnsi="仿宋" w:eastAsia="仿宋"/>
          <w:sz w:val="32"/>
          <w:szCs w:val="32"/>
        </w:rPr>
        <w:t>万元，伙食补助费</w:t>
      </w:r>
      <w:r>
        <w:rPr>
          <w:rFonts w:hint="eastAsia" w:ascii="仿宋" w:hAnsi="仿宋" w:eastAsia="仿宋"/>
          <w:sz w:val="32"/>
          <w:szCs w:val="32"/>
          <w:lang w:val="en-US" w:eastAsia="zh-CN"/>
        </w:rPr>
        <w:t>19</w:t>
      </w:r>
      <w:r>
        <w:rPr>
          <w:rFonts w:hint="eastAsia" w:ascii="仿宋" w:hAnsi="仿宋" w:eastAsia="仿宋"/>
          <w:sz w:val="32"/>
          <w:szCs w:val="32"/>
        </w:rPr>
        <w:t>万元，绩效工资</w:t>
      </w:r>
      <w:r>
        <w:rPr>
          <w:rFonts w:hint="eastAsia" w:ascii="仿宋" w:hAnsi="仿宋" w:eastAsia="仿宋"/>
          <w:sz w:val="32"/>
          <w:szCs w:val="32"/>
          <w:lang w:val="en-US" w:eastAsia="zh-CN"/>
        </w:rPr>
        <w:t>18.12</w:t>
      </w:r>
      <w:r>
        <w:rPr>
          <w:rFonts w:hint="eastAsia" w:ascii="仿宋" w:hAnsi="仿宋" w:eastAsia="仿宋"/>
          <w:sz w:val="32"/>
          <w:szCs w:val="32"/>
        </w:rPr>
        <w:t>万元，基本养老</w:t>
      </w:r>
      <w:r>
        <w:rPr>
          <w:rFonts w:hint="eastAsia" w:ascii="仿宋" w:hAnsi="仿宋" w:eastAsia="仿宋"/>
          <w:sz w:val="32"/>
          <w:szCs w:val="32"/>
          <w:lang w:val="en-US" w:eastAsia="zh-CN"/>
        </w:rPr>
        <w:t>63.17</w:t>
      </w:r>
      <w:r>
        <w:rPr>
          <w:rFonts w:hint="eastAsia" w:ascii="仿宋" w:hAnsi="仿宋" w:eastAsia="仿宋"/>
          <w:sz w:val="32"/>
          <w:szCs w:val="32"/>
        </w:rPr>
        <w:t>万元，医疗保险缴费</w:t>
      </w:r>
      <w:r>
        <w:rPr>
          <w:rFonts w:hint="eastAsia" w:ascii="仿宋" w:hAnsi="仿宋" w:eastAsia="仿宋"/>
          <w:sz w:val="32"/>
          <w:szCs w:val="32"/>
          <w:lang w:val="en-US" w:eastAsia="zh-CN"/>
        </w:rPr>
        <w:t>28.2</w:t>
      </w:r>
      <w:r>
        <w:rPr>
          <w:rFonts w:hint="eastAsia" w:ascii="仿宋" w:hAnsi="仿宋" w:eastAsia="仿宋"/>
          <w:sz w:val="32"/>
          <w:szCs w:val="32"/>
        </w:rPr>
        <w:t>万元，住房公积金</w:t>
      </w:r>
      <w:r>
        <w:rPr>
          <w:rFonts w:hint="eastAsia" w:ascii="仿宋" w:hAnsi="仿宋" w:eastAsia="仿宋"/>
          <w:sz w:val="32"/>
          <w:szCs w:val="32"/>
          <w:lang w:val="en-US" w:eastAsia="zh-CN"/>
        </w:rPr>
        <w:t>17</w:t>
      </w:r>
      <w:r>
        <w:rPr>
          <w:rFonts w:hint="eastAsia" w:ascii="仿宋" w:hAnsi="仿宋" w:eastAsia="仿宋"/>
          <w:sz w:val="32"/>
          <w:szCs w:val="32"/>
        </w:rPr>
        <w:t>万元</w:t>
      </w:r>
      <w:r>
        <w:rPr>
          <w:rFonts w:hint="eastAsia" w:ascii="仿宋" w:hAnsi="仿宋" w:eastAsia="仿宋"/>
          <w:sz w:val="32"/>
          <w:szCs w:val="32"/>
          <w:lang w:val="en-US" w:eastAsia="zh-CN"/>
        </w:rPr>
        <w:t>,其他工资福利支出14.9万元</w:t>
      </w:r>
      <w:r>
        <w:rPr>
          <w:rFonts w:hint="eastAsia" w:ascii="仿宋" w:hAnsi="仿宋" w:eastAsia="仿宋"/>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2.一般商品和服务支出。商品和服务支出共计</w:t>
      </w:r>
      <w:r>
        <w:rPr>
          <w:rFonts w:hint="eastAsia" w:ascii="Times New Roman" w:hAnsi="Times New Roman" w:eastAsia="仿宋_GB2312"/>
          <w:sz w:val="32"/>
          <w:szCs w:val="32"/>
          <w:lang w:val="en-US" w:eastAsia="zh-CN"/>
        </w:rPr>
        <w:t>113.88</w:t>
      </w:r>
      <w:r>
        <w:rPr>
          <w:rFonts w:hint="eastAsia" w:ascii="Times New Roman" w:hAnsi="Times New Roman" w:eastAsia="仿宋_GB2312"/>
          <w:sz w:val="32"/>
          <w:szCs w:val="32"/>
        </w:rPr>
        <w:t>万元，用于</w:t>
      </w:r>
      <w:r>
        <w:rPr>
          <w:rFonts w:hint="eastAsia" w:ascii="Times New Roman" w:hAnsi="Times New Roman" w:eastAsia="仿宋_GB2312"/>
          <w:sz w:val="32"/>
          <w:szCs w:val="32"/>
          <w:lang w:eastAsia="zh-CN"/>
        </w:rPr>
        <w:t>政协</w:t>
      </w:r>
      <w:r>
        <w:rPr>
          <w:rFonts w:hint="eastAsia" w:ascii="Times New Roman" w:hAnsi="Times New Roman" w:eastAsia="仿宋_GB2312"/>
          <w:sz w:val="32"/>
          <w:szCs w:val="32"/>
        </w:rPr>
        <w:t>日常办公工作开支。其中：</w:t>
      </w:r>
      <w:r>
        <w:rPr>
          <w:rFonts w:hint="eastAsia" w:ascii="Times New Roman" w:hAnsi="Times New Roman" w:eastAsia="仿宋_GB2312"/>
          <w:sz w:val="32"/>
          <w:szCs w:val="32"/>
          <w:lang w:val="en-US" w:eastAsia="zh-CN"/>
        </w:rPr>
        <w:t>办公费17.1万元，印刷费8.81万元，邮电费3.04万元，物业管理费7.79万元，差旅费5.42万元，公务接待费0.5万元，其他交通费26.32万元，劳务费2.1万元，工会经费20万元，福利费1.6万元，其他商品和服务支出6万元</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20.9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举办了几次大会，相应增加了办公费、会议费和培训费。</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160.32</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没有</w:t>
      </w:r>
      <w:r>
        <w:rPr>
          <w:rFonts w:hint="eastAsia" w:ascii="Times New Roman" w:hAnsi="Times New Roman" w:eastAsia="仿宋_GB2312"/>
          <w:sz w:val="32"/>
          <w:szCs w:val="32"/>
        </w:rPr>
        <w:t>举办节庆、晚会、论坛、赛事活动。</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我单位组织对202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年度部门整体支出和专项资金实施了全覆盖性的绩效评价，撰写了整体绩效评价报告，纳入202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 xml:space="preserve">年部门整体支出绩效目标的金额为 </w:t>
      </w:r>
      <w:r>
        <w:rPr>
          <w:rFonts w:hint="eastAsia" w:ascii="Times New Roman" w:hAnsi="Times New Roman" w:eastAsia="仿宋_GB2312"/>
          <w:sz w:val="32"/>
          <w:szCs w:val="32"/>
          <w:lang w:val="en-US" w:eastAsia="zh-CN"/>
        </w:rPr>
        <w:t>779.86</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601.77</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178.09</w:t>
      </w:r>
      <w:r>
        <w:rPr>
          <w:rFonts w:hint="eastAsia" w:ascii="Times New Roman" w:hAnsi="Times New Roman" w:eastAsia="仿宋_GB2312"/>
          <w:sz w:val="32"/>
          <w:szCs w:val="32"/>
        </w:rPr>
        <w:t>万元，自评覆盖率达到100%，绩效自评结果显示，上述项目支出绩效情况较为理想，均达到了项目申请时设定的各项绩效目标。</w:t>
      </w:r>
    </w:p>
    <w:p>
      <w:pPr>
        <w:pStyle w:val="16"/>
        <w:keepNext w:val="0"/>
        <w:keepLines w:val="0"/>
        <w:pageBreakBefore w:val="0"/>
        <w:widowControl w:val="0"/>
        <w:numPr>
          <w:ilvl w:val="0"/>
          <w:numId w:val="4"/>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ind w:firstLine="640" w:firstLineChars="200"/>
        <w:rPr>
          <w:rFonts w:hint="eastAsia"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部门重点工作计划</w:t>
      </w:r>
      <w:r>
        <w:rPr>
          <w:rFonts w:hint="eastAsia" w:ascii="Times New Roman" w:hAnsi="Times New Roman" w:eastAsia="仿宋_GB2312" w:cs="Times New Roman"/>
          <w:b w:val="0"/>
          <w:bCs w:val="0"/>
          <w:sz w:val="32"/>
          <w:szCs w:val="32"/>
          <w:highlight w:val="none"/>
          <w:lang w:val="en-US" w:eastAsia="zh-CN"/>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ind w:left="0" w:leftChars="0" w:firstLine="736" w:firstLineChars="230"/>
        <w:jc w:val="left"/>
        <w:rPr>
          <w:rFonts w:hint="eastAsia"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cs="仿宋_GB2312"/>
          <w:i w:val="0"/>
          <w:caps w:val="0"/>
          <w:color w:val="333333"/>
          <w:spacing w:val="0"/>
          <w:kern w:val="0"/>
          <w:sz w:val="32"/>
          <w:szCs w:val="32"/>
          <w:lang w:val="en-US" w:eastAsia="zh-CN" w:bidi="ar"/>
        </w:rPr>
        <w:t>2025年主要工作任务及目标是：带领全体委员及机关干部职工全面深入学习贯彻落实党的二十大精神，为推动道县的高质量发展贡献政协智慧和力量；负责筹备和组织召开县政协十届三次全会和全年的常委会例会；参照全国政协和省、市政协的做法举办专题协商会议；根据县委和县政府的重大决策对影响全县经济社会发展的重点课题进行调研；组织开展行风评议；加大招商引资力度；组织好委员的异地调研和考察活动；做好文史资料的收集建档保存编印；继续做好“三创三争三好”工作，发挥专门协商机构作用，推进政协工作向基层延伸，加强乡镇(街道)政协委员工作室建设，发挥政协委员界别工作室作用；做好乡村振兴帮扶、党建、等驻点联村工作；管理好机关内务，做好“三保工作”，确保机关工作的正常运转；加强省市县三级政协联动，创新履职方式，建设务实、智慧、开放、和谐的新型机关，解决实际工作中的薄弱问题，助推道县社会经济的高质量发展。</w:t>
      </w:r>
    </w:p>
    <w:p>
      <w:pPr>
        <w:ind w:firstLine="640" w:firstLineChars="200"/>
        <w:rPr>
          <w:rFonts w:hint="eastAsia" w:ascii="仿宋_GB2312" w:hAnsi="仿宋_GB2312" w:eastAsia="仿宋_GB2312"/>
          <w:b/>
          <w:bCs/>
          <w:color w:val="000000"/>
          <w:spacing w:val="6"/>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投身重点项目建设</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eastAsia="zh-CN"/>
        </w:rPr>
        <w:t>加强了对重点项目联系工作力度，为每个政协县级</w:t>
      </w:r>
      <w:r>
        <w:rPr>
          <w:rFonts w:hint="eastAsia" w:ascii="仿宋_GB2312" w:hAnsi="仿宋_GB2312" w:eastAsia="仿宋_GB2312" w:cs="仿宋_GB2312"/>
          <w:color w:val="000000"/>
          <w:spacing w:val="6"/>
          <w:sz w:val="32"/>
          <w:szCs w:val="32"/>
          <w:lang w:eastAsia="zh-CN"/>
        </w:rPr>
        <w:t>领导</w:t>
      </w:r>
      <w:r>
        <w:rPr>
          <w:rFonts w:hint="eastAsia" w:ascii="仿宋_GB2312" w:hAnsi="仿宋_GB2312" w:eastAsia="仿宋_GB2312"/>
          <w:color w:val="000000"/>
          <w:spacing w:val="6"/>
          <w:sz w:val="32"/>
          <w:szCs w:val="32"/>
          <w:lang w:eastAsia="zh-CN"/>
        </w:rPr>
        <w:t>领衔负责的项目明确了一名工作人员协助工作。并将服务重点项目工作列入机关委室和工作人员的绩效考核，增强政协机关工作人员对服务重点项目建设工作的责任感。</w:t>
      </w:r>
    </w:p>
    <w:p>
      <w:pPr>
        <w:ind w:firstLine="634"/>
        <w:rPr>
          <w:rFonts w:hint="eastAsia" w:ascii="仿宋_GB2312" w:hAnsi="仿宋_GB2312" w:eastAsia="仿宋_GB2312"/>
          <w:b/>
          <w:bCs/>
          <w:sz w:val="32"/>
          <w:szCs w:val="32"/>
          <w:lang w:val="en-US" w:eastAsia="zh-CN"/>
        </w:rPr>
      </w:pPr>
      <w:r>
        <w:rPr>
          <w:rFonts w:hint="eastAsia" w:ascii="仿宋_GB2312" w:hAnsi="仿宋_GB2312" w:eastAsia="仿宋_GB2312"/>
          <w:b/>
          <w:bCs/>
          <w:sz w:val="32"/>
          <w:szCs w:val="32"/>
          <w:lang w:val="en-US" w:eastAsia="zh-CN"/>
        </w:rPr>
        <w:t>2.</w:t>
      </w:r>
      <w:r>
        <w:rPr>
          <w:rFonts w:hint="eastAsia" w:ascii="仿宋_GB2312" w:hAnsi="仿宋_GB2312" w:eastAsia="仿宋_GB2312"/>
          <w:b/>
          <w:bCs/>
          <w:sz w:val="32"/>
          <w:szCs w:val="32"/>
          <w:lang w:eastAsia="zh-CN"/>
        </w:rPr>
        <w:t>助力乡村振兴工作。</w:t>
      </w:r>
      <w:r>
        <w:rPr>
          <w:rFonts w:hint="eastAsia" w:ascii="仿宋_GB2312" w:hAnsi="仿宋_GB2312" w:eastAsia="仿宋_GB2312"/>
          <w:b w:val="0"/>
          <w:bCs w:val="0"/>
          <w:sz w:val="32"/>
          <w:szCs w:val="32"/>
          <w:lang w:eastAsia="zh-CN"/>
        </w:rPr>
        <w:t>加强乡村振兴驻村力量</w:t>
      </w:r>
      <w:r>
        <w:rPr>
          <w:rFonts w:hint="eastAsia" w:ascii="仿宋_GB2312" w:hAnsi="仿宋_GB2312" w:eastAsia="仿宋_GB2312"/>
          <w:sz w:val="32"/>
          <w:szCs w:val="32"/>
          <w:lang w:eastAsia="zh-CN"/>
        </w:rPr>
        <w:t>。今年安排了一名委室主任、一名委室副主任、一名机关干部职工组成工作队脱产驻社区开展乡村振兴工作。并组织机关干部深入居民户了解情况，结合当地实际，</w:t>
      </w:r>
      <w:r>
        <w:rPr>
          <w:rFonts w:hint="eastAsia" w:ascii="仿宋_GB2312" w:hAnsi="仿宋_GB2312" w:eastAsia="仿宋_GB2312"/>
          <w:color w:val="000000"/>
          <w:kern w:val="2"/>
          <w:sz w:val="32"/>
          <w:szCs w:val="32"/>
          <w:lang w:val="en-US" w:eastAsia="zh-CN" w:bidi="ar-SA"/>
        </w:rPr>
        <w:t>规划实施村级旅游、废品收购等产业发展，</w:t>
      </w:r>
      <w:r>
        <w:rPr>
          <w:rFonts w:hint="eastAsia" w:ascii="仿宋_GB2312" w:hAnsi="仿宋_GB2312" w:eastAsia="仿宋_GB2312"/>
          <w:sz w:val="32"/>
          <w:szCs w:val="32"/>
        </w:rPr>
        <w:t>以实际行动助力乡村振兴。</w:t>
      </w:r>
    </w:p>
    <w:p>
      <w:pPr>
        <w:ind w:firstLine="634"/>
        <w:rPr>
          <w:rFonts w:hint="eastAsia"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b/>
          <w:bCs/>
          <w:sz w:val="32"/>
          <w:szCs w:val="32"/>
          <w:lang w:val="en-US" w:eastAsia="zh-CN"/>
        </w:rPr>
        <w:t>3.</w:t>
      </w:r>
      <w:r>
        <w:rPr>
          <w:rFonts w:hint="eastAsia" w:ascii="仿宋_GB2312" w:hAnsi="仿宋_GB2312" w:eastAsia="仿宋_GB2312"/>
          <w:b/>
          <w:bCs/>
          <w:sz w:val="32"/>
          <w:szCs w:val="32"/>
          <w:lang w:eastAsia="zh-CN"/>
        </w:rPr>
        <w:t>参与文明创建工作。</w:t>
      </w:r>
      <w:r>
        <w:rPr>
          <w:rFonts w:hint="eastAsia" w:ascii="仿宋_GB2312" w:hAnsi="仿宋_GB2312" w:eastAsia="仿宋_GB2312" w:cs="仿宋_GB2312"/>
          <w:color w:val="auto"/>
          <w:kern w:val="2"/>
          <w:sz w:val="32"/>
          <w:szCs w:val="32"/>
          <w:lang w:val="en-US" w:eastAsia="zh-CN" w:bidi="ar-SA"/>
        </w:rPr>
        <w:t>机关人员全部分岗按责定期深入石厨头社区开展文明创建工作，硬化道路、建设临时停车位、整理修复古老建筑，全面开展老旧小区改造工作，使社区面貌焕然一新。并在社区成立以文明创建为主题的委员工作室，助力文明创建工作。2024年所联系社区文明创建工作季度和全年排名均名列全县前茅。</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6"/>
        <w:ind w:firstLine="620" w:firstLineChars="200"/>
        <w:jc w:val="both"/>
        <w:rPr>
          <w:rFonts w:hint="eastAsia" w:ascii="仿宋" w:hAnsi="仿宋" w:eastAsia="仿宋" w:cs="仿宋"/>
          <w:i w:val="0"/>
          <w:iCs w:val="0"/>
          <w:caps w:val="0"/>
          <w:color w:val="000000"/>
          <w:spacing w:val="0"/>
          <w:sz w:val="31"/>
          <w:szCs w:val="31"/>
          <w:shd w:val="clear" w:fill="FFFFFF"/>
          <w:lang w:eastAsia="zh-CN"/>
        </w:rPr>
      </w:pPr>
      <w:r>
        <w:rPr>
          <w:rFonts w:ascii="仿宋" w:hAnsi="仿宋" w:eastAsia="仿宋" w:cs="仿宋"/>
          <w:i w:val="0"/>
          <w:iCs w:val="0"/>
          <w:caps w:val="0"/>
          <w:color w:val="000000"/>
          <w:spacing w:val="0"/>
          <w:sz w:val="31"/>
          <w:szCs w:val="31"/>
          <w:shd w:val="clear" w:fill="FFFFFF"/>
        </w:rPr>
        <w:t>预算绩效管理工作有待加强。虽然开展了预算绩效管理工作，但仍存在一些不足：一是绩效目标编制不规范。目标设立不够明确、细化、量化，使用定性指标较多，数量指标较少，部门整体支出自评质量也不高。</w:t>
      </w:r>
    </w:p>
    <w:p>
      <w:pPr>
        <w:pStyle w:val="16"/>
        <w:ind w:firstLine="620" w:firstLineChars="200"/>
        <w:jc w:val="both"/>
        <w:rPr>
          <w:rFonts w:hint="eastAsia" w:ascii="仿宋" w:hAnsi="仿宋" w:eastAsia="仿宋" w:cs="仿宋"/>
          <w:i w:val="0"/>
          <w:iCs w:val="0"/>
          <w:caps w:val="0"/>
          <w:color w:val="000000"/>
          <w:spacing w:val="0"/>
          <w:sz w:val="31"/>
          <w:szCs w:val="31"/>
          <w:shd w:val="clear" w:fill="FFFFFF"/>
          <w:lang w:eastAsia="zh-CN"/>
        </w:rPr>
      </w:pPr>
    </w:p>
    <w:p>
      <w:pPr>
        <w:pStyle w:val="16"/>
        <w:tabs>
          <w:tab w:val="left" w:pos="943"/>
        </w:tabs>
        <w:jc w:val="left"/>
        <w:rPr>
          <w:rFonts w:hint="eastAsia"/>
          <w:sz w:val="72"/>
          <w:szCs w:val="72"/>
          <w:lang w:eastAsia="zh-CN"/>
        </w:rPr>
      </w:pPr>
    </w:p>
    <w:p>
      <w:pPr>
        <w:pStyle w:val="16"/>
        <w:tabs>
          <w:tab w:val="left" w:pos="943"/>
        </w:tabs>
        <w:jc w:val="left"/>
        <w:rPr>
          <w:rFonts w:hint="eastAsia"/>
          <w:sz w:val="72"/>
          <w:szCs w:val="72"/>
          <w:lang w:eastAsia="zh-CN"/>
        </w:rPr>
      </w:pPr>
    </w:p>
    <w:p>
      <w:pPr>
        <w:pStyle w:val="16"/>
        <w:jc w:val="both"/>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6"/>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1. 一般公共预算财政拨款：指财政当年拨付的资金。</w:t>
      </w:r>
    </w:p>
    <w:p>
      <w:pPr>
        <w:pStyle w:val="16"/>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2. 基本支出：指为保障机构正常运转、完成日常工作任务而发生的人员支出和公用支出。</w:t>
      </w:r>
    </w:p>
    <w:p>
      <w:pPr>
        <w:pStyle w:val="16"/>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3. 项目支出：指在基本支出以外为完成相关行政任务和事业发展目标所发生的支出。</w:t>
      </w:r>
    </w:p>
    <w:p>
      <w:pPr>
        <w:pStyle w:val="16"/>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4. “三公”经费：指通过财政拨款资金安排的因公出国(境)费、公务用车购置及运行费和公务接待费支出。其中：因公出国(境)费指单位工作人员公务出国(境)的往返机票费、住宿费、伙食费、培训费等支出;公务用车购置及运行费指单位购置公务用车支出及公务用车使用过程中发生的租用费、燃料费、维修费、过路过桥费、保险费等支出;公务接待费指单位按规定开支的各类公务接待支出。</w:t>
      </w:r>
    </w:p>
    <w:p>
      <w:pPr>
        <w:pStyle w:val="16"/>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5. 机关运行经费：是指为保障行政单位(包括实行公务员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6"/>
        <w:ind w:firstLine="620" w:firstLineChars="200"/>
        <w:jc w:val="both"/>
        <w:rPr>
          <w:rFonts w:hint="eastAsia"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rPr>
        <w:t>6. 年末结转和结余：指本年度或以前年度预算安排、因客观条件发生变化无法按原计划实施，需要延迟到以后年度按有关规定继续使用的资金，既包括财政拨款结转和结余，也包括事业收入、其他收入的结转和结余。</w:t>
      </w:r>
    </w:p>
    <w:p>
      <w:pPr>
        <w:pStyle w:val="16"/>
        <w:ind w:firstLine="620" w:firstLineChars="200"/>
        <w:jc w:val="both"/>
        <w:rPr>
          <w:rFonts w:ascii="仿宋" w:hAnsi="仿宋" w:eastAsia="仿宋" w:cs="仿宋"/>
          <w:i w:val="0"/>
          <w:iCs w:val="0"/>
          <w:caps w:val="0"/>
          <w:color w:val="000000"/>
          <w:spacing w:val="0"/>
          <w:sz w:val="31"/>
          <w:szCs w:val="31"/>
          <w:shd w:val="clear" w:fill="FFFFFF"/>
        </w:rPr>
      </w:pPr>
      <w:r>
        <w:rPr>
          <w:rFonts w:hint="eastAsia" w:ascii="仿宋" w:hAnsi="仿宋" w:eastAsia="仿宋" w:cs="仿宋"/>
          <w:i w:val="0"/>
          <w:iCs w:val="0"/>
          <w:caps w:val="0"/>
          <w:color w:val="000000"/>
          <w:spacing w:val="0"/>
          <w:sz w:val="31"/>
          <w:szCs w:val="31"/>
          <w:shd w:val="clear" w:fill="FFFFFF"/>
          <w:lang w:val="en-US" w:eastAsia="zh-CN"/>
        </w:rPr>
        <w:t xml:space="preserve">  </w:t>
      </w:r>
    </w:p>
    <w:p>
      <w:pPr>
        <w:pStyle w:val="16"/>
        <w:ind w:firstLine="620" w:firstLineChars="200"/>
        <w:jc w:val="both"/>
        <w:rPr>
          <w:rFonts w:ascii="仿宋" w:hAnsi="仿宋" w:eastAsia="仿宋" w:cs="仿宋"/>
          <w:i w:val="0"/>
          <w:iCs w:val="0"/>
          <w:caps w:val="0"/>
          <w:color w:val="000000"/>
          <w:spacing w:val="0"/>
          <w:sz w:val="31"/>
          <w:szCs w:val="31"/>
          <w:shd w:val="clear" w:fill="FFFFFF"/>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rPr>
          <w:sz w:val="72"/>
          <w:szCs w:val="72"/>
        </w:rPr>
      </w:pPr>
    </w:p>
    <w:p>
      <w:pPr>
        <w:pStyle w:val="16"/>
        <w:jc w:val="both"/>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6"/>
        <w:jc w:val="center"/>
        <w:rPr>
          <w:rFonts w:hint="eastAsia" w:ascii="方正小标宋_GBK" w:hAnsi="方正小标宋_GBK" w:eastAsia="方正小标宋_GBK" w:cs="方正小标宋_GBK"/>
          <w:sz w:val="70"/>
          <w:szCs w:val="70"/>
        </w:rPr>
      </w:pPr>
    </w:p>
    <w:p>
      <w:pPr>
        <w:pStyle w:val="16"/>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rFonts w:hint="eastAsia" w:ascii="楷体" w:hAnsi="楷体" w:eastAsia="楷体" w:cs="楷体"/>
          <w:b/>
          <w:bCs/>
          <w:sz w:val="32"/>
          <w:szCs w:val="32"/>
          <w:lang w:eastAsia="zh-CN"/>
        </w:rPr>
      </w:pPr>
    </w:p>
    <w:p>
      <w:pPr>
        <w:jc w:val="center"/>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6"/>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6"/>
        <w:jc w:val="center"/>
        <w:rPr>
          <w:sz w:val="72"/>
          <w:szCs w:val="72"/>
        </w:rPr>
      </w:pPr>
    </w:p>
    <w:p>
      <w:pPr>
        <w:pStyle w:val="16"/>
        <w:jc w:val="center"/>
        <w:rPr>
          <w:sz w:val="72"/>
          <w:szCs w:val="72"/>
        </w:rPr>
      </w:pPr>
    </w:p>
    <w:p>
      <w:pPr>
        <w:jc w:val="left"/>
        <w:rPr>
          <w:rFonts w:cs="黑体" w:asciiTheme="minorEastAsia" w:hAnsiTheme="minorEastAsia"/>
          <w:color w:val="000000"/>
          <w:kern w:val="0"/>
          <w:sz w:val="32"/>
          <w:szCs w:val="32"/>
        </w:rPr>
      </w:pPr>
      <w:bookmarkStart w:id="2" w:name="_GoBack"/>
      <w:bookmarkEnd w:id="2"/>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519DB"/>
    <w:multiLevelType w:val="singleLevel"/>
    <w:tmpl w:val="944519DB"/>
    <w:lvl w:ilvl="0" w:tentative="0">
      <w:start w:val="8"/>
      <w:numFmt w:val="decimal"/>
      <w:suff w:val="nothing"/>
      <w:lvlText w:val="%1、"/>
      <w:lvlJc w:val="left"/>
    </w:lvl>
  </w:abstractNum>
  <w:abstractNum w:abstractNumId="1">
    <w:nsid w:val="C90DAA9B"/>
    <w:multiLevelType w:val="singleLevel"/>
    <w:tmpl w:val="C90DAA9B"/>
    <w:lvl w:ilvl="0" w:tentative="0">
      <w:start w:val="2"/>
      <w:numFmt w:val="chineseCounting"/>
      <w:suff w:val="nothing"/>
      <w:lvlText w:val="（%1）"/>
      <w:lvlJc w:val="left"/>
      <w:rPr>
        <w:rFonts w:hint="eastAsia"/>
      </w:rPr>
    </w:lvl>
  </w:abstractNum>
  <w:abstractNum w:abstractNumId="2">
    <w:nsid w:val="DD5FC103"/>
    <w:multiLevelType w:val="singleLevel"/>
    <w:tmpl w:val="DD5FC103"/>
    <w:lvl w:ilvl="0" w:tentative="0">
      <w:start w:val="7"/>
      <w:numFmt w:val="chineseCounting"/>
      <w:lvlText w:val="(%1)"/>
      <w:lvlJc w:val="left"/>
      <w:pPr>
        <w:tabs>
          <w:tab w:val="left" w:pos="312"/>
        </w:tabs>
      </w:pPr>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4N2IwNjRlMmU3NGQ0MjAyNTk2OWVlN2U3NWEwZT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E0C60"/>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33A"/>
    <w:rsid w:val="00EA2B72"/>
    <w:rsid w:val="00F74360"/>
    <w:rsid w:val="00FB462F"/>
    <w:rsid w:val="00FE16FA"/>
    <w:rsid w:val="00FE328A"/>
    <w:rsid w:val="00FE6269"/>
    <w:rsid w:val="00FF5CD6"/>
    <w:rsid w:val="024912E2"/>
    <w:rsid w:val="026B74AB"/>
    <w:rsid w:val="031D5663"/>
    <w:rsid w:val="0385634A"/>
    <w:rsid w:val="0422003D"/>
    <w:rsid w:val="05595CE0"/>
    <w:rsid w:val="06043E9E"/>
    <w:rsid w:val="063D4CBA"/>
    <w:rsid w:val="075F5E16"/>
    <w:rsid w:val="078C2749"/>
    <w:rsid w:val="078F59E9"/>
    <w:rsid w:val="09B10087"/>
    <w:rsid w:val="0A7315F2"/>
    <w:rsid w:val="0B422D73"/>
    <w:rsid w:val="0CE00A95"/>
    <w:rsid w:val="0FDD306A"/>
    <w:rsid w:val="11F72B09"/>
    <w:rsid w:val="14327E28"/>
    <w:rsid w:val="14CA62B3"/>
    <w:rsid w:val="15007F26"/>
    <w:rsid w:val="15A5287C"/>
    <w:rsid w:val="1767428D"/>
    <w:rsid w:val="196D1903"/>
    <w:rsid w:val="19704F4F"/>
    <w:rsid w:val="19E723E9"/>
    <w:rsid w:val="1B3F107D"/>
    <w:rsid w:val="1CDE5681"/>
    <w:rsid w:val="1D696E1F"/>
    <w:rsid w:val="1D97DEFF"/>
    <w:rsid w:val="1DFF72E5"/>
    <w:rsid w:val="1EB81BC3"/>
    <w:rsid w:val="1ECD2690"/>
    <w:rsid w:val="1EDF7D35"/>
    <w:rsid w:val="1EFC6F07"/>
    <w:rsid w:val="2000702C"/>
    <w:rsid w:val="210135E6"/>
    <w:rsid w:val="25325E0A"/>
    <w:rsid w:val="268767EE"/>
    <w:rsid w:val="272F6449"/>
    <w:rsid w:val="28A1537A"/>
    <w:rsid w:val="292542D5"/>
    <w:rsid w:val="2AC5334C"/>
    <w:rsid w:val="2B395AE8"/>
    <w:rsid w:val="2E976DAE"/>
    <w:rsid w:val="2FBD3420"/>
    <w:rsid w:val="2FDF85B8"/>
    <w:rsid w:val="2FFFEE04"/>
    <w:rsid w:val="316B2774"/>
    <w:rsid w:val="322C54F0"/>
    <w:rsid w:val="32655415"/>
    <w:rsid w:val="328B113D"/>
    <w:rsid w:val="33A8021F"/>
    <w:rsid w:val="34DF85B0"/>
    <w:rsid w:val="34FD31F2"/>
    <w:rsid w:val="353D0A3F"/>
    <w:rsid w:val="36C51DD3"/>
    <w:rsid w:val="3B8F36BC"/>
    <w:rsid w:val="3BFD221A"/>
    <w:rsid w:val="3C125CC6"/>
    <w:rsid w:val="3D734E8A"/>
    <w:rsid w:val="3F050FA6"/>
    <w:rsid w:val="3FC96FE3"/>
    <w:rsid w:val="406D7664"/>
    <w:rsid w:val="40D130D5"/>
    <w:rsid w:val="41BB7928"/>
    <w:rsid w:val="42204EB5"/>
    <w:rsid w:val="42AC04F6"/>
    <w:rsid w:val="43647EA3"/>
    <w:rsid w:val="43841348"/>
    <w:rsid w:val="449A2CFC"/>
    <w:rsid w:val="44F36629"/>
    <w:rsid w:val="451A5BEB"/>
    <w:rsid w:val="47A520E4"/>
    <w:rsid w:val="47B916EB"/>
    <w:rsid w:val="491FF225"/>
    <w:rsid w:val="49ED1B20"/>
    <w:rsid w:val="4C575977"/>
    <w:rsid w:val="4C7E1155"/>
    <w:rsid w:val="4FF43C08"/>
    <w:rsid w:val="4FFD214C"/>
    <w:rsid w:val="50E517A3"/>
    <w:rsid w:val="530F0D59"/>
    <w:rsid w:val="54880DC3"/>
    <w:rsid w:val="55F00C66"/>
    <w:rsid w:val="56825C11"/>
    <w:rsid w:val="56D402F0"/>
    <w:rsid w:val="5777D4F5"/>
    <w:rsid w:val="578D049F"/>
    <w:rsid w:val="581F559B"/>
    <w:rsid w:val="58847941"/>
    <w:rsid w:val="591E3AA4"/>
    <w:rsid w:val="59B61F2F"/>
    <w:rsid w:val="59DD8326"/>
    <w:rsid w:val="5AC50BA1"/>
    <w:rsid w:val="5C8C341B"/>
    <w:rsid w:val="5CBD1826"/>
    <w:rsid w:val="5D6A0669"/>
    <w:rsid w:val="5DEF592A"/>
    <w:rsid w:val="5E257683"/>
    <w:rsid w:val="5F944AC0"/>
    <w:rsid w:val="5FC6BB1E"/>
    <w:rsid w:val="5FF720F1"/>
    <w:rsid w:val="605C47F5"/>
    <w:rsid w:val="608B57CD"/>
    <w:rsid w:val="6208709F"/>
    <w:rsid w:val="62696274"/>
    <w:rsid w:val="631A352E"/>
    <w:rsid w:val="64526CF8"/>
    <w:rsid w:val="64F34037"/>
    <w:rsid w:val="655D3BA6"/>
    <w:rsid w:val="66AB0D07"/>
    <w:rsid w:val="676B4CB5"/>
    <w:rsid w:val="67FF5C0B"/>
    <w:rsid w:val="6828049B"/>
    <w:rsid w:val="68993147"/>
    <w:rsid w:val="691D79E9"/>
    <w:rsid w:val="6AB26742"/>
    <w:rsid w:val="6BC06544"/>
    <w:rsid w:val="6DC54383"/>
    <w:rsid w:val="6EFC0924"/>
    <w:rsid w:val="6F163D62"/>
    <w:rsid w:val="6FB74722"/>
    <w:rsid w:val="6FEF8B7E"/>
    <w:rsid w:val="70E01EA8"/>
    <w:rsid w:val="713A2FED"/>
    <w:rsid w:val="71A6591B"/>
    <w:rsid w:val="72691DDC"/>
    <w:rsid w:val="737D59BA"/>
    <w:rsid w:val="738605D1"/>
    <w:rsid w:val="73F05BE5"/>
    <w:rsid w:val="748D1686"/>
    <w:rsid w:val="74954038"/>
    <w:rsid w:val="77420E4E"/>
    <w:rsid w:val="77C37683"/>
    <w:rsid w:val="7961380D"/>
    <w:rsid w:val="79A96F62"/>
    <w:rsid w:val="79BD47BC"/>
    <w:rsid w:val="79EC5709"/>
    <w:rsid w:val="79FF515B"/>
    <w:rsid w:val="7A682979"/>
    <w:rsid w:val="7AFA4CCB"/>
    <w:rsid w:val="7C7E0232"/>
    <w:rsid w:val="7CAD6D69"/>
    <w:rsid w:val="7CED360A"/>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page number"/>
    <w:basedOn w:val="11"/>
    <w:qFormat/>
    <w:uiPriority w:val="0"/>
  </w:style>
  <w:style w:type="paragraph" w:customStyle="1" w:styleId="13">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4">
    <w:name w:val="页眉 Char"/>
    <w:basedOn w:val="11"/>
    <w:link w:val="7"/>
    <w:qFormat/>
    <w:uiPriority w:val="99"/>
    <w:rPr>
      <w:sz w:val="18"/>
      <w:szCs w:val="18"/>
    </w:rPr>
  </w:style>
  <w:style w:type="character" w:customStyle="1" w:styleId="15">
    <w:name w:val="页脚 Char"/>
    <w:basedOn w:val="11"/>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1"/>
    <w:link w:val="5"/>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7811</Words>
  <Characters>9379</Characters>
  <Lines>63</Lines>
  <Paragraphs>18</Paragraphs>
  <TotalTime>16</TotalTime>
  <ScaleCrop>false</ScaleCrop>
  <LinksUpToDate>false</LinksUpToDate>
  <CharactersWithSpaces>10156</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蒋琼</cp:lastModifiedBy>
  <cp:lastPrinted>2024-08-08T10:20:00Z</cp:lastPrinted>
  <dcterms:modified xsi:type="dcterms:W3CDTF">2026-09-15T03:48:27Z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BDFEF67BE60E4950BAF8B882BC5B5120_12</vt:lpwstr>
  </property>
  <property fmtid="{D5CDD505-2E9C-101B-9397-08002B2CF9AE}" pid="4" name="KSOTemplateDocerSaveRecord">
    <vt:lpwstr>eyJoZGlkIjoiNWI0NGM4NGM4ZjM3NDEyY2EwMzY0ZTJkZWViNjYzYjAiLCJ1c2VySWQiOiIyNjAwMzY5ODYifQ==</vt:lpwstr>
  </property>
</Properties>
</file>