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pPr>
        <w:pStyle w:val="14"/>
        <w:jc w:val="center"/>
        <w:rPr>
          <w:sz w:val="56"/>
          <w:szCs w:val="56"/>
        </w:rPr>
      </w:pPr>
    </w:p>
    <w:p>
      <w:pPr>
        <w:pStyle w:val="14"/>
        <w:jc w:val="center"/>
        <w:rPr>
          <w:sz w:val="84"/>
          <w:szCs w:val="84"/>
        </w:rPr>
      </w:pPr>
    </w:p>
    <w:p>
      <w:pPr>
        <w:pStyle w:val="14"/>
        <w:jc w:val="center"/>
        <w:rPr>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道县人民政府发展研究中心</w:t>
      </w:r>
      <w:r>
        <w:rPr>
          <w:rFonts w:hint="eastAsia" w:ascii="方正小标宋_GBK" w:hAnsi="方正小标宋_GBK" w:eastAsia="方正小标宋_GBK" w:cs="方正小标宋_GBK"/>
          <w:sz w:val="84"/>
          <w:szCs w:val="84"/>
        </w:rPr>
        <w:t>部门决算</w:t>
      </w:r>
    </w:p>
    <w:p>
      <w:pPr>
        <w:pStyle w:val="14"/>
        <w:jc w:val="center"/>
        <w:rPr>
          <w:rFonts w:hint="eastAsia" w:ascii="方正小标宋_GBK" w:hAnsi="方正小标宋_GBK" w:eastAsia="方正小标宋_GBK" w:cs="方正小标宋_GBK"/>
          <w:sz w:val="56"/>
          <w:szCs w:val="56"/>
        </w:rPr>
      </w:pPr>
    </w:p>
    <w:p>
      <w:pPr>
        <w:pStyle w:val="14"/>
        <w:jc w:val="center"/>
        <w:rPr>
          <w:sz w:val="56"/>
          <w:szCs w:val="56"/>
        </w:rPr>
      </w:pPr>
    </w:p>
    <w:p>
      <w:pPr>
        <w:pStyle w:val="14"/>
        <w:jc w:val="center"/>
        <w:rPr>
          <w:sz w:val="56"/>
          <w:szCs w:val="56"/>
        </w:rPr>
      </w:pPr>
    </w:p>
    <w:p>
      <w:pPr>
        <w:pStyle w:val="14"/>
        <w:jc w:val="center"/>
        <w:rPr>
          <w:sz w:val="56"/>
          <w:szCs w:val="56"/>
        </w:rPr>
      </w:pPr>
    </w:p>
    <w:p>
      <w:pPr>
        <w:pStyle w:val="14"/>
        <w:jc w:val="center"/>
        <w:rPr>
          <w:sz w:val="32"/>
          <w:szCs w:val="32"/>
        </w:rPr>
      </w:pPr>
    </w:p>
    <w:p>
      <w:pPr>
        <w:pStyle w:val="14"/>
        <w:jc w:val="center"/>
        <w:rPr>
          <w:sz w:val="32"/>
          <w:szCs w:val="32"/>
        </w:rPr>
      </w:pPr>
    </w:p>
    <w:p>
      <w:pPr>
        <w:pStyle w:val="14"/>
        <w:jc w:val="center"/>
        <w:rPr>
          <w:sz w:val="32"/>
          <w:szCs w:val="32"/>
        </w:rPr>
      </w:pPr>
    </w:p>
    <w:p>
      <w:pPr>
        <w:pStyle w:val="14"/>
        <w:jc w:val="center"/>
        <w:rPr>
          <w:sz w:val="32"/>
          <w:szCs w:val="32"/>
        </w:rPr>
      </w:pPr>
    </w:p>
    <w:p>
      <w:pPr>
        <w:pStyle w:val="14"/>
        <w:jc w:val="center"/>
        <w:rPr>
          <w:sz w:val="32"/>
          <w:szCs w:val="32"/>
        </w:rPr>
      </w:pPr>
    </w:p>
    <w:p>
      <w:pPr>
        <w:pStyle w:val="14"/>
        <w:spacing w:line="540" w:lineRule="exact"/>
        <w:jc w:val="center"/>
        <w:rPr>
          <w:sz w:val="56"/>
          <w:szCs w:val="56"/>
        </w:rPr>
      </w:pPr>
    </w:p>
    <w:p>
      <w:pPr>
        <w:pStyle w:val="14"/>
        <w:spacing w:line="500" w:lineRule="exact"/>
        <w:jc w:val="both"/>
        <w:rPr>
          <w:b/>
          <w:sz w:val="36"/>
          <w:szCs w:val="28"/>
        </w:rPr>
      </w:pPr>
    </w:p>
    <w:p>
      <w:pPr>
        <w:pStyle w:val="14"/>
        <w:spacing w:line="500" w:lineRule="exact"/>
        <w:jc w:val="center"/>
        <w:rPr>
          <w:b/>
          <w:sz w:val="36"/>
          <w:szCs w:val="28"/>
        </w:rPr>
      </w:pPr>
      <w:r>
        <w:rPr>
          <w:rFonts w:hint="eastAsia"/>
          <w:b/>
          <w:sz w:val="36"/>
          <w:szCs w:val="28"/>
        </w:rPr>
        <w:t>目录</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道县人民政府发展研究中心</w:t>
      </w:r>
      <w:r>
        <w:rPr>
          <w:rFonts w:hint="eastAsia" w:ascii="黑体" w:hAnsi="黑体" w:eastAsia="黑体" w:cs="黑体"/>
          <w:b w:val="0"/>
          <w:bCs/>
          <w:sz w:val="28"/>
          <w:szCs w:val="28"/>
          <w:lang w:eastAsia="zh-CN"/>
        </w:rPr>
        <w:t>（</w:t>
      </w:r>
      <w:r>
        <w:rPr>
          <w:rFonts w:hint="eastAsia" w:ascii="黑体" w:hAnsi="黑体" w:eastAsia="黑体" w:cs="黑体"/>
          <w:b w:val="0"/>
          <w:bCs/>
          <w:sz w:val="28"/>
          <w:szCs w:val="28"/>
        </w:rPr>
        <w:t>单位</w:t>
      </w:r>
      <w:r>
        <w:rPr>
          <w:rFonts w:hint="eastAsia" w:ascii="黑体" w:hAnsi="黑体" w:eastAsia="黑体" w:cs="黑体"/>
          <w:b w:val="0"/>
          <w:bCs/>
          <w:sz w:val="28"/>
          <w:szCs w:val="28"/>
          <w:lang w:eastAsia="zh-CN"/>
        </w:rPr>
        <w:t>）</w:t>
      </w:r>
      <w:r>
        <w:rPr>
          <w:rFonts w:hint="eastAsia" w:ascii="黑体" w:hAnsi="黑体" w:eastAsia="黑体" w:cs="黑体"/>
          <w:b w:val="0"/>
          <w:bCs/>
          <w:sz w:val="28"/>
          <w:szCs w:val="28"/>
        </w:rPr>
        <w:t>概况</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w:t>
      </w:r>
      <w:r>
        <w:rPr>
          <w:rFonts w:hint="eastAsia" w:ascii="Times New Roman" w:hAnsi="Times New Roman" w:eastAsia="仿宋_GB2312" w:cs="Times New Roman"/>
          <w:sz w:val="28"/>
          <w:szCs w:val="28"/>
          <w:lang w:val="en-US" w:eastAsia="zh-CN"/>
        </w:rPr>
        <w:t>5</w:t>
      </w:r>
      <w:r>
        <w:rPr>
          <w:rFonts w:hint="eastAsia" w:ascii="Times New Roman" w:hAnsi="Times New Roman" w:eastAsia="仿宋_GB2312" w:cs="Times New Roman"/>
          <w:sz w:val="28"/>
          <w:szCs w:val="28"/>
          <w:lang w:eastAsia="zh-CN"/>
        </w:rPr>
        <w:t>年</w:t>
      </w:r>
      <w:r>
        <w:rPr>
          <w:rFonts w:hint="eastAsia" w:ascii="仿宋_GB2312" w:hAnsi="仿宋_GB2312" w:eastAsia="仿宋_GB2312" w:cs="仿宋_GB2312"/>
          <w:sz w:val="28"/>
          <w:szCs w:val="28"/>
        </w:rPr>
        <w:t>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4"/>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4"/>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9"/>
        <w:rPr>
          <w:sz w:val="72"/>
          <w:szCs w:val="72"/>
        </w:rPr>
      </w:pPr>
    </w:p>
    <w:p>
      <w:pPr>
        <w:pStyle w:val="5"/>
        <w:rPr>
          <w:sz w:val="72"/>
          <w:szCs w:val="72"/>
        </w:rPr>
      </w:pPr>
    </w:p>
    <w:p>
      <w:pPr>
        <w:rPr>
          <w:sz w:val="72"/>
          <w:szCs w:val="72"/>
        </w:rPr>
      </w:pPr>
    </w:p>
    <w:p>
      <w:pPr>
        <w:pStyle w:val="9"/>
        <w:rPr>
          <w:sz w:val="72"/>
          <w:szCs w:val="72"/>
        </w:rPr>
      </w:pPr>
    </w:p>
    <w:p>
      <w:pPr>
        <w:pStyle w:val="5"/>
        <w:rPr>
          <w:sz w:val="72"/>
          <w:szCs w:val="72"/>
        </w:rPr>
      </w:pPr>
    </w:p>
    <w:p>
      <w:pPr>
        <w:rPr>
          <w:sz w:val="72"/>
          <w:szCs w:val="72"/>
        </w:rPr>
      </w:pPr>
    </w:p>
    <w:p>
      <w:pPr>
        <w:pStyle w:val="9"/>
        <w:rPr>
          <w:sz w:val="72"/>
          <w:szCs w:val="72"/>
        </w:rPr>
      </w:pPr>
    </w:p>
    <w:p>
      <w:pPr>
        <w:pStyle w:val="5"/>
        <w:rPr>
          <w:sz w:val="72"/>
          <w:szCs w:val="72"/>
        </w:rPr>
      </w:pPr>
    </w:p>
    <w:p>
      <w:pPr>
        <w:rPr>
          <w:sz w:val="72"/>
          <w:szCs w:val="72"/>
        </w:rPr>
      </w:pPr>
    </w:p>
    <w:p>
      <w:pPr>
        <w:pStyle w:val="9"/>
        <w:rPr>
          <w:sz w:val="72"/>
          <w:szCs w:val="72"/>
        </w:rPr>
      </w:pPr>
    </w:p>
    <w:p>
      <w:pPr>
        <w:pStyle w:val="5"/>
        <w:rPr>
          <w:sz w:val="72"/>
          <w:szCs w:val="72"/>
        </w:rPr>
      </w:pPr>
    </w:p>
    <w:p/>
    <w:p>
      <w:pP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道县人民政府发展研究中心</w:t>
      </w:r>
      <w:r>
        <w:rPr>
          <w:rFonts w:hint="eastAsia" w:ascii="方正小标宋_GBK" w:hAnsi="方正小标宋_GBK" w:eastAsia="方正小标宋_GBK" w:cs="方正小标宋_GBK"/>
          <w:sz w:val="84"/>
          <w:szCs w:val="84"/>
          <w:lang w:eastAsia="zh-CN"/>
        </w:rPr>
        <w:t>（</w:t>
      </w:r>
      <w:r>
        <w:rPr>
          <w:rFonts w:hint="eastAsia" w:ascii="方正小标宋_GBK" w:hAnsi="方正小标宋_GBK" w:eastAsia="方正小标宋_GBK" w:cs="方正小标宋_GBK"/>
          <w:sz w:val="84"/>
          <w:szCs w:val="84"/>
        </w:rPr>
        <w:t>单位</w:t>
      </w:r>
      <w:r>
        <w:rPr>
          <w:rFonts w:hint="eastAsia" w:ascii="方正小标宋_GBK" w:hAnsi="方正小标宋_GBK" w:eastAsia="方正小标宋_GBK" w:cs="方正小标宋_GBK"/>
          <w:sz w:val="84"/>
          <w:szCs w:val="84"/>
          <w:lang w:eastAsia="zh-CN"/>
        </w:rPr>
        <w:t>）</w:t>
      </w:r>
      <w:r>
        <w:rPr>
          <w:rFonts w:hint="eastAsia" w:ascii="方正小标宋_GBK" w:hAnsi="方正小标宋_GBK" w:eastAsia="方正小标宋_GBK" w:cs="方正小标宋_GBK"/>
          <w:sz w:val="84"/>
          <w:szCs w:val="84"/>
        </w:rPr>
        <w:t>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pStyle w:val="9"/>
        <w:rPr>
          <w:sz w:val="72"/>
          <w:szCs w:val="72"/>
        </w:rPr>
      </w:pPr>
    </w:p>
    <w:p>
      <w:pPr>
        <w:jc w:val="both"/>
        <w:rPr>
          <w:sz w:val="72"/>
          <w:szCs w:val="72"/>
        </w:rPr>
      </w:pPr>
    </w:p>
    <w:p>
      <w:pPr>
        <w:pStyle w:val="15"/>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道县人民政府发展研究中心的主要职责是： </w:t>
      </w:r>
    </w:p>
    <w:p>
      <w:pPr>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2020年1月9日，道县编制委员会下发《道县人民政府发展研究中心“三定”方案》（道编发[2020]4号）。县人民政府发展研究中心贯彻落实中央、省、市、县关于经济发展和承接产业转移方针政策和部署要求，在履行职责过程中坚持和加强党的集中统一领导。主要职责是：</w:t>
      </w:r>
    </w:p>
    <w:p>
      <w:pPr>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⑴负责《政府工作报告》和县政府领导同志重要讲话、报告等文稿服务以及有关新闻稿的审定。</w:t>
      </w:r>
    </w:p>
    <w:p>
      <w:pPr>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⑵负责起草县政府向省委、省政府和市委、市政府的重要汇报材料;组织和协同有关方面起草县政府重要综合性文件;参与起草县委、县政府有关重要会议的文件。</w:t>
      </w:r>
    </w:p>
    <w:p>
      <w:pPr>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⑶牵头组织全县经济建设、社会发展、产业承接和改革开放等全局性、综合性、战略性、长期性问题开展调查研究和超前谋划，提出供县政府决策的参考方案和政策性建议;为制定我县中长期发展规划和发展政策措施提出思路和建议。</w:t>
      </w:r>
    </w:p>
    <w:p>
      <w:pPr>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⑷对县内外经济形势和社会发展政策进行分析和研究，提出政策建议。</w:t>
      </w:r>
    </w:p>
    <w:p>
      <w:pPr>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⑸搜集国家、省市有关经济社会发展和承接产业转移等方面的信息，掌握有关动态，为政府实施宏观调控、社会管理等工作提供信息、依据和建议。</w:t>
      </w:r>
    </w:p>
    <w:p>
      <w:pPr>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⑹会同有关部门开展承接产业转移相关服务工作，参与承接产业转移工作的指导、考核和督导评估。</w:t>
      </w:r>
    </w:p>
    <w:p>
      <w:pPr>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⑺承办县委、县政府交办的其他事项。</w:t>
      </w:r>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（一）内设机构设置县人民政府发展研究中心设4个内部机构：办公室、政府文稿综合室、经济发展研究室、产业转移服务室。</w:t>
      </w:r>
    </w:p>
    <w:p>
      <w:pPr>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（二）决算单位构成道县人民政府发展研究中心2025年部门决算汇总公开单位构成包括：道县人民政府发展研究中心本级。</w:t>
      </w: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0"/>
        <w:tblW w:w="15428" w:type="dxa"/>
        <w:tblInd w:w="0" w:type="dxa"/>
        <w:tblLayout w:type="fixed"/>
        <w:tblCellMar>
          <w:top w:w="0" w:type="dxa"/>
          <w:left w:w="0" w:type="dxa"/>
          <w:bottom w:w="0" w:type="dxa"/>
          <w:right w:w="0" w:type="dxa"/>
        </w:tblCellMar>
      </w:tblPr>
      <w:tblGrid>
        <w:gridCol w:w="277"/>
        <w:gridCol w:w="516"/>
        <w:gridCol w:w="2121"/>
        <w:gridCol w:w="1530"/>
        <w:gridCol w:w="1485"/>
        <w:gridCol w:w="1521"/>
        <w:gridCol w:w="1805"/>
        <w:gridCol w:w="1805"/>
        <w:gridCol w:w="1805"/>
        <w:gridCol w:w="2563"/>
      </w:tblGrid>
      <w:tr>
        <w:tblPrEx>
          <w:tblCellMar>
            <w:top w:w="0" w:type="dxa"/>
            <w:left w:w="0" w:type="dxa"/>
            <w:bottom w:w="0" w:type="dxa"/>
            <w:right w:w="0" w:type="dxa"/>
          </w:tblCellMar>
        </w:tblPrEx>
        <w:trPr>
          <w:trHeight w:val="396"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10"/>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24"/>
              <w:gridCol w:w="583"/>
              <w:gridCol w:w="1338"/>
              <w:gridCol w:w="4785"/>
              <w:gridCol w:w="1531"/>
              <w:gridCol w:w="485"/>
              <w:gridCol w:w="584"/>
              <w:gridCol w:w="18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42"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603"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399"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300" w:type="dxa"/>
                  <w:gridSpan w:val="2"/>
                  <w:tcBorders>
                    <w:top w:val="nil"/>
                    <w:left w:val="nil"/>
                    <w:bottom w:val="nil"/>
                    <w:right w:val="nil"/>
                  </w:tcBorders>
                  <w:shd w:val="clear" w:color="auto" w:fill="auto"/>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3960"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570"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264"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92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110"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569"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3960"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部门：道县人民政府发展研究中心</w:t>
                  </w:r>
                </w:p>
              </w:tc>
              <w:tc>
                <w:tcPr>
                  <w:tcW w:w="570"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264"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92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110"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569"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41" w:type="dxa"/>
                <w:trHeight w:val="448" w:hRule="atLeast"/>
              </w:trPr>
              <w:tc>
                <w:tcPr>
                  <w:tcW w:w="579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313"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41" w:type="dxa"/>
                <w:trHeight w:val="628" w:hRule="atLeast"/>
              </w:trPr>
              <w:tc>
                <w:tcPr>
                  <w:tcW w:w="39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2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9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41" w:type="dxa"/>
                <w:trHeight w:val="448" w:hRule="atLeast"/>
              </w:trPr>
              <w:tc>
                <w:tcPr>
                  <w:tcW w:w="39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2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9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41" w:type="dxa"/>
                <w:trHeight w:val="448" w:hRule="atLeast"/>
              </w:trPr>
              <w:tc>
                <w:tcPr>
                  <w:tcW w:w="3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138.93</w:t>
                  </w:r>
                </w:p>
              </w:tc>
              <w:tc>
                <w:tcPr>
                  <w:tcW w:w="49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123.27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41" w:type="dxa"/>
                <w:trHeight w:val="448" w:hRule="atLeast"/>
              </w:trPr>
              <w:tc>
                <w:tcPr>
                  <w:tcW w:w="39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49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41" w:type="dxa"/>
                <w:trHeight w:val="448" w:hRule="atLeast"/>
              </w:trPr>
              <w:tc>
                <w:tcPr>
                  <w:tcW w:w="3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49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41" w:type="dxa"/>
                <w:trHeight w:val="448" w:hRule="atLeast"/>
              </w:trPr>
              <w:tc>
                <w:tcPr>
                  <w:tcW w:w="39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49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41" w:type="dxa"/>
                <w:trHeight w:val="448" w:hRule="atLeast"/>
              </w:trPr>
              <w:tc>
                <w:tcPr>
                  <w:tcW w:w="39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49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41" w:type="dxa"/>
                <w:trHeight w:val="448" w:hRule="atLeast"/>
              </w:trPr>
              <w:tc>
                <w:tcPr>
                  <w:tcW w:w="39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41" w:type="dxa"/>
                <w:trHeight w:val="448" w:hRule="atLeast"/>
              </w:trPr>
              <w:tc>
                <w:tcPr>
                  <w:tcW w:w="39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1" w:type="dxa"/>
                <w:trHeight w:val="448" w:hRule="atLeast"/>
              </w:trPr>
              <w:tc>
                <w:tcPr>
                  <w:tcW w:w="39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1" w:type="dxa"/>
                <w:trHeight w:val="448" w:hRule="atLeast"/>
              </w:trPr>
              <w:tc>
                <w:tcPr>
                  <w:tcW w:w="3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1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b/>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1" w:type="dxa"/>
                <w:trHeight w:val="448" w:hRule="atLeast"/>
              </w:trPr>
              <w:tc>
                <w:tcPr>
                  <w:tcW w:w="3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138.93</w:t>
                  </w:r>
                </w:p>
              </w:tc>
              <w:tc>
                <w:tcPr>
                  <w:tcW w:w="4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138.93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1" w:type="dxa"/>
                <w:trHeight w:val="448" w:hRule="atLeast"/>
              </w:trPr>
              <w:tc>
                <w:tcPr>
                  <w:tcW w:w="3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4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1" w:type="dxa"/>
                <w:trHeight w:val="628" w:hRule="atLeast"/>
              </w:trPr>
              <w:tc>
                <w:tcPr>
                  <w:tcW w:w="3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4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41" w:type="dxa"/>
                <w:trHeight w:val="448" w:hRule="atLeast"/>
              </w:trPr>
              <w:tc>
                <w:tcPr>
                  <w:tcW w:w="39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2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138.93</w:t>
                  </w:r>
                </w:p>
              </w:tc>
              <w:tc>
                <w:tcPr>
                  <w:tcW w:w="49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i w:val="0"/>
                      <w:color w:val="000000"/>
                      <w:sz w:val="22"/>
                      <w:szCs w:val="22"/>
                      <w:u w:val="none"/>
                    </w:rPr>
                  </w:pPr>
                  <w:r>
                    <w:rPr>
                      <w:rFonts w:hint="eastAsia" w:ascii="宋体" w:hAnsi="宋体" w:eastAsia="宋体" w:cs="宋体"/>
                      <w:i w:val="0"/>
                      <w:color w:val="000000"/>
                      <w:sz w:val="22"/>
                      <w:szCs w:val="22"/>
                      <w:u w:val="none"/>
                      <w:lang w:val="en-US" w:eastAsia="zh-CN"/>
                    </w:rPr>
                    <w:t>138.93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27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51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12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3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8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2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3"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793"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3651"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both"/>
              <w:rPr>
                <w:rFonts w:ascii="宋体" w:hAnsi="宋体" w:eastAsia="宋体" w:cs="宋体"/>
                <w:sz w:val="24"/>
                <w:szCs w:val="24"/>
              </w:rPr>
            </w:pPr>
            <w:r>
              <w:rPr>
                <w:rFonts w:hint="eastAsia" w:ascii="宋体" w:hAnsi="宋体" w:eastAsia="宋体" w:cs="宋体"/>
                <w:i w:val="0"/>
                <w:color w:val="000000"/>
                <w:kern w:val="0"/>
                <w:sz w:val="20"/>
                <w:szCs w:val="20"/>
                <w:u w:val="none"/>
                <w:lang w:val="en-US" w:eastAsia="zh-CN" w:bidi="ar"/>
              </w:rPr>
              <w:t>道县人民政府发展研究中心</w:t>
            </w:r>
            <w:r>
              <w:rPr>
                <w:rFonts w:hint="eastAsia"/>
              </w:rPr>
              <w:t>　　</w:t>
            </w:r>
          </w:p>
        </w:tc>
        <w:tc>
          <w:tcPr>
            <w:tcW w:w="148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21"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80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3"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2914"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5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48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52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80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80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80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5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793"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2121"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53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8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2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6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74" w:hRule="atLeast"/>
        </w:trPr>
        <w:tc>
          <w:tcPr>
            <w:tcW w:w="793"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121"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3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8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2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6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2914"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5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48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5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8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8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8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25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2914"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rPr>
            </w:pPr>
            <w:r>
              <w:rPr>
                <w:rFonts w:hint="eastAsia" w:ascii="宋体" w:hAnsi="宋体" w:eastAsia="宋体" w:cs="宋体"/>
                <w:i w:val="0"/>
                <w:color w:val="000000"/>
                <w:sz w:val="22"/>
                <w:szCs w:val="22"/>
                <w:u w:val="none"/>
                <w:lang w:val="en-US" w:eastAsia="zh-CN"/>
              </w:rPr>
              <w:t>138.93</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138.93</w:t>
            </w:r>
          </w:p>
        </w:tc>
        <w:tc>
          <w:tcPr>
            <w:tcW w:w="15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79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宋体" w:hAnsi="宋体" w:eastAsia="宋体" w:cs="宋体"/>
                <w:sz w:val="24"/>
                <w:szCs w:val="24"/>
              </w:rPr>
            </w:pPr>
            <w:r>
              <w:rPr>
                <w:rFonts w:hint="eastAsia"/>
                <w:lang w:val="en-US" w:eastAsia="zh-CN"/>
              </w:rPr>
              <w:t>201</w:t>
            </w:r>
          </w:p>
        </w:tc>
        <w:tc>
          <w:tcPr>
            <w:tcW w:w="21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一般公共服务支出　</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rPr>
            </w:pPr>
            <w:r>
              <w:rPr>
                <w:rFonts w:hint="eastAsia" w:ascii="宋体" w:hAnsi="宋体" w:eastAsia="宋体" w:cs="宋体"/>
                <w:i w:val="0"/>
                <w:color w:val="000000"/>
                <w:sz w:val="22"/>
                <w:szCs w:val="22"/>
                <w:u w:val="none"/>
                <w:lang w:val="en-US" w:eastAsia="zh-CN"/>
              </w:rPr>
              <w:t>123.27</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123.27</w:t>
            </w:r>
          </w:p>
        </w:tc>
        <w:tc>
          <w:tcPr>
            <w:tcW w:w="15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79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宋体" w:hAnsi="宋体" w:eastAsia="宋体" w:cs="宋体"/>
                <w:sz w:val="24"/>
                <w:szCs w:val="24"/>
              </w:rPr>
            </w:pPr>
            <w:r>
              <w:rPr>
                <w:rFonts w:hint="eastAsia"/>
                <w:lang w:val="en-US" w:eastAsia="zh-CN"/>
              </w:rPr>
              <w:t>20103</w:t>
            </w:r>
          </w:p>
        </w:tc>
        <w:tc>
          <w:tcPr>
            <w:tcW w:w="21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政府办公厅（室）及相关机构事务</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华文中宋" w:hAnsi="华文中宋" w:eastAsia="华文中宋" w:cs="宋体"/>
                <w:sz w:val="24"/>
                <w:szCs w:val="24"/>
                <w:lang w:val="en-US"/>
              </w:rPr>
            </w:pPr>
            <w:r>
              <w:rPr>
                <w:rFonts w:hint="eastAsia" w:ascii="宋体" w:hAnsi="宋体" w:eastAsia="宋体" w:cs="宋体"/>
                <w:i w:val="0"/>
                <w:color w:val="000000"/>
                <w:sz w:val="22"/>
                <w:szCs w:val="22"/>
                <w:u w:val="none"/>
                <w:lang w:val="en-US" w:eastAsia="zh-CN"/>
              </w:rPr>
              <w:t>123.27</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123.27</w:t>
            </w:r>
          </w:p>
        </w:tc>
        <w:tc>
          <w:tcPr>
            <w:tcW w:w="15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79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hint="default" w:ascii="宋体" w:hAnsi="宋体" w:eastAsia="宋体" w:cs="宋体"/>
                <w:sz w:val="24"/>
                <w:szCs w:val="24"/>
                <w:lang w:val="en-US"/>
              </w:rPr>
            </w:pPr>
            <w:r>
              <w:rPr>
                <w:rFonts w:hint="eastAsia"/>
                <w:lang w:val="en-US" w:eastAsia="zh-CN"/>
              </w:rPr>
              <w:t>2010301</w:t>
            </w:r>
          </w:p>
        </w:tc>
        <w:tc>
          <w:tcPr>
            <w:tcW w:w="21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　行政运行</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rPr>
            </w:pPr>
            <w:r>
              <w:rPr>
                <w:rFonts w:hint="eastAsia" w:ascii="宋体" w:hAnsi="宋体" w:eastAsia="宋体" w:cs="宋体"/>
                <w:i w:val="0"/>
                <w:color w:val="000000"/>
                <w:sz w:val="22"/>
                <w:szCs w:val="22"/>
                <w:u w:val="none"/>
                <w:lang w:val="en-US" w:eastAsia="zh-CN"/>
              </w:rPr>
              <w:t>3.82</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3.82</w:t>
            </w:r>
          </w:p>
        </w:tc>
        <w:tc>
          <w:tcPr>
            <w:tcW w:w="15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79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宋体" w:hAnsi="宋体" w:eastAsia="宋体" w:cs="宋体"/>
                <w:sz w:val="24"/>
                <w:szCs w:val="24"/>
              </w:rPr>
            </w:pPr>
            <w:r>
              <w:rPr>
                <w:rFonts w:hint="eastAsia"/>
                <w:lang w:val="en-US" w:eastAsia="zh-CN"/>
              </w:rPr>
              <w:t>2010350</w:t>
            </w:r>
          </w:p>
        </w:tc>
        <w:tc>
          <w:tcPr>
            <w:tcW w:w="21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　事业运行</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rPr>
            </w:pPr>
            <w:r>
              <w:rPr>
                <w:rFonts w:hint="eastAsia" w:ascii="宋体" w:hAnsi="宋体" w:eastAsia="宋体" w:cs="宋体"/>
                <w:i w:val="0"/>
                <w:color w:val="000000"/>
                <w:sz w:val="22"/>
                <w:szCs w:val="22"/>
                <w:u w:val="none"/>
                <w:lang w:val="en-US" w:eastAsia="zh-CN"/>
              </w:rPr>
              <w:t>119.45</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119.45</w:t>
            </w:r>
          </w:p>
        </w:tc>
        <w:tc>
          <w:tcPr>
            <w:tcW w:w="15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79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宋体" w:hAnsi="宋体" w:eastAsia="宋体" w:cs="宋体"/>
                <w:sz w:val="24"/>
                <w:szCs w:val="24"/>
              </w:rPr>
            </w:pPr>
            <w:r>
              <w:rPr>
                <w:rFonts w:hint="eastAsia"/>
                <w:lang w:val="en-US" w:eastAsia="zh-CN"/>
              </w:rPr>
              <w:t>208</w:t>
            </w:r>
          </w:p>
        </w:tc>
        <w:tc>
          <w:tcPr>
            <w:tcW w:w="21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社会保障和就业支出</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10.14</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10.14</w:t>
            </w:r>
          </w:p>
        </w:tc>
        <w:tc>
          <w:tcPr>
            <w:tcW w:w="15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79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hint="eastAsia"/>
              </w:rPr>
            </w:pPr>
            <w:r>
              <w:rPr>
                <w:rFonts w:hint="eastAsia"/>
                <w:lang w:val="en-US" w:eastAsia="zh-CN"/>
              </w:rPr>
              <w:t>20805</w:t>
            </w:r>
          </w:p>
        </w:tc>
        <w:tc>
          <w:tcPr>
            <w:tcW w:w="21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bidi="ar"/>
              </w:rPr>
              <w:t>行政事业单位养老支出</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rPr>
            </w:pPr>
            <w:r>
              <w:rPr>
                <w:rFonts w:hint="eastAsia" w:ascii="宋体" w:hAnsi="宋体" w:eastAsia="宋体" w:cs="宋体"/>
                <w:i w:val="0"/>
                <w:color w:val="000000"/>
                <w:sz w:val="22"/>
                <w:szCs w:val="22"/>
                <w:u w:val="none"/>
                <w:lang w:val="en-US" w:eastAsia="zh-CN"/>
              </w:rPr>
              <w:t>10.14</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rPr>
            </w:pPr>
            <w:r>
              <w:rPr>
                <w:rFonts w:hint="eastAsia" w:ascii="宋体" w:hAnsi="宋体" w:eastAsia="宋体" w:cs="宋体"/>
                <w:i w:val="0"/>
                <w:color w:val="000000"/>
                <w:sz w:val="22"/>
                <w:szCs w:val="22"/>
                <w:u w:val="none"/>
                <w:lang w:val="en-US" w:eastAsia="zh-CN"/>
              </w:rPr>
              <w:t>10.14</w:t>
            </w:r>
          </w:p>
        </w:tc>
        <w:tc>
          <w:tcPr>
            <w:tcW w:w="15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79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hint="eastAsia"/>
              </w:rPr>
            </w:pPr>
            <w:r>
              <w:rPr>
                <w:rFonts w:hint="eastAsia"/>
                <w:lang w:val="en-US" w:eastAsia="zh-CN"/>
              </w:rPr>
              <w:t>2080505</w:t>
            </w:r>
          </w:p>
        </w:tc>
        <w:tc>
          <w:tcPr>
            <w:tcW w:w="21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ind w:firstLine="220" w:firstLineChars="100"/>
              <w:jc w:val="left"/>
              <w:textAlignment w:val="center"/>
              <w:rPr>
                <w:rFonts w:hint="eastAsia"/>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lang w:val="en-US"/>
              </w:rPr>
            </w:pPr>
            <w:r>
              <w:rPr>
                <w:rFonts w:hint="eastAsia" w:ascii="宋体" w:hAnsi="宋体" w:eastAsia="宋体" w:cs="宋体"/>
                <w:i w:val="0"/>
                <w:color w:val="000000"/>
                <w:sz w:val="22"/>
                <w:szCs w:val="22"/>
                <w:u w:val="none"/>
                <w:lang w:val="en-US" w:eastAsia="zh-CN"/>
              </w:rPr>
              <w:t>10.14</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rPr>
            </w:pPr>
            <w:r>
              <w:rPr>
                <w:rFonts w:hint="eastAsia" w:ascii="宋体" w:hAnsi="宋体" w:eastAsia="宋体" w:cs="宋体"/>
                <w:i w:val="0"/>
                <w:color w:val="000000"/>
                <w:sz w:val="22"/>
                <w:szCs w:val="22"/>
                <w:u w:val="none"/>
                <w:lang w:val="en-US" w:eastAsia="zh-CN"/>
              </w:rPr>
              <w:t>10.14</w:t>
            </w:r>
          </w:p>
        </w:tc>
        <w:tc>
          <w:tcPr>
            <w:tcW w:w="15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79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hint="default"/>
                <w:lang w:val="en-US" w:eastAsia="zh-CN"/>
              </w:rPr>
            </w:pPr>
            <w:r>
              <w:rPr>
                <w:rFonts w:hint="eastAsia"/>
                <w:lang w:val="en-US" w:eastAsia="zh-CN"/>
              </w:rPr>
              <w:t>210</w:t>
            </w:r>
          </w:p>
        </w:tc>
        <w:tc>
          <w:tcPr>
            <w:tcW w:w="21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卫生健康支出</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5.52</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5.52</w:t>
            </w:r>
          </w:p>
        </w:tc>
        <w:tc>
          <w:tcPr>
            <w:tcW w:w="15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79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hint="default"/>
                <w:lang w:val="en-US" w:eastAsia="zh-CN"/>
              </w:rPr>
            </w:pPr>
            <w:r>
              <w:rPr>
                <w:rFonts w:hint="eastAsia"/>
                <w:lang w:val="en-US" w:eastAsia="zh-CN"/>
              </w:rPr>
              <w:t>21011</w:t>
            </w:r>
          </w:p>
        </w:tc>
        <w:tc>
          <w:tcPr>
            <w:tcW w:w="21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行政事业单位医疗</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5.52</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5.52</w:t>
            </w:r>
          </w:p>
        </w:tc>
        <w:tc>
          <w:tcPr>
            <w:tcW w:w="15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79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hint="default"/>
                <w:lang w:val="en-US" w:eastAsia="zh-CN"/>
              </w:rPr>
            </w:pPr>
            <w:r>
              <w:rPr>
                <w:rFonts w:hint="eastAsia"/>
                <w:lang w:val="en-US" w:eastAsia="zh-CN"/>
              </w:rPr>
              <w:t>2101102</w:t>
            </w:r>
          </w:p>
        </w:tc>
        <w:tc>
          <w:tcPr>
            <w:tcW w:w="21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ind w:firstLine="220" w:firstLineChars="10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事业单位医疗</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5.52</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5.52</w:t>
            </w:r>
          </w:p>
        </w:tc>
        <w:tc>
          <w:tcPr>
            <w:tcW w:w="15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p>
    <w:p>
      <w:pPr>
        <w:widowControl/>
        <w:rPr>
          <w:rFonts w:ascii="Times New Roman" w:hAnsi="Times New Roman" w:eastAsia="方正小标宋_GBK" w:cs="Times New Roman"/>
          <w:color w:val="000000"/>
          <w:kern w:val="0"/>
          <w:sz w:val="36"/>
          <w:szCs w:val="36"/>
        </w:rPr>
      </w:pPr>
    </w:p>
    <w:tbl>
      <w:tblPr>
        <w:tblStyle w:val="10"/>
        <w:tblW w:w="15640" w:type="dxa"/>
        <w:tblInd w:w="93" w:type="dxa"/>
        <w:tblLayout w:type="fixed"/>
        <w:tblCellMar>
          <w:top w:w="0" w:type="dxa"/>
          <w:left w:w="108" w:type="dxa"/>
          <w:bottom w:w="0" w:type="dxa"/>
          <w:right w:w="108" w:type="dxa"/>
        </w:tblCellMar>
      </w:tblPr>
      <w:tblGrid>
        <w:gridCol w:w="964"/>
        <w:gridCol w:w="272"/>
        <w:gridCol w:w="263"/>
        <w:gridCol w:w="2945"/>
        <w:gridCol w:w="1515"/>
        <w:gridCol w:w="1575"/>
        <w:gridCol w:w="1380"/>
        <w:gridCol w:w="1991"/>
        <w:gridCol w:w="1991"/>
        <w:gridCol w:w="2744"/>
      </w:tblGrid>
      <w:tr>
        <w:tblPrEx>
          <w:tblCellMar>
            <w:top w:w="0" w:type="dxa"/>
            <w:left w:w="108" w:type="dxa"/>
            <w:bottom w:w="0" w:type="dxa"/>
            <w:right w:w="108" w:type="dxa"/>
          </w:tblCellMar>
        </w:tblPrEx>
        <w:trPr>
          <w:trHeight w:val="807" w:hRule="atLeast"/>
        </w:trPr>
        <w:tc>
          <w:tcPr>
            <w:tcW w:w="15640" w:type="dxa"/>
            <w:gridSpan w:val="10"/>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1236"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94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8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4444" w:type="dxa"/>
            <w:gridSpan w:val="4"/>
            <w:tcBorders>
              <w:top w:val="nil"/>
              <w:left w:val="nil"/>
              <w:bottom w:val="nil"/>
              <w:right w:val="nil"/>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部门：</w:t>
            </w:r>
            <w:r>
              <w:rPr>
                <w:rFonts w:hint="eastAsia" w:ascii="宋体" w:hAnsi="宋体" w:eastAsia="宋体" w:cs="宋体"/>
                <w:i w:val="0"/>
                <w:color w:val="000000"/>
                <w:kern w:val="0"/>
                <w:sz w:val="20"/>
                <w:szCs w:val="20"/>
                <w:u w:val="none"/>
                <w:lang w:val="en-US" w:eastAsia="zh-CN" w:bidi="ar"/>
              </w:rPr>
              <w:t>道县人民政府发展研究中心</w:t>
            </w:r>
            <w:r>
              <w:rPr>
                <w:rFonts w:hint="eastAsia" w:ascii="宋体" w:hAnsi="宋体" w:eastAsia="宋体" w:cs="宋体"/>
                <w:kern w:val="0"/>
                <w:sz w:val="24"/>
                <w:szCs w:val="24"/>
              </w:rPr>
              <w:t>　</w:t>
            </w:r>
          </w:p>
        </w:tc>
        <w:tc>
          <w:tcPr>
            <w:tcW w:w="151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80"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50" w:hRule="atLeast"/>
        </w:trPr>
        <w:tc>
          <w:tcPr>
            <w:tcW w:w="4444"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51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57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3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499"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945"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3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312" w:hRule="atLeast"/>
        </w:trPr>
        <w:tc>
          <w:tcPr>
            <w:tcW w:w="1499"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94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3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15" w:hRule="atLeast"/>
        </w:trPr>
        <w:tc>
          <w:tcPr>
            <w:tcW w:w="4444"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51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57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8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460" w:hRule="atLeast"/>
        </w:trPr>
        <w:tc>
          <w:tcPr>
            <w:tcW w:w="4444"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宋体" w:hAnsi="宋体" w:eastAsia="宋体" w:cs="宋体"/>
                <w:kern w:val="0"/>
                <w:sz w:val="24"/>
                <w:szCs w:val="24"/>
              </w:rPr>
            </w:pPr>
            <w:r>
              <w:rPr>
                <w:rFonts w:hint="eastAsia"/>
              </w:rPr>
              <w:t>合计</w:t>
            </w:r>
          </w:p>
        </w:tc>
        <w:tc>
          <w:tcPr>
            <w:tcW w:w="151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138.93</w:t>
            </w:r>
          </w:p>
        </w:tc>
        <w:tc>
          <w:tcPr>
            <w:tcW w:w="1575"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118.90</w:t>
            </w:r>
          </w:p>
        </w:tc>
        <w:tc>
          <w:tcPr>
            <w:tcW w:w="138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20.03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75" w:hRule="atLeast"/>
        </w:trPr>
        <w:tc>
          <w:tcPr>
            <w:tcW w:w="96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ascii="宋体" w:hAnsi="宋体" w:eastAsia="宋体" w:cs="宋体"/>
                <w:kern w:val="0"/>
                <w:sz w:val="24"/>
                <w:szCs w:val="24"/>
              </w:rPr>
            </w:pPr>
            <w:r>
              <w:rPr>
                <w:rFonts w:hint="eastAsia"/>
                <w:lang w:val="en-US" w:eastAsia="zh-CN"/>
              </w:rPr>
              <w:t>201</w:t>
            </w:r>
          </w:p>
        </w:tc>
        <w:tc>
          <w:tcPr>
            <w:tcW w:w="3480"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一般公共服务支出　</w:t>
            </w:r>
          </w:p>
        </w:tc>
        <w:tc>
          <w:tcPr>
            <w:tcW w:w="151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123.27</w:t>
            </w:r>
          </w:p>
        </w:tc>
        <w:tc>
          <w:tcPr>
            <w:tcW w:w="1575"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103.24</w:t>
            </w:r>
          </w:p>
        </w:tc>
        <w:tc>
          <w:tcPr>
            <w:tcW w:w="138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20.03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60" w:hRule="atLeast"/>
        </w:trPr>
        <w:tc>
          <w:tcPr>
            <w:tcW w:w="96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ascii="宋体" w:hAnsi="宋体" w:eastAsia="宋体" w:cs="宋体"/>
                <w:kern w:val="0"/>
                <w:sz w:val="24"/>
                <w:szCs w:val="24"/>
              </w:rPr>
            </w:pPr>
            <w:r>
              <w:rPr>
                <w:rFonts w:hint="eastAsia"/>
                <w:lang w:val="en-US" w:eastAsia="zh-CN"/>
              </w:rPr>
              <w:t>20103</w:t>
            </w:r>
          </w:p>
        </w:tc>
        <w:tc>
          <w:tcPr>
            <w:tcW w:w="3480"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政府办公厅（室）及相关机构事务</w:t>
            </w:r>
          </w:p>
        </w:tc>
        <w:tc>
          <w:tcPr>
            <w:tcW w:w="151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123.27</w:t>
            </w:r>
          </w:p>
        </w:tc>
        <w:tc>
          <w:tcPr>
            <w:tcW w:w="1575"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103.24</w:t>
            </w:r>
          </w:p>
        </w:tc>
        <w:tc>
          <w:tcPr>
            <w:tcW w:w="138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20.03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60" w:hRule="atLeast"/>
        </w:trPr>
        <w:tc>
          <w:tcPr>
            <w:tcW w:w="96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ascii="宋体" w:hAnsi="宋体" w:eastAsia="宋体" w:cs="宋体"/>
                <w:kern w:val="0"/>
                <w:sz w:val="24"/>
                <w:szCs w:val="24"/>
              </w:rPr>
            </w:pPr>
            <w:r>
              <w:rPr>
                <w:rFonts w:hint="eastAsia"/>
                <w:lang w:val="en-US" w:eastAsia="zh-CN"/>
              </w:rPr>
              <w:t>2010301</w:t>
            </w:r>
          </w:p>
        </w:tc>
        <w:tc>
          <w:tcPr>
            <w:tcW w:w="3480"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行政运行</w:t>
            </w:r>
          </w:p>
        </w:tc>
        <w:tc>
          <w:tcPr>
            <w:tcW w:w="151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3.82</w:t>
            </w:r>
          </w:p>
        </w:tc>
        <w:tc>
          <w:tcPr>
            <w:tcW w:w="1575"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3.82</w:t>
            </w:r>
          </w:p>
        </w:tc>
        <w:tc>
          <w:tcPr>
            <w:tcW w:w="138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45" w:hRule="atLeast"/>
        </w:trPr>
        <w:tc>
          <w:tcPr>
            <w:tcW w:w="96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ascii="宋体" w:hAnsi="宋体" w:eastAsia="宋体" w:cs="宋体"/>
                <w:kern w:val="0"/>
                <w:sz w:val="24"/>
                <w:szCs w:val="24"/>
              </w:rPr>
            </w:pPr>
            <w:r>
              <w:rPr>
                <w:rFonts w:hint="eastAsia"/>
                <w:lang w:val="en-US" w:eastAsia="zh-CN"/>
              </w:rPr>
              <w:t>2010350</w:t>
            </w:r>
          </w:p>
        </w:tc>
        <w:tc>
          <w:tcPr>
            <w:tcW w:w="3480"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　事业运行</w:t>
            </w:r>
          </w:p>
        </w:tc>
        <w:tc>
          <w:tcPr>
            <w:tcW w:w="151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119.45</w:t>
            </w:r>
          </w:p>
        </w:tc>
        <w:tc>
          <w:tcPr>
            <w:tcW w:w="1575"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99.42</w:t>
            </w:r>
          </w:p>
        </w:tc>
        <w:tc>
          <w:tcPr>
            <w:tcW w:w="138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20.03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15" w:hRule="atLeast"/>
        </w:trPr>
        <w:tc>
          <w:tcPr>
            <w:tcW w:w="96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ascii="宋体" w:hAnsi="宋体" w:eastAsia="宋体" w:cs="宋体"/>
                <w:kern w:val="0"/>
                <w:sz w:val="24"/>
                <w:szCs w:val="24"/>
              </w:rPr>
            </w:pPr>
            <w:r>
              <w:rPr>
                <w:rFonts w:hint="eastAsia"/>
                <w:lang w:val="en-US" w:eastAsia="zh-CN"/>
              </w:rPr>
              <w:t>208</w:t>
            </w:r>
          </w:p>
        </w:tc>
        <w:tc>
          <w:tcPr>
            <w:tcW w:w="3480"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社会保障和就业支出</w:t>
            </w:r>
          </w:p>
        </w:tc>
        <w:tc>
          <w:tcPr>
            <w:tcW w:w="151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10.14</w:t>
            </w:r>
          </w:p>
        </w:tc>
        <w:tc>
          <w:tcPr>
            <w:tcW w:w="1575"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10.14</w:t>
            </w:r>
          </w:p>
        </w:tc>
        <w:tc>
          <w:tcPr>
            <w:tcW w:w="138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60" w:hRule="atLeast"/>
        </w:trPr>
        <w:tc>
          <w:tcPr>
            <w:tcW w:w="96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ascii="宋体" w:hAnsi="宋体" w:eastAsia="宋体" w:cs="宋体"/>
                <w:kern w:val="0"/>
                <w:sz w:val="24"/>
                <w:szCs w:val="24"/>
              </w:rPr>
            </w:pPr>
            <w:r>
              <w:rPr>
                <w:rFonts w:hint="eastAsia"/>
                <w:lang w:val="en-US" w:eastAsia="zh-CN"/>
              </w:rPr>
              <w:t>20805</w:t>
            </w:r>
          </w:p>
        </w:tc>
        <w:tc>
          <w:tcPr>
            <w:tcW w:w="3480"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行政事业单位养老支出</w:t>
            </w:r>
          </w:p>
        </w:tc>
        <w:tc>
          <w:tcPr>
            <w:tcW w:w="151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10.14</w:t>
            </w:r>
          </w:p>
        </w:tc>
        <w:tc>
          <w:tcPr>
            <w:tcW w:w="1575"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10.14</w:t>
            </w:r>
          </w:p>
        </w:tc>
        <w:tc>
          <w:tcPr>
            <w:tcW w:w="138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96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hint="eastAsia" w:ascii="宋体" w:hAnsi="宋体" w:eastAsia="宋体" w:cs="宋体"/>
                <w:kern w:val="0"/>
                <w:sz w:val="24"/>
                <w:szCs w:val="24"/>
              </w:rPr>
            </w:pPr>
            <w:r>
              <w:rPr>
                <w:rFonts w:hint="eastAsia"/>
                <w:lang w:val="en-US" w:eastAsia="zh-CN"/>
              </w:rPr>
              <w:t>2080505</w:t>
            </w:r>
          </w:p>
        </w:tc>
        <w:tc>
          <w:tcPr>
            <w:tcW w:w="3480"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ind w:firstLine="220" w:firstLineChars="10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1515"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10.14</w:t>
            </w:r>
          </w:p>
        </w:tc>
        <w:tc>
          <w:tcPr>
            <w:tcW w:w="1575"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10.14</w:t>
            </w:r>
          </w:p>
        </w:tc>
        <w:tc>
          <w:tcPr>
            <w:tcW w:w="138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75" w:hRule="atLeast"/>
        </w:trPr>
        <w:tc>
          <w:tcPr>
            <w:tcW w:w="96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hint="eastAsia"/>
                <w:lang w:val="en-US" w:eastAsia="zh-CN"/>
              </w:rPr>
            </w:pPr>
            <w:r>
              <w:rPr>
                <w:rFonts w:hint="eastAsia"/>
                <w:lang w:val="en-US" w:eastAsia="zh-CN"/>
              </w:rPr>
              <w:t>210</w:t>
            </w:r>
          </w:p>
        </w:tc>
        <w:tc>
          <w:tcPr>
            <w:tcW w:w="3480"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卫生健康支出</w:t>
            </w:r>
          </w:p>
        </w:tc>
        <w:tc>
          <w:tcPr>
            <w:tcW w:w="1515"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5.52</w:t>
            </w:r>
          </w:p>
        </w:tc>
        <w:tc>
          <w:tcPr>
            <w:tcW w:w="1575"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5.52</w:t>
            </w:r>
          </w:p>
        </w:tc>
        <w:tc>
          <w:tcPr>
            <w:tcW w:w="138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05" w:hRule="atLeast"/>
        </w:trPr>
        <w:tc>
          <w:tcPr>
            <w:tcW w:w="96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hint="eastAsia"/>
                <w:lang w:val="en-US" w:eastAsia="zh-CN"/>
              </w:rPr>
            </w:pPr>
            <w:r>
              <w:rPr>
                <w:rFonts w:hint="eastAsia"/>
                <w:lang w:val="en-US" w:eastAsia="zh-CN"/>
              </w:rPr>
              <w:t>21011</w:t>
            </w:r>
          </w:p>
        </w:tc>
        <w:tc>
          <w:tcPr>
            <w:tcW w:w="3480"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行政事业单位医疗</w:t>
            </w:r>
          </w:p>
        </w:tc>
        <w:tc>
          <w:tcPr>
            <w:tcW w:w="1515"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5.52</w:t>
            </w:r>
          </w:p>
        </w:tc>
        <w:tc>
          <w:tcPr>
            <w:tcW w:w="1575"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5.52</w:t>
            </w:r>
          </w:p>
        </w:tc>
        <w:tc>
          <w:tcPr>
            <w:tcW w:w="138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50" w:hRule="atLeast"/>
        </w:trPr>
        <w:tc>
          <w:tcPr>
            <w:tcW w:w="96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hint="eastAsia"/>
                <w:lang w:val="en-US" w:eastAsia="zh-CN"/>
              </w:rPr>
            </w:pPr>
            <w:r>
              <w:rPr>
                <w:rFonts w:hint="eastAsia"/>
                <w:lang w:val="en-US" w:eastAsia="zh-CN"/>
              </w:rPr>
              <w:t>2101102</w:t>
            </w:r>
          </w:p>
        </w:tc>
        <w:tc>
          <w:tcPr>
            <w:tcW w:w="3480"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ind w:firstLine="220" w:firstLineChars="10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事业单位医疗</w:t>
            </w:r>
          </w:p>
        </w:tc>
        <w:tc>
          <w:tcPr>
            <w:tcW w:w="1515"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5.52</w:t>
            </w:r>
          </w:p>
        </w:tc>
        <w:tc>
          <w:tcPr>
            <w:tcW w:w="1575"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5.52</w:t>
            </w:r>
          </w:p>
        </w:tc>
        <w:tc>
          <w:tcPr>
            <w:tcW w:w="1380"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828" w:hRule="atLeast"/>
        </w:trPr>
        <w:tc>
          <w:tcPr>
            <w:tcW w:w="15640" w:type="dxa"/>
            <w:gridSpan w:val="10"/>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jc w:val="both"/>
        <w:rPr>
          <w:rFonts w:ascii="Times New Roman" w:hAnsi="Times New Roman" w:eastAsia="方正小标宋_GBK" w:cs="Times New Roman"/>
          <w:color w:val="000000"/>
          <w:kern w:val="0"/>
          <w:sz w:val="36"/>
          <w:szCs w:val="21"/>
        </w:rPr>
      </w:pPr>
    </w:p>
    <w:tbl>
      <w:tblPr>
        <w:tblStyle w:val="10"/>
        <w:tblW w:w="15521" w:type="dxa"/>
        <w:tblInd w:w="93" w:type="dxa"/>
        <w:tblLayout w:type="autofit"/>
        <w:tblCellMar>
          <w:top w:w="0" w:type="dxa"/>
          <w:left w:w="108" w:type="dxa"/>
          <w:bottom w:w="0" w:type="dxa"/>
          <w:right w:w="108" w:type="dxa"/>
        </w:tblCellMar>
      </w:tblPr>
      <w:tblGrid>
        <w:gridCol w:w="3595"/>
        <w:gridCol w:w="436"/>
        <w:gridCol w:w="1078"/>
        <w:gridCol w:w="3411"/>
        <w:gridCol w:w="632"/>
        <w:gridCol w:w="435"/>
        <w:gridCol w:w="1573"/>
        <w:gridCol w:w="1394"/>
        <w:gridCol w:w="1394"/>
        <w:gridCol w:w="1573"/>
      </w:tblGrid>
      <w:tr>
        <w:tblPrEx>
          <w:tblCellMar>
            <w:top w:w="0" w:type="dxa"/>
            <w:left w:w="108" w:type="dxa"/>
            <w:bottom w:w="0" w:type="dxa"/>
            <w:right w:w="108" w:type="dxa"/>
          </w:tblCellMar>
        </w:tblPrEx>
        <w:trPr>
          <w:trHeight w:val="474" w:hRule="atLeast"/>
        </w:trPr>
        <w:tc>
          <w:tcPr>
            <w:tcW w:w="15521" w:type="dxa"/>
            <w:gridSpan w:val="10"/>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bookmarkStart w:id="0" w:name="RANGE!A1:I22"/>
            <w:bookmarkEnd w:id="0"/>
            <w:bookmarkStart w:id="1" w:name="RANGE!A1:F16"/>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i w:val="0"/>
                <w:color w:val="000000"/>
                <w:kern w:val="0"/>
                <w:sz w:val="20"/>
                <w:szCs w:val="20"/>
                <w:u w:val="none"/>
                <w:lang w:val="en-US" w:eastAsia="zh-CN" w:bidi="ar"/>
              </w:rPr>
              <w:t>道县人民政府发展研究中心</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7"/>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138.93</w:t>
            </w: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123.27</w:t>
            </w:r>
          </w:p>
        </w:tc>
        <w:tc>
          <w:tcPr>
            <w:tcW w:w="139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123.27</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10.14</w:t>
            </w:r>
          </w:p>
        </w:tc>
        <w:tc>
          <w:tcPr>
            <w:tcW w:w="139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10.14</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九、卫生健康支出</w:t>
            </w:r>
          </w:p>
        </w:tc>
        <w:tc>
          <w:tcPr>
            <w:tcW w:w="1067" w:type="dxa"/>
            <w:gridSpan w:val="2"/>
            <w:tcBorders>
              <w:top w:val="nil"/>
              <w:left w:val="nil"/>
              <w:bottom w:val="single" w:color="auto" w:sz="4" w:space="0"/>
              <w:right w:val="single" w:color="auto" w:sz="4" w:space="0"/>
            </w:tcBorders>
            <w:shd w:val="clear" w:color="auto" w:fill="FFFFFF"/>
            <w:noWrap/>
            <w:vAlign w:val="center"/>
          </w:tcPr>
          <w:p>
            <w:pPr>
              <w:widowControl/>
              <w:jc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b/>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5.52</w:t>
            </w:r>
          </w:p>
        </w:tc>
        <w:tc>
          <w:tcPr>
            <w:tcW w:w="1394"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5.52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138.93</w:t>
            </w: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138.93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138.93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9</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2"/>
                <w:lang w:eastAsia="zh-CN"/>
              </w:rPr>
            </w:pPr>
            <w:r>
              <w:rPr>
                <w:rFonts w:hint="eastAsia" w:ascii="宋体" w:hAnsi="宋体" w:eastAsia="宋体" w:cs="宋体"/>
                <w:kern w:val="0"/>
                <w:sz w:val="22"/>
              </w:rPr>
              <w:t>1</w:t>
            </w:r>
            <w:r>
              <w:rPr>
                <w:rFonts w:hint="eastAsia" w:ascii="宋体" w:hAnsi="宋体" w:eastAsia="宋体" w:cs="宋体"/>
                <w:kern w:val="0"/>
                <w:sz w:val="22"/>
                <w:lang w:val="en-US" w:eastAsia="zh-CN"/>
              </w:rPr>
              <w:t>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138.93</w:t>
            </w:r>
            <w:r>
              <w:rPr>
                <w:rFonts w:hint="eastAsia" w:ascii="宋体" w:hAnsi="宋体" w:eastAsia="宋体" w:cs="宋体"/>
                <w:kern w:val="0"/>
                <w:sz w:val="22"/>
              </w:rPr>
              <w:t>　</w:t>
            </w:r>
          </w:p>
        </w:tc>
        <w:tc>
          <w:tcPr>
            <w:tcW w:w="341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30</w:t>
            </w:r>
          </w:p>
        </w:tc>
        <w:tc>
          <w:tcPr>
            <w:tcW w:w="15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138.93</w:t>
            </w:r>
          </w:p>
        </w:tc>
        <w:tc>
          <w:tcPr>
            <w:tcW w:w="139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138.93</w:t>
            </w:r>
          </w:p>
        </w:tc>
        <w:tc>
          <w:tcPr>
            <w:tcW w:w="13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0"/>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i w:val="0"/>
          <w:color w:val="000000"/>
          <w:kern w:val="0"/>
          <w:sz w:val="20"/>
          <w:szCs w:val="20"/>
          <w:u w:val="none"/>
          <w:lang w:val="en-US" w:eastAsia="zh-CN" w:bidi="ar"/>
        </w:rPr>
        <w:t>道县人民政府发展研究中心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196"/>
        <w:gridCol w:w="3331"/>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3"/>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gridSpan w:val="2"/>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rPr>
              <w:t>合计</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138.93</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118.90</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20.03　</w:t>
            </w:r>
          </w:p>
        </w:tc>
      </w:tr>
      <w:tr>
        <w:tblPrEx>
          <w:tblCellMar>
            <w:top w:w="0" w:type="dxa"/>
            <w:left w:w="108" w:type="dxa"/>
            <w:bottom w:w="0" w:type="dxa"/>
            <w:right w:w="108" w:type="dxa"/>
          </w:tblCellMar>
        </w:tblPrEx>
        <w:trPr>
          <w:trHeight w:val="450" w:hRule="atLeast"/>
          <w:jc w:val="center"/>
        </w:trPr>
        <w:tc>
          <w:tcPr>
            <w:tcW w:w="139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lang w:val="en-US" w:eastAsia="zh-CN"/>
              </w:rPr>
              <w:t>201</w:t>
            </w:r>
          </w:p>
        </w:tc>
        <w:tc>
          <w:tcPr>
            <w:tcW w:w="333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一般公共服务支出　</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123.27</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103.24</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20.03　</w:t>
            </w:r>
          </w:p>
        </w:tc>
      </w:tr>
      <w:tr>
        <w:tblPrEx>
          <w:tblCellMar>
            <w:top w:w="0" w:type="dxa"/>
            <w:left w:w="108" w:type="dxa"/>
            <w:bottom w:w="0" w:type="dxa"/>
            <w:right w:w="108" w:type="dxa"/>
          </w:tblCellMar>
        </w:tblPrEx>
        <w:trPr>
          <w:trHeight w:val="450" w:hRule="atLeast"/>
          <w:jc w:val="center"/>
        </w:trPr>
        <w:tc>
          <w:tcPr>
            <w:tcW w:w="139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lang w:val="en-US" w:eastAsia="zh-CN"/>
              </w:rPr>
              <w:t>20103</w:t>
            </w:r>
          </w:p>
        </w:tc>
        <w:tc>
          <w:tcPr>
            <w:tcW w:w="333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政府办公厅（室）及相关机构事务</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123.27</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103.24</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20.03　</w:t>
            </w:r>
          </w:p>
        </w:tc>
      </w:tr>
      <w:tr>
        <w:tblPrEx>
          <w:tblCellMar>
            <w:top w:w="0" w:type="dxa"/>
            <w:left w:w="108" w:type="dxa"/>
            <w:bottom w:w="0" w:type="dxa"/>
            <w:right w:w="108" w:type="dxa"/>
          </w:tblCellMar>
        </w:tblPrEx>
        <w:trPr>
          <w:trHeight w:val="450" w:hRule="atLeast"/>
          <w:jc w:val="center"/>
        </w:trPr>
        <w:tc>
          <w:tcPr>
            <w:tcW w:w="139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jc w:val="both"/>
              <w:rPr>
                <w:rFonts w:hint="default" w:ascii="Times New Roman" w:hAnsi="Times New Roman" w:eastAsia="仿宋_GB2312" w:cs="Times New Roman"/>
                <w:kern w:val="0"/>
                <w:szCs w:val="21"/>
                <w:lang w:val="en-US"/>
              </w:rPr>
            </w:pPr>
            <w:r>
              <w:rPr>
                <w:rFonts w:hint="eastAsia"/>
                <w:lang w:val="en-US" w:eastAsia="zh-CN"/>
              </w:rPr>
              <w:t>2010301</w:t>
            </w:r>
          </w:p>
        </w:tc>
        <w:tc>
          <w:tcPr>
            <w:tcW w:w="333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行政运行</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3.82</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3.82</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　</w:t>
            </w:r>
          </w:p>
        </w:tc>
      </w:tr>
      <w:tr>
        <w:tblPrEx>
          <w:tblCellMar>
            <w:top w:w="0" w:type="dxa"/>
            <w:left w:w="108" w:type="dxa"/>
            <w:bottom w:w="0" w:type="dxa"/>
            <w:right w:w="108" w:type="dxa"/>
          </w:tblCellMar>
        </w:tblPrEx>
        <w:trPr>
          <w:trHeight w:val="450" w:hRule="atLeast"/>
          <w:jc w:val="center"/>
        </w:trPr>
        <w:tc>
          <w:tcPr>
            <w:tcW w:w="139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lang w:val="en-US" w:eastAsia="zh-CN"/>
              </w:rPr>
              <w:t>2010350</w:t>
            </w:r>
          </w:p>
        </w:tc>
        <w:tc>
          <w:tcPr>
            <w:tcW w:w="333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事业运行</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119.45</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99.42</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20.03　</w:t>
            </w:r>
          </w:p>
        </w:tc>
      </w:tr>
      <w:tr>
        <w:tblPrEx>
          <w:tblCellMar>
            <w:top w:w="0" w:type="dxa"/>
            <w:left w:w="108" w:type="dxa"/>
            <w:bottom w:w="0" w:type="dxa"/>
            <w:right w:w="108" w:type="dxa"/>
          </w:tblCellMar>
        </w:tblPrEx>
        <w:trPr>
          <w:trHeight w:val="450" w:hRule="atLeast"/>
          <w:jc w:val="center"/>
        </w:trPr>
        <w:tc>
          <w:tcPr>
            <w:tcW w:w="139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lang w:val="en-US" w:eastAsia="zh-CN"/>
              </w:rPr>
              <w:t>208</w:t>
            </w:r>
          </w:p>
        </w:tc>
        <w:tc>
          <w:tcPr>
            <w:tcW w:w="333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10.14</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10.14</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　</w:t>
            </w:r>
          </w:p>
        </w:tc>
      </w:tr>
      <w:tr>
        <w:tblPrEx>
          <w:tblCellMar>
            <w:top w:w="0" w:type="dxa"/>
            <w:left w:w="108" w:type="dxa"/>
            <w:bottom w:w="0" w:type="dxa"/>
            <w:right w:w="108" w:type="dxa"/>
          </w:tblCellMar>
        </w:tblPrEx>
        <w:trPr>
          <w:trHeight w:val="450" w:hRule="atLeast"/>
          <w:jc w:val="center"/>
        </w:trPr>
        <w:tc>
          <w:tcPr>
            <w:tcW w:w="139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lang w:val="en-US" w:eastAsia="zh-CN"/>
              </w:rPr>
              <w:t>20805</w:t>
            </w:r>
          </w:p>
        </w:tc>
        <w:tc>
          <w:tcPr>
            <w:tcW w:w="333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10.14</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10.14</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　</w:t>
            </w:r>
          </w:p>
        </w:tc>
      </w:tr>
      <w:tr>
        <w:tblPrEx>
          <w:tblCellMar>
            <w:top w:w="0" w:type="dxa"/>
            <w:left w:w="108" w:type="dxa"/>
            <w:bottom w:w="0" w:type="dxa"/>
            <w:right w:w="108" w:type="dxa"/>
          </w:tblCellMar>
        </w:tblPrEx>
        <w:trPr>
          <w:trHeight w:val="450" w:hRule="atLeast"/>
          <w:jc w:val="center"/>
        </w:trPr>
        <w:tc>
          <w:tcPr>
            <w:tcW w:w="139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jc w:val="both"/>
              <w:rPr>
                <w:rFonts w:ascii="Times New Roman" w:hAnsi="Times New Roman" w:eastAsia="仿宋_GB2312" w:cs="Times New Roman"/>
                <w:kern w:val="0"/>
                <w:szCs w:val="21"/>
              </w:rPr>
            </w:pPr>
            <w:r>
              <w:rPr>
                <w:rFonts w:hint="eastAsia"/>
                <w:lang w:val="en-US" w:eastAsia="zh-CN"/>
              </w:rPr>
              <w:t>2080505</w:t>
            </w:r>
          </w:p>
        </w:tc>
        <w:tc>
          <w:tcPr>
            <w:tcW w:w="333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ind w:firstLine="220" w:firstLineChars="10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10.14</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10.14</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39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jc w:val="both"/>
              <w:rPr>
                <w:rFonts w:hint="eastAsia"/>
                <w:lang w:val="en-US" w:eastAsia="zh-CN"/>
              </w:rPr>
            </w:pPr>
            <w:r>
              <w:rPr>
                <w:rFonts w:hint="eastAsia"/>
                <w:lang w:val="en-US" w:eastAsia="zh-CN"/>
              </w:rPr>
              <w:t>210</w:t>
            </w:r>
          </w:p>
        </w:tc>
        <w:tc>
          <w:tcPr>
            <w:tcW w:w="333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5.52</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5.52</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39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jc w:val="both"/>
              <w:rPr>
                <w:rFonts w:hint="eastAsia"/>
                <w:lang w:val="en-US" w:eastAsia="zh-CN"/>
              </w:rPr>
            </w:pPr>
            <w:r>
              <w:rPr>
                <w:rFonts w:hint="eastAsia"/>
                <w:lang w:val="en-US" w:eastAsia="zh-CN"/>
              </w:rPr>
              <w:t>21011</w:t>
            </w:r>
          </w:p>
        </w:tc>
        <w:tc>
          <w:tcPr>
            <w:tcW w:w="333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5.52</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5.52</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39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jc w:val="both"/>
              <w:rPr>
                <w:rFonts w:hint="eastAsia"/>
                <w:lang w:val="en-US" w:eastAsia="zh-CN"/>
              </w:rPr>
            </w:pPr>
            <w:r>
              <w:rPr>
                <w:rFonts w:hint="eastAsia"/>
                <w:lang w:val="en-US" w:eastAsia="zh-CN"/>
              </w:rPr>
              <w:t>2101102</w:t>
            </w:r>
          </w:p>
        </w:tc>
        <w:tc>
          <w:tcPr>
            <w:tcW w:w="3331"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ind w:firstLine="220" w:firstLineChars="10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事业单位医疗</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5.52</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5.52</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tbl>
      <w:tblPr>
        <w:tblStyle w:val="10"/>
        <w:tblW w:w="0" w:type="auto"/>
        <w:tblInd w:w="0" w:type="dxa"/>
        <w:tblLayout w:type="fixed"/>
        <w:tblCellMar>
          <w:top w:w="0" w:type="dxa"/>
          <w:left w:w="108" w:type="dxa"/>
          <w:bottom w:w="0" w:type="dxa"/>
          <w:right w:w="108" w:type="dxa"/>
        </w:tblCellMar>
      </w:tblPr>
      <w:tblGrid>
        <w:gridCol w:w="997"/>
        <w:gridCol w:w="240"/>
        <w:gridCol w:w="94"/>
        <w:gridCol w:w="1922"/>
        <w:gridCol w:w="1423"/>
        <w:gridCol w:w="69"/>
        <w:gridCol w:w="984"/>
        <w:gridCol w:w="900"/>
        <w:gridCol w:w="308"/>
        <w:gridCol w:w="2049"/>
        <w:gridCol w:w="56"/>
        <w:gridCol w:w="1187"/>
        <w:gridCol w:w="919"/>
        <w:gridCol w:w="52"/>
        <w:gridCol w:w="2054"/>
        <w:gridCol w:w="1289"/>
        <w:gridCol w:w="817"/>
        <w:gridCol w:w="254"/>
      </w:tblGrid>
      <w:tr>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both"/>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i w:val="0"/>
                <w:color w:val="000000"/>
                <w:kern w:val="0"/>
                <w:sz w:val="20"/>
                <w:szCs w:val="20"/>
                <w:u w:val="none"/>
                <w:lang w:val="en-US" w:eastAsia="zh-CN" w:bidi="ar"/>
              </w:rPr>
              <w:t>道县人民政府发展研究中心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133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4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5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0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3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24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71"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34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71"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107.49</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11.41</w:t>
            </w: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45.01</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2.88</w:t>
            </w: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16.91</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3.71</w:t>
            </w: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17.83</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1.35</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6.59</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10.14</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0.39</w:t>
            </w: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rPr>
            </w:pPr>
            <w:r>
              <w:rPr>
                <w:rFonts w:hint="eastAsia" w:ascii="宋体" w:hAnsi="宋体" w:eastAsia="宋体" w:cs="宋体"/>
                <w:color w:val="000000"/>
                <w:kern w:val="0"/>
                <w:szCs w:val="20"/>
                <w:lang w:val="en-US" w:eastAsia="zh-CN"/>
              </w:rPr>
              <w:t>5.52</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1.33</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2.81</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243" w:type="dxa"/>
            <w:gridSpan w:val="2"/>
            <w:tcBorders>
              <w:top w:val="nil"/>
              <w:left w:val="nil"/>
              <w:bottom w:val="single" w:color="auto" w:sz="4" w:space="0"/>
              <w:right w:val="single" w:color="auto" w:sz="4" w:space="0"/>
            </w:tcBorders>
            <w:shd w:val="clear" w:color="auto" w:fill="auto"/>
            <w:noWrap/>
            <w:vAlign w:val="center"/>
          </w:tcPr>
          <w:p>
            <w:pPr>
              <w:pStyle w:val="9"/>
              <w:jc w:val="center"/>
              <w:rPr>
                <w:rFonts w:hint="eastAsia" w:ascii="宋体" w:hAnsi="宋体" w:eastAsia="宋体" w:cs="宋体"/>
                <w:color w:val="000000"/>
                <w:kern w:val="0"/>
                <w:szCs w:val="20"/>
                <w:lang w:val="en-US" w:eastAsia="zh-CN"/>
              </w:rPr>
            </w:pPr>
          </w:p>
          <w:p>
            <w:pPr>
              <w:pStyle w:val="5"/>
              <w:jc w:val="center"/>
              <w:rPr>
                <w:rFonts w:hint="default"/>
                <w:lang w:val="en-US" w:eastAsia="zh-CN"/>
              </w:rPr>
            </w:pP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0.73</w:t>
            </w: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rPr>
            </w:pPr>
            <w:r>
              <w:rPr>
                <w:rFonts w:hint="eastAsia" w:ascii="宋体" w:hAnsi="宋体" w:eastAsia="宋体" w:cs="宋体"/>
                <w:color w:val="000000"/>
                <w:kern w:val="0"/>
                <w:szCs w:val="20"/>
                <w:lang w:val="en-US" w:eastAsia="zh-CN"/>
              </w:rPr>
              <w:t>2.70</w:t>
            </w: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10"/>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10"/>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34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35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24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1.00</w:t>
            </w:r>
          </w:p>
        </w:tc>
        <w:tc>
          <w:tcPr>
            <w:tcW w:w="9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3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4676"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0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107.49</w:t>
            </w:r>
          </w:p>
        </w:tc>
        <w:tc>
          <w:tcPr>
            <w:tcW w:w="8814"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107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r>
              <w:rPr>
                <w:rFonts w:hint="eastAsia" w:ascii="宋体" w:hAnsi="宋体" w:eastAsia="宋体" w:cs="宋体"/>
                <w:color w:val="000000"/>
                <w:kern w:val="0"/>
                <w:szCs w:val="20"/>
                <w:lang w:val="en-US" w:eastAsia="zh-CN"/>
              </w:rPr>
              <w:t>11.41</w:t>
            </w:r>
          </w:p>
        </w:tc>
      </w:tr>
      <w:tr>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5360"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345" w:hRule="atLeast"/>
        </w:trPr>
        <w:tc>
          <w:tcPr>
            <w:tcW w:w="997"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016"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492"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92"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5"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6"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6"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6"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3253" w:type="dxa"/>
            <w:gridSpan w:val="4"/>
            <w:tcBorders>
              <w:top w:val="nil"/>
              <w:left w:val="nil"/>
              <w:bottom w:val="nil"/>
              <w:right w:val="nil"/>
            </w:tcBorders>
            <w:shd w:val="clear" w:color="auto" w:fill="FFFFFF"/>
            <w:noWrap/>
            <w:vAlign w:val="center"/>
          </w:tcPr>
          <w:p>
            <w:pPr>
              <w:jc w:val="left"/>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部门：道县人民政府发展研究中心</w:t>
            </w:r>
          </w:p>
        </w:tc>
        <w:tc>
          <w:tcPr>
            <w:tcW w:w="1492"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92"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5"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6"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6"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6"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59" w:hRule="atLeast"/>
        </w:trPr>
        <w:tc>
          <w:tcPr>
            <w:tcW w:w="32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7"/>
                <w:lang w:val="en-US" w:eastAsia="zh-CN" w:bidi="ar"/>
              </w:rPr>
              <w:t xml:space="preserve">   </w:t>
            </w:r>
            <w:r>
              <w:rPr>
                <w:rStyle w:val="18"/>
                <w:lang w:val="en-US" w:eastAsia="zh-CN" w:bidi="ar"/>
              </w:rPr>
              <w:t>目</w:t>
            </w:r>
          </w:p>
        </w:tc>
        <w:tc>
          <w:tcPr>
            <w:tcW w:w="14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19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09" w:hRule="atLeast"/>
        </w:trPr>
        <w:tc>
          <w:tcPr>
            <w:tcW w:w="123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01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14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09" w:hRule="atLeast"/>
        </w:trPr>
        <w:tc>
          <w:tcPr>
            <w:tcW w:w="123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3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32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14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32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4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14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4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14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4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4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4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725" w:hRule="atLeast"/>
        </w:trPr>
        <w:tc>
          <w:tcPr>
            <w:tcW w:w="15360"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10"/>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4319" w:type="dxa"/>
            <w:gridSpan w:val="3"/>
            <w:tcBorders>
              <w:top w:val="nil"/>
              <w:left w:val="nil"/>
              <w:bottom w:val="nil"/>
              <w:right w:val="nil"/>
            </w:tcBorders>
            <w:shd w:val="clear" w:color="auto" w:fill="FFFFFF"/>
            <w:noWrap/>
            <w:vAlign w:val="center"/>
          </w:tcPr>
          <w:p>
            <w:pPr>
              <w:jc w:val="left"/>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部门：道县人民政府发展研究中心</w:t>
            </w: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9"/>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tbl>
      <w:tblPr>
        <w:tblStyle w:val="10"/>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782" w:type="dxa"/>
            <w:gridSpan w:val="3"/>
            <w:tcBorders>
              <w:top w:val="nil"/>
              <w:left w:val="nil"/>
              <w:bottom w:val="nil"/>
              <w:right w:val="nil"/>
            </w:tcBorders>
            <w:shd w:val="clear" w:color="auto" w:fill="FFFFFF"/>
            <w:noWrap/>
            <w:vAlign w:val="center"/>
          </w:tcPr>
          <w:p>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部门：道县人民政府发展研究中心</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0.20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0.20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rPr>
            </w:pPr>
            <w:r>
              <w:rPr>
                <w:rFonts w:hint="eastAsia" w:ascii="宋体" w:hAnsi="宋体" w:eastAsia="宋体" w:cs="宋体"/>
                <w:i w:val="0"/>
                <w:color w:val="000000"/>
                <w:sz w:val="22"/>
                <w:szCs w:val="22"/>
                <w:u w:val="none"/>
                <w:lang w:val="en-US" w:eastAsia="zh-CN"/>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4"/>
        <w:rPr>
          <w:sz w:val="72"/>
          <w:szCs w:val="72"/>
        </w:rPr>
      </w:pPr>
    </w:p>
    <w:p>
      <w:pPr>
        <w:pStyle w:val="14"/>
        <w:rPr>
          <w:sz w:val="72"/>
          <w:szCs w:val="72"/>
        </w:rPr>
      </w:pPr>
    </w:p>
    <w:p>
      <w:pPr>
        <w:pStyle w:val="14"/>
        <w:rPr>
          <w:sz w:val="72"/>
          <w:szCs w:val="72"/>
        </w:rPr>
      </w:pPr>
    </w:p>
    <w:p>
      <w:pPr>
        <w:pStyle w:val="14"/>
        <w:rPr>
          <w:sz w:val="72"/>
          <w:szCs w:val="72"/>
        </w:rPr>
      </w:pPr>
    </w:p>
    <w:p>
      <w:pPr>
        <w:pStyle w:val="14"/>
        <w:jc w:val="center"/>
        <w:rPr>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4"/>
        <w:jc w:val="center"/>
        <w:rPr>
          <w:rFonts w:hint="eastAsia" w:ascii="方正小标宋_GBK" w:hAnsi="方正小标宋_GBK" w:eastAsia="方正小标宋_GBK" w:cs="方正小标宋_GBK"/>
          <w:sz w:val="70"/>
          <w:szCs w:val="70"/>
        </w:rPr>
      </w:pPr>
    </w:p>
    <w:p>
      <w:pPr>
        <w:pStyle w:val="14"/>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lang w:eastAsia="zh-CN"/>
        </w:rPr>
        <w:t>年</w:t>
      </w:r>
      <w:r>
        <w:rPr>
          <w:rFonts w:hint="eastAsia" w:ascii="方正小标宋_GBK" w:hAnsi="方正小标宋_GBK" w:eastAsia="方正小标宋_GBK" w:cs="方正小标宋_GBK"/>
          <w:sz w:val="70"/>
          <w:szCs w:val="70"/>
        </w:rPr>
        <w:t>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度收、支总计</w:t>
      </w:r>
      <w:r>
        <w:rPr>
          <w:rFonts w:hint="eastAsia" w:ascii="Times New Roman" w:hAnsi="Times New Roman" w:eastAsia="仿宋_GB2312"/>
          <w:sz w:val="32"/>
          <w:szCs w:val="32"/>
          <w:lang w:val="en-US" w:eastAsia="zh-CN"/>
        </w:rPr>
        <w:t>138.93</w:t>
      </w:r>
      <w:r>
        <w:rPr>
          <w:rFonts w:hint="eastAsia" w:ascii="Times New Roman" w:hAnsi="Times New Roman" w:eastAsia="仿宋_GB2312"/>
          <w:sz w:val="32"/>
          <w:szCs w:val="32"/>
        </w:rPr>
        <w:t>万元。与上年</w:t>
      </w:r>
      <w:r>
        <w:rPr>
          <w:rFonts w:hint="eastAsia" w:ascii="Times New Roman" w:hAnsi="Times New Roman" w:eastAsia="仿宋_GB2312"/>
          <w:sz w:val="32"/>
          <w:szCs w:val="32"/>
          <w:lang w:val="en-US" w:eastAsia="zh-CN"/>
        </w:rPr>
        <w:t>131.52</w:t>
      </w:r>
      <w:r>
        <w:rPr>
          <w:rFonts w:hint="eastAsia" w:ascii="仿宋" w:hAnsi="仿宋" w:eastAsia="仿宋" w:cs="仿宋"/>
          <w:b w:val="0"/>
          <w:bCs w:val="0"/>
          <w:color w:val="000000"/>
          <w:sz w:val="32"/>
          <w:szCs w:val="32"/>
          <w:lang w:val="en-US" w:eastAsia="zh-CN"/>
        </w:rPr>
        <w:t>万元</w:t>
      </w:r>
      <w:r>
        <w:rPr>
          <w:rFonts w:hint="eastAsia" w:ascii="Times New Roman" w:hAnsi="Times New Roman" w:eastAsia="仿宋_GB2312"/>
          <w:sz w:val="32"/>
          <w:szCs w:val="32"/>
        </w:rPr>
        <w:t>相比，</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7.41</w:t>
      </w:r>
      <w:r>
        <w:rPr>
          <w:rFonts w:hint="eastAsia" w:ascii="Times New Roman" w:hAnsi="Times New Roman" w:eastAsia="仿宋_GB2312"/>
          <w:sz w:val="32"/>
          <w:szCs w:val="32"/>
        </w:rPr>
        <w:t>万元，</w:t>
      </w:r>
      <w:r>
        <w:rPr>
          <w:rFonts w:hint="eastAsia" w:ascii="仿宋" w:hAnsi="仿宋" w:eastAsia="仿宋"/>
          <w:spacing w:val="-6"/>
          <w:sz w:val="32"/>
          <w:szCs w:val="32"/>
          <w:lang w:val="en-US" w:eastAsia="zh-CN"/>
        </w:rPr>
        <w:t>增加5.63</w:t>
      </w:r>
      <w:r>
        <w:rPr>
          <w:rFonts w:hint="eastAsia" w:ascii="仿宋" w:hAnsi="仿宋" w:eastAsia="仿宋"/>
          <w:sz w:val="32"/>
          <w:szCs w:val="32"/>
        </w:rPr>
        <w:t>%。</w:t>
      </w:r>
      <w:r>
        <w:rPr>
          <w:rFonts w:hint="eastAsia" w:ascii="仿宋" w:hAnsi="仿宋" w:eastAsia="仿宋"/>
          <w:spacing w:val="-6"/>
          <w:sz w:val="32"/>
          <w:szCs w:val="32"/>
          <w:lang w:eastAsia="zh-CN"/>
        </w:rPr>
        <w:t>增加</w:t>
      </w:r>
      <w:r>
        <w:rPr>
          <w:rFonts w:hint="eastAsia" w:ascii="仿宋" w:hAnsi="仿宋" w:eastAsia="仿宋"/>
          <w:spacing w:val="-6"/>
          <w:sz w:val="32"/>
          <w:szCs w:val="32"/>
        </w:rPr>
        <w:t>的主要原因是人员增加，工资及社保基数调增导致</w:t>
      </w:r>
      <w:r>
        <w:rPr>
          <w:rFonts w:hint="eastAsia" w:ascii="仿宋" w:hAnsi="仿宋" w:eastAsia="仿宋"/>
          <w:spacing w:val="-6"/>
          <w:sz w:val="32"/>
          <w:szCs w:val="32"/>
          <w:lang w:eastAsia="zh-CN"/>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度收入合计</w:t>
      </w:r>
      <w:r>
        <w:rPr>
          <w:rFonts w:hint="eastAsia" w:ascii="Times New Roman" w:hAnsi="Times New Roman" w:eastAsia="仿宋_GB2312"/>
          <w:sz w:val="32"/>
          <w:szCs w:val="32"/>
          <w:lang w:val="en-US" w:eastAsia="zh-CN"/>
        </w:rPr>
        <w:t>138.93</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138.93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度支出合计</w:t>
      </w:r>
      <w:r>
        <w:rPr>
          <w:rFonts w:hint="eastAsia" w:ascii="Times New Roman" w:hAnsi="Times New Roman" w:eastAsia="仿宋_GB2312"/>
          <w:sz w:val="32"/>
          <w:szCs w:val="32"/>
          <w:lang w:val="en-US" w:eastAsia="zh-CN"/>
        </w:rPr>
        <w:t>138.93</w:t>
      </w:r>
      <w:r>
        <w:rPr>
          <w:rFonts w:hint="eastAsia" w:ascii="Times New Roman" w:hAnsi="Times New Roman" w:eastAsia="仿宋_GB2312"/>
          <w:sz w:val="32"/>
          <w:szCs w:val="32"/>
        </w:rPr>
        <w:t>万元，其中：基本支出</w:t>
      </w:r>
      <w:r>
        <w:rPr>
          <w:rFonts w:hint="eastAsia" w:ascii="仿宋" w:hAnsi="仿宋" w:eastAsia="仿宋"/>
          <w:spacing w:val="-6"/>
          <w:sz w:val="32"/>
          <w:szCs w:val="32"/>
          <w:lang w:val="en-US" w:eastAsia="zh-CN"/>
        </w:rPr>
        <w:t>118.90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85.58</w:t>
      </w:r>
      <w:r>
        <w:rPr>
          <w:rFonts w:hint="eastAsia" w:ascii="Times New Roman" w:hAnsi="Times New Roman" w:eastAsia="仿宋_GB2312"/>
          <w:sz w:val="32"/>
          <w:szCs w:val="32"/>
        </w:rPr>
        <w:t>%；项目支出</w:t>
      </w:r>
      <w:r>
        <w:rPr>
          <w:rFonts w:hint="eastAsia" w:ascii="仿宋" w:hAnsi="仿宋" w:eastAsia="仿宋"/>
          <w:sz w:val="32"/>
          <w:szCs w:val="32"/>
          <w:lang w:val="en-US" w:eastAsia="zh-CN"/>
        </w:rPr>
        <w:t>20.03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14.42</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4"/>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度财政拨款收、支总计</w:t>
      </w:r>
      <w:r>
        <w:rPr>
          <w:rFonts w:hint="eastAsia" w:ascii="Times New Roman" w:hAnsi="Times New Roman" w:eastAsia="仿宋_GB2312"/>
          <w:sz w:val="32"/>
          <w:szCs w:val="32"/>
          <w:lang w:val="en-US" w:eastAsia="zh-CN"/>
        </w:rPr>
        <w:t>138.93</w:t>
      </w:r>
      <w:r>
        <w:rPr>
          <w:rFonts w:hint="eastAsia" w:ascii="Times New Roman" w:hAnsi="Times New Roman" w:eastAsia="仿宋_GB2312"/>
          <w:sz w:val="32"/>
          <w:szCs w:val="32"/>
        </w:rPr>
        <w:t>万元，与上年</w:t>
      </w:r>
      <w:r>
        <w:rPr>
          <w:rFonts w:hint="eastAsia" w:ascii="Times New Roman" w:hAnsi="Times New Roman" w:eastAsia="仿宋_GB2312"/>
          <w:sz w:val="32"/>
          <w:szCs w:val="32"/>
          <w:lang w:val="en-US" w:eastAsia="zh-CN"/>
        </w:rPr>
        <w:t>131.52</w:t>
      </w:r>
      <w:r>
        <w:rPr>
          <w:rFonts w:hint="eastAsia" w:ascii="仿宋" w:hAnsi="仿宋" w:eastAsia="仿宋" w:cs="仿宋"/>
          <w:b w:val="0"/>
          <w:bCs w:val="0"/>
          <w:color w:val="000000"/>
          <w:sz w:val="32"/>
          <w:szCs w:val="32"/>
          <w:lang w:val="en-US" w:eastAsia="zh-CN"/>
        </w:rPr>
        <w:t>万元</w:t>
      </w:r>
      <w:r>
        <w:rPr>
          <w:rFonts w:hint="eastAsia" w:ascii="Times New Roman" w:hAnsi="Times New Roman" w:eastAsia="仿宋_GB2312"/>
          <w:sz w:val="32"/>
          <w:szCs w:val="32"/>
        </w:rPr>
        <w:t>相比，</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7.41</w:t>
      </w:r>
      <w:r>
        <w:rPr>
          <w:rFonts w:hint="eastAsia" w:ascii="Times New Roman" w:hAnsi="Times New Roman" w:eastAsia="仿宋_GB2312"/>
          <w:sz w:val="32"/>
          <w:szCs w:val="32"/>
        </w:rPr>
        <w:t>万元，</w:t>
      </w:r>
      <w:r>
        <w:rPr>
          <w:rFonts w:hint="eastAsia" w:ascii="仿宋" w:hAnsi="仿宋" w:eastAsia="仿宋"/>
          <w:spacing w:val="-6"/>
          <w:sz w:val="32"/>
          <w:szCs w:val="32"/>
          <w:lang w:val="en-US" w:eastAsia="zh-CN"/>
        </w:rPr>
        <w:t>增加5.63</w:t>
      </w:r>
      <w:r>
        <w:rPr>
          <w:rFonts w:hint="eastAsia" w:ascii="仿宋" w:hAnsi="仿宋" w:eastAsia="仿宋"/>
          <w:sz w:val="32"/>
          <w:szCs w:val="32"/>
        </w:rPr>
        <w:t>%。</w:t>
      </w:r>
      <w:r>
        <w:rPr>
          <w:rFonts w:hint="eastAsia" w:ascii="仿宋" w:hAnsi="仿宋" w:eastAsia="仿宋"/>
          <w:spacing w:val="-6"/>
          <w:sz w:val="32"/>
          <w:szCs w:val="32"/>
          <w:lang w:eastAsia="zh-CN"/>
        </w:rPr>
        <w:t>增加</w:t>
      </w:r>
      <w:r>
        <w:rPr>
          <w:rFonts w:hint="eastAsia" w:ascii="仿宋" w:hAnsi="仿宋" w:eastAsia="仿宋"/>
          <w:spacing w:val="-6"/>
          <w:sz w:val="32"/>
          <w:szCs w:val="32"/>
        </w:rPr>
        <w:t>的主要原因是人员增加，工资及社保基数调增导致</w:t>
      </w:r>
      <w:r>
        <w:rPr>
          <w:rFonts w:hint="eastAsia" w:ascii="仿宋" w:hAnsi="仿宋" w:eastAsia="仿宋"/>
          <w:spacing w:val="-6"/>
          <w:sz w:val="32"/>
          <w:szCs w:val="32"/>
          <w:lang w:eastAsia="zh-CN"/>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138.93</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w:t>
      </w:r>
      <w:r>
        <w:rPr>
          <w:rFonts w:hint="eastAsia" w:ascii="Times New Roman" w:hAnsi="Times New Roman" w:eastAsia="仿宋_GB2312"/>
          <w:sz w:val="32"/>
          <w:szCs w:val="32"/>
          <w:lang w:val="en-US" w:eastAsia="zh-CN"/>
        </w:rPr>
        <w:t>131.52</w:t>
      </w:r>
      <w:r>
        <w:rPr>
          <w:rFonts w:hint="eastAsia" w:ascii="仿宋" w:hAnsi="仿宋" w:eastAsia="仿宋" w:cs="仿宋"/>
          <w:b w:val="0"/>
          <w:bCs w:val="0"/>
          <w:color w:val="000000"/>
          <w:sz w:val="32"/>
          <w:szCs w:val="32"/>
          <w:lang w:val="en-US" w:eastAsia="zh-CN"/>
        </w:rPr>
        <w:t>万元</w:t>
      </w:r>
      <w:r>
        <w:rPr>
          <w:rFonts w:hint="eastAsia" w:ascii="Times New Roman" w:hAnsi="Times New Roman" w:eastAsia="仿宋_GB2312"/>
          <w:sz w:val="32"/>
          <w:szCs w:val="32"/>
        </w:rPr>
        <w:t>相比，财政拨款支出</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7.41</w:t>
      </w:r>
      <w:r>
        <w:rPr>
          <w:rFonts w:hint="eastAsia" w:ascii="Times New Roman" w:hAnsi="Times New Roman" w:eastAsia="仿宋_GB2312"/>
          <w:sz w:val="32"/>
          <w:szCs w:val="32"/>
        </w:rPr>
        <w:t>万元，</w:t>
      </w:r>
      <w:r>
        <w:rPr>
          <w:rFonts w:hint="eastAsia" w:ascii="仿宋" w:hAnsi="仿宋" w:eastAsia="仿宋"/>
          <w:spacing w:val="-6"/>
          <w:sz w:val="32"/>
          <w:szCs w:val="32"/>
          <w:lang w:val="en-US" w:eastAsia="zh-CN"/>
        </w:rPr>
        <w:t>增加5.63</w:t>
      </w:r>
      <w:r>
        <w:rPr>
          <w:rFonts w:hint="eastAsia" w:ascii="仿宋" w:hAnsi="仿宋" w:eastAsia="仿宋"/>
          <w:sz w:val="32"/>
          <w:szCs w:val="32"/>
        </w:rPr>
        <w:t>%</w:t>
      </w:r>
      <w:r>
        <w:rPr>
          <w:rFonts w:hint="eastAsia" w:ascii="Times New Roman" w:hAnsi="Times New Roman" w:eastAsia="仿宋_GB2312"/>
          <w:sz w:val="32"/>
          <w:szCs w:val="32"/>
        </w:rPr>
        <w:t>，主要是因为</w:t>
      </w:r>
      <w:r>
        <w:rPr>
          <w:rFonts w:hint="eastAsia" w:ascii="仿宋" w:hAnsi="仿宋" w:eastAsia="仿宋"/>
          <w:spacing w:val="-6"/>
          <w:sz w:val="32"/>
          <w:szCs w:val="32"/>
        </w:rPr>
        <w:t>人员增加，工资及社保基数调增导致</w:t>
      </w:r>
      <w:r>
        <w:rPr>
          <w:rFonts w:hint="eastAsia" w:ascii="仿宋" w:hAnsi="仿宋" w:eastAsia="仿宋"/>
          <w:spacing w:val="-6"/>
          <w:sz w:val="32"/>
          <w:szCs w:val="32"/>
          <w:lang w:eastAsia="zh-CN"/>
        </w:rPr>
        <w:t>。</w:t>
      </w:r>
    </w:p>
    <w:p>
      <w:pPr>
        <w:pStyle w:val="14"/>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138.93</w:t>
      </w:r>
      <w:r>
        <w:rPr>
          <w:rFonts w:hint="eastAsia" w:ascii="Times New Roman" w:hAnsi="Times New Roman" w:eastAsia="仿宋_GB2312"/>
          <w:sz w:val="32"/>
          <w:szCs w:val="32"/>
        </w:rPr>
        <w:t>万元，主要用于以下方面：一般公共服务（类）支出</w:t>
      </w:r>
      <w:r>
        <w:rPr>
          <w:rFonts w:hint="eastAsia" w:ascii="仿宋" w:hAnsi="仿宋" w:eastAsia="仿宋"/>
          <w:spacing w:val="-6"/>
          <w:sz w:val="32"/>
          <w:szCs w:val="32"/>
          <w:lang w:val="en-US" w:eastAsia="zh-CN"/>
        </w:rPr>
        <w:t>123.27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88.73</w:t>
      </w:r>
      <w:r>
        <w:rPr>
          <w:rFonts w:hint="eastAsia" w:ascii="Times New Roman" w:hAnsi="Times New Roman" w:eastAsia="仿宋_GB2312"/>
          <w:sz w:val="32"/>
          <w:szCs w:val="32"/>
        </w:rPr>
        <w:t>%；社会保障和就业（类）支出</w:t>
      </w:r>
      <w:r>
        <w:rPr>
          <w:rFonts w:hint="eastAsia" w:ascii="仿宋" w:hAnsi="仿宋" w:eastAsia="仿宋"/>
          <w:spacing w:val="-6"/>
          <w:sz w:val="32"/>
          <w:szCs w:val="32"/>
          <w:lang w:val="en-US" w:eastAsia="zh-CN"/>
        </w:rPr>
        <w:t>10.14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7.30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仿宋" w:hAnsi="仿宋" w:eastAsia="仿宋"/>
          <w:spacing w:val="-6"/>
          <w:sz w:val="32"/>
          <w:szCs w:val="32"/>
        </w:rPr>
        <w:t>卫生健康支出</w:t>
      </w:r>
      <w:r>
        <w:rPr>
          <w:rFonts w:hint="eastAsia" w:ascii="仿宋" w:hAnsi="仿宋" w:eastAsia="仿宋"/>
          <w:spacing w:val="-6"/>
          <w:sz w:val="32"/>
          <w:szCs w:val="32"/>
          <w:lang w:val="en-US" w:eastAsia="zh-CN"/>
        </w:rPr>
        <w:t>5.52</w:t>
      </w:r>
      <w:r>
        <w:rPr>
          <w:rFonts w:hint="eastAsia" w:ascii="仿宋" w:hAnsi="仿宋" w:eastAsia="仿宋"/>
          <w:spacing w:val="-6"/>
          <w:sz w:val="32"/>
          <w:szCs w:val="32"/>
        </w:rPr>
        <w:t>万元</w:t>
      </w:r>
      <w:r>
        <w:rPr>
          <w:rFonts w:hint="eastAsia" w:ascii="仿宋" w:hAnsi="仿宋" w:eastAsia="仿宋"/>
          <w:spacing w:val="-6"/>
          <w:sz w:val="32"/>
          <w:szCs w:val="32"/>
          <w:lang w:eastAsia="zh-CN"/>
        </w:rPr>
        <w:t>，</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3.97</w:t>
      </w:r>
      <w:r>
        <w:rPr>
          <w:rFonts w:hint="eastAsia" w:ascii="Times New Roman" w:hAnsi="Times New Roman" w:eastAsia="仿宋_GB2312"/>
          <w:sz w:val="32"/>
          <w:szCs w:val="32"/>
        </w:rPr>
        <w:t>%</w:t>
      </w:r>
      <w:r>
        <w:rPr>
          <w:rFonts w:hint="eastAsia" w:ascii="楷体" w:hAnsi="楷体" w:eastAsia="楷体" w:cs="楷体"/>
          <w:b/>
          <w:bCs/>
          <w:i/>
          <w:color w:val="auto"/>
          <w:sz w:val="32"/>
          <w:szCs w:val="32"/>
          <w:lang w:eastAsia="zh-CN"/>
        </w:rPr>
        <w:t>。</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度财政拨款支出年初预算数为</w:t>
      </w:r>
      <w:r>
        <w:rPr>
          <w:rFonts w:hint="eastAsia" w:ascii="Times New Roman" w:hAnsi="Times New Roman" w:eastAsia="仿宋_GB2312"/>
          <w:sz w:val="32"/>
          <w:szCs w:val="32"/>
          <w:lang w:val="en-US" w:eastAsia="zh-CN"/>
        </w:rPr>
        <w:t>130.17</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138.93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106.73</w:t>
      </w:r>
      <w:r>
        <w:rPr>
          <w:rFonts w:hint="eastAsia" w:ascii="Times New Roman" w:hAnsi="Times New Roman" w:eastAsia="仿宋_GB2312"/>
          <w:sz w:val="32"/>
          <w:szCs w:val="32"/>
        </w:rPr>
        <w:t>%，其中：</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1、一般公共服务</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（类）政府办公厅（室）及相关机构事务（款）</w:t>
      </w:r>
      <w:r>
        <w:rPr>
          <w:rFonts w:hint="eastAsia" w:ascii="Times New Roman" w:hAnsi="Times New Roman" w:eastAsia="仿宋_GB2312"/>
          <w:sz w:val="32"/>
          <w:szCs w:val="32"/>
          <w:lang w:val="en-US" w:eastAsia="zh-CN"/>
        </w:rPr>
        <w:t>行政</w:t>
      </w:r>
      <w:r>
        <w:rPr>
          <w:rFonts w:hint="eastAsia" w:ascii="Times New Roman" w:hAnsi="Times New Roman" w:eastAsia="仿宋_GB2312"/>
          <w:sz w:val="32"/>
          <w:szCs w:val="32"/>
        </w:rPr>
        <w:t>运行（项）。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3.83</w:t>
      </w:r>
      <w:r>
        <w:rPr>
          <w:rFonts w:hint="eastAsia" w:ascii="Times New Roman" w:hAnsi="Times New Roman" w:eastAsia="仿宋_GB2312"/>
          <w:sz w:val="32"/>
          <w:szCs w:val="32"/>
        </w:rPr>
        <w:t>万元，无法计算完成比率，决算数大于预算数的主要原因是：</w:t>
      </w:r>
      <w:r>
        <w:rPr>
          <w:rFonts w:hint="eastAsia" w:ascii="Times New Roman" w:hAnsi="Times New Roman" w:eastAsia="仿宋_GB2312"/>
          <w:sz w:val="32"/>
          <w:szCs w:val="32"/>
          <w:lang w:val="en-US" w:eastAsia="zh-CN"/>
        </w:rPr>
        <w:t>县财政下拨指标时支出功能分类科目代码有所调整（</w:t>
      </w:r>
      <w:r>
        <w:rPr>
          <w:rFonts w:hint="eastAsia" w:ascii="Times New Roman" w:hAnsi="Times New Roman" w:eastAsia="仿宋_GB2312"/>
          <w:sz w:val="32"/>
          <w:szCs w:val="32"/>
        </w:rPr>
        <w:t>一般公共服务支出（类）</w:t>
      </w:r>
      <w:r>
        <w:rPr>
          <w:rFonts w:hint="eastAsia" w:ascii="Times New Roman" w:hAnsi="Times New Roman" w:eastAsia="仿宋_GB2312"/>
          <w:sz w:val="32"/>
          <w:szCs w:val="32"/>
          <w:lang w:eastAsia="zh-CN"/>
        </w:rPr>
        <w:t>政府办公</w:t>
      </w:r>
      <w:r>
        <w:rPr>
          <w:rFonts w:hint="eastAsia" w:ascii="Times New Roman" w:hAnsi="Times New Roman" w:eastAsia="仿宋_GB2312"/>
          <w:sz w:val="32"/>
          <w:szCs w:val="32"/>
          <w:lang w:val="en-US" w:eastAsia="zh-CN"/>
        </w:rPr>
        <w:t>厅（</w:t>
      </w:r>
      <w:r>
        <w:rPr>
          <w:rFonts w:hint="eastAsia" w:ascii="Times New Roman" w:hAnsi="Times New Roman" w:eastAsia="仿宋_GB2312"/>
          <w:sz w:val="32"/>
          <w:szCs w:val="32"/>
          <w:lang w:eastAsia="zh-CN"/>
        </w:rPr>
        <w:t>室</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lang w:eastAsia="zh-CN"/>
        </w:rPr>
        <w:t>及相关机构事务</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行政</w:t>
      </w:r>
      <w:r>
        <w:rPr>
          <w:rFonts w:hint="eastAsia" w:ascii="Times New Roman" w:hAnsi="Times New Roman" w:eastAsia="仿宋_GB2312"/>
          <w:sz w:val="32"/>
          <w:szCs w:val="32"/>
        </w:rPr>
        <w:t>运行（项</w:t>
      </w:r>
      <w:r>
        <w:rPr>
          <w:rFonts w:hint="eastAsia" w:ascii="Times New Roman" w:hAnsi="Times New Roman" w:eastAsia="仿宋_GB2312"/>
          <w:sz w:val="32"/>
          <w:szCs w:val="32"/>
          <w:lang w:eastAsia="zh-CN"/>
        </w:rPr>
        <w:t>）在预算时，</w:t>
      </w:r>
      <w:r>
        <w:rPr>
          <w:rFonts w:hint="eastAsia" w:ascii="Times New Roman" w:hAnsi="Times New Roman" w:eastAsia="仿宋_GB2312"/>
          <w:sz w:val="32"/>
          <w:szCs w:val="32"/>
        </w:rPr>
        <w:t>包含在一般公共服务（类）政府办公</w:t>
      </w:r>
      <w:r>
        <w:rPr>
          <w:rFonts w:hint="eastAsia" w:ascii="Times New Roman" w:hAnsi="Times New Roman" w:eastAsia="仿宋_GB2312"/>
          <w:sz w:val="32"/>
          <w:szCs w:val="32"/>
          <w:lang w:val="en-US" w:eastAsia="zh-CN"/>
        </w:rPr>
        <w:t>厅（</w:t>
      </w:r>
      <w:r>
        <w:rPr>
          <w:rFonts w:hint="eastAsia" w:ascii="Times New Roman" w:hAnsi="Times New Roman" w:eastAsia="仿宋_GB2312"/>
          <w:sz w:val="32"/>
          <w:szCs w:val="32"/>
        </w:rPr>
        <w:t>室</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rPr>
        <w:t>及相关机构事务（款）</w:t>
      </w:r>
      <w:r>
        <w:rPr>
          <w:rFonts w:hint="eastAsia" w:ascii="Times New Roman" w:hAnsi="Times New Roman" w:eastAsia="仿宋_GB2312"/>
          <w:sz w:val="32"/>
          <w:szCs w:val="32"/>
          <w:lang w:val="en-US" w:eastAsia="zh-CN"/>
        </w:rPr>
        <w:t>事业</w:t>
      </w:r>
      <w:r>
        <w:rPr>
          <w:rFonts w:hint="eastAsia" w:ascii="Times New Roman" w:hAnsi="Times New Roman" w:eastAsia="仿宋_GB2312"/>
          <w:sz w:val="32"/>
          <w:szCs w:val="32"/>
        </w:rPr>
        <w:t>运行（项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中</w:t>
      </w:r>
      <w:r>
        <w:rPr>
          <w:rFonts w:hint="eastAsia" w:ascii="Times New Roman" w:hAnsi="Times New Roman" w:eastAsia="仿宋_GB2312"/>
          <w:sz w:val="32"/>
          <w:szCs w:val="32"/>
          <w:lang w:val="en-US" w:eastAsia="zh-CN"/>
        </w:rPr>
        <w:t>），故属于</w:t>
      </w:r>
      <w:r>
        <w:rPr>
          <w:rFonts w:hint="eastAsia" w:ascii="Times New Roman" w:hAnsi="Times New Roman" w:eastAsia="仿宋_GB2312"/>
          <w:sz w:val="32"/>
          <w:szCs w:val="32"/>
        </w:rPr>
        <w:t>新增</w:t>
      </w:r>
      <w:r>
        <w:rPr>
          <w:rFonts w:hint="eastAsia" w:ascii="Times New Roman" w:hAnsi="Times New Roman" w:eastAsia="仿宋_GB2312"/>
          <w:sz w:val="32"/>
          <w:szCs w:val="32"/>
          <w:lang w:val="en-US" w:eastAsia="zh-CN"/>
        </w:rPr>
        <w:t>的</w:t>
      </w:r>
      <w:r>
        <w:rPr>
          <w:rFonts w:hint="eastAsia" w:ascii="Times New Roman" w:hAnsi="Times New Roman" w:eastAsia="仿宋_GB2312"/>
          <w:sz w:val="32"/>
          <w:szCs w:val="32"/>
        </w:rPr>
        <w:t>项目。</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2、一般公共服务</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（类）政府办公厅（室）及相关机构事务（款）</w:t>
      </w:r>
      <w:r>
        <w:rPr>
          <w:rFonts w:hint="eastAsia" w:ascii="Times New Roman" w:hAnsi="Times New Roman" w:eastAsia="仿宋_GB2312"/>
          <w:sz w:val="32"/>
          <w:szCs w:val="32"/>
          <w:lang w:val="en-US" w:eastAsia="zh-CN"/>
        </w:rPr>
        <w:t>事业</w:t>
      </w:r>
      <w:r>
        <w:rPr>
          <w:rFonts w:hint="eastAsia" w:ascii="Times New Roman" w:hAnsi="Times New Roman" w:eastAsia="仿宋_GB2312"/>
          <w:sz w:val="32"/>
          <w:szCs w:val="32"/>
        </w:rPr>
        <w:t>运行（项）。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spacing w:val="-6"/>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109.54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99.42</w:t>
      </w:r>
      <w:r>
        <w:rPr>
          <w:rFonts w:hint="eastAsia" w:ascii="Times New Roman" w:hAnsi="Times New Roman" w:eastAsia="仿宋_GB2312"/>
          <w:sz w:val="32"/>
          <w:szCs w:val="32"/>
        </w:rPr>
        <w:t>万元，完成年初预算</w:t>
      </w:r>
      <w:r>
        <w:rPr>
          <w:rFonts w:hint="eastAsia" w:ascii="Times New Roman" w:hAnsi="Times New Roman" w:eastAsia="仿宋_GB2312"/>
          <w:sz w:val="32"/>
          <w:szCs w:val="32"/>
          <w:lang w:eastAsia="zh-CN"/>
        </w:rPr>
        <w:t>的</w:t>
      </w:r>
      <w:r>
        <w:rPr>
          <w:rFonts w:hint="eastAsia" w:ascii="Times New Roman" w:hAnsi="Times New Roman" w:eastAsia="仿宋_GB2312"/>
          <w:sz w:val="32"/>
          <w:szCs w:val="32"/>
          <w:lang w:val="en-US" w:eastAsia="zh-CN"/>
        </w:rPr>
        <w:t>90.76</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w:t>
      </w:r>
      <w:r>
        <w:rPr>
          <w:rFonts w:hint="eastAsia" w:ascii="Times New Roman" w:hAnsi="Times New Roman" w:eastAsia="仿宋_GB2312"/>
          <w:sz w:val="32"/>
          <w:szCs w:val="32"/>
        </w:rPr>
        <w:t>于预算数的主要原因是：</w:t>
      </w:r>
      <w:r>
        <w:rPr>
          <w:rFonts w:hint="eastAsia" w:ascii="Times New Roman" w:hAnsi="Times New Roman" w:eastAsia="仿宋_GB2312"/>
          <w:sz w:val="32"/>
          <w:szCs w:val="32"/>
          <w:lang w:val="en-US" w:eastAsia="zh-CN"/>
        </w:rPr>
        <w:t>支出功能分类科目代码有所调整（部分</w:t>
      </w:r>
      <w:r>
        <w:rPr>
          <w:rFonts w:hint="eastAsia" w:ascii="Times New Roman" w:hAnsi="Times New Roman" w:eastAsia="仿宋_GB2312"/>
          <w:sz w:val="32"/>
          <w:szCs w:val="32"/>
        </w:rPr>
        <w:t>一般公共服务支出（类）</w:t>
      </w:r>
      <w:r>
        <w:rPr>
          <w:rFonts w:hint="eastAsia" w:ascii="Times New Roman" w:hAnsi="Times New Roman" w:eastAsia="仿宋_GB2312"/>
          <w:sz w:val="32"/>
          <w:szCs w:val="32"/>
          <w:lang w:eastAsia="zh-CN"/>
        </w:rPr>
        <w:t>政府办公</w:t>
      </w:r>
      <w:r>
        <w:rPr>
          <w:rFonts w:hint="eastAsia" w:ascii="Times New Roman" w:hAnsi="Times New Roman" w:eastAsia="仿宋_GB2312"/>
          <w:sz w:val="32"/>
          <w:szCs w:val="32"/>
          <w:lang w:val="en-US" w:eastAsia="zh-CN"/>
        </w:rPr>
        <w:t>厅（</w:t>
      </w:r>
      <w:r>
        <w:rPr>
          <w:rFonts w:hint="eastAsia" w:ascii="Times New Roman" w:hAnsi="Times New Roman" w:eastAsia="仿宋_GB2312"/>
          <w:sz w:val="32"/>
          <w:szCs w:val="32"/>
          <w:lang w:eastAsia="zh-CN"/>
        </w:rPr>
        <w:t>室</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lang w:eastAsia="zh-CN"/>
        </w:rPr>
        <w:t>及相关机构事务</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事业</w:t>
      </w:r>
      <w:r>
        <w:rPr>
          <w:rFonts w:hint="eastAsia" w:ascii="Times New Roman" w:hAnsi="Times New Roman" w:eastAsia="仿宋_GB2312"/>
          <w:sz w:val="32"/>
          <w:szCs w:val="32"/>
        </w:rPr>
        <w:t>运行（项</w:t>
      </w:r>
      <w:r>
        <w:rPr>
          <w:rFonts w:hint="eastAsia" w:ascii="Times New Roman" w:hAnsi="Times New Roman" w:eastAsia="仿宋_GB2312"/>
          <w:sz w:val="32"/>
          <w:szCs w:val="32"/>
          <w:lang w:eastAsia="zh-CN"/>
        </w:rPr>
        <w:t>）的指标在决算时，调整到了</w:t>
      </w:r>
      <w:r>
        <w:rPr>
          <w:rFonts w:hint="eastAsia" w:ascii="Times New Roman" w:hAnsi="Times New Roman" w:eastAsia="仿宋_GB2312"/>
          <w:sz w:val="32"/>
          <w:szCs w:val="32"/>
        </w:rPr>
        <w:t>一般公共服务（类）政府办公</w:t>
      </w:r>
      <w:r>
        <w:rPr>
          <w:rFonts w:hint="eastAsia" w:ascii="Times New Roman" w:hAnsi="Times New Roman" w:eastAsia="仿宋_GB2312"/>
          <w:sz w:val="32"/>
          <w:szCs w:val="32"/>
          <w:lang w:val="en-US" w:eastAsia="zh-CN"/>
        </w:rPr>
        <w:t>厅（</w:t>
      </w:r>
      <w:r>
        <w:rPr>
          <w:rFonts w:hint="eastAsia" w:ascii="Times New Roman" w:hAnsi="Times New Roman" w:eastAsia="仿宋_GB2312"/>
          <w:sz w:val="32"/>
          <w:szCs w:val="32"/>
        </w:rPr>
        <w:t>室</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rPr>
        <w:t>及相关机构事务（款）其他政府办公厅（室）及相关机构事务支出（项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中</w:t>
      </w:r>
      <w:r>
        <w:rPr>
          <w:rFonts w:hint="eastAsia" w:ascii="Times New Roman" w:hAnsi="Times New Roman" w:eastAsia="仿宋_GB2312"/>
          <w:sz w:val="32"/>
          <w:szCs w:val="32"/>
          <w:lang w:val="en-US" w:eastAsia="zh-CN"/>
        </w:rPr>
        <w:t>）</w:t>
      </w:r>
      <w:r>
        <w:rPr>
          <w:rFonts w:hint="eastAsia" w:ascii="仿宋" w:hAnsi="仿宋" w:eastAsia="仿宋"/>
          <w:spacing w:val="-6"/>
          <w:sz w:val="32"/>
          <w:szCs w:val="32"/>
          <w:lang w:eastAsia="zh-CN"/>
        </w:rPr>
        <w:t>。</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、一般公共服务</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（类）政府办公厅（室）及相关机构事务（款）其他政府办公厅（室）及相关机构事务支出（项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spacing w:val="-6"/>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20.03</w:t>
      </w:r>
      <w:r>
        <w:rPr>
          <w:rFonts w:hint="eastAsia" w:ascii="Times New Roman" w:hAnsi="Times New Roman" w:eastAsia="仿宋_GB2312"/>
          <w:sz w:val="32"/>
          <w:szCs w:val="32"/>
        </w:rPr>
        <w:t>万元，无法计算完成比率，决算数</w:t>
      </w:r>
      <w:r>
        <w:rPr>
          <w:rFonts w:hint="eastAsia" w:ascii="Times New Roman" w:hAnsi="Times New Roman" w:eastAsia="仿宋_GB2312"/>
          <w:sz w:val="32"/>
          <w:szCs w:val="32"/>
          <w:lang w:eastAsia="zh-CN"/>
        </w:rPr>
        <w:t>大</w:t>
      </w:r>
      <w:r>
        <w:rPr>
          <w:rFonts w:hint="eastAsia" w:ascii="Times New Roman" w:hAnsi="Times New Roman" w:eastAsia="仿宋_GB2312"/>
          <w:sz w:val="32"/>
          <w:szCs w:val="32"/>
        </w:rPr>
        <w:t>于预算数的主要原因是：</w:t>
      </w:r>
      <w:r>
        <w:rPr>
          <w:rFonts w:hint="eastAsia" w:ascii="Times New Roman" w:hAnsi="Times New Roman" w:eastAsia="仿宋_GB2312"/>
          <w:sz w:val="32"/>
          <w:szCs w:val="32"/>
          <w:lang w:val="en-US" w:eastAsia="zh-CN"/>
        </w:rPr>
        <w:t>支出功能分类科目代码有所调整（部分</w:t>
      </w:r>
      <w:r>
        <w:rPr>
          <w:rFonts w:hint="eastAsia" w:ascii="Times New Roman" w:hAnsi="Times New Roman" w:eastAsia="仿宋_GB2312"/>
          <w:sz w:val="32"/>
          <w:szCs w:val="32"/>
        </w:rPr>
        <w:t>一般公共服务支出（类）</w:t>
      </w:r>
      <w:r>
        <w:rPr>
          <w:rFonts w:hint="eastAsia" w:ascii="Times New Roman" w:hAnsi="Times New Roman" w:eastAsia="仿宋_GB2312"/>
          <w:sz w:val="32"/>
          <w:szCs w:val="32"/>
          <w:lang w:eastAsia="zh-CN"/>
        </w:rPr>
        <w:t>政府办公</w:t>
      </w:r>
      <w:r>
        <w:rPr>
          <w:rFonts w:hint="eastAsia" w:ascii="Times New Roman" w:hAnsi="Times New Roman" w:eastAsia="仿宋_GB2312"/>
          <w:sz w:val="32"/>
          <w:szCs w:val="32"/>
          <w:lang w:val="en-US" w:eastAsia="zh-CN"/>
        </w:rPr>
        <w:t>厅（</w:t>
      </w:r>
      <w:r>
        <w:rPr>
          <w:rFonts w:hint="eastAsia" w:ascii="Times New Roman" w:hAnsi="Times New Roman" w:eastAsia="仿宋_GB2312"/>
          <w:sz w:val="32"/>
          <w:szCs w:val="32"/>
          <w:lang w:eastAsia="zh-CN"/>
        </w:rPr>
        <w:t>室</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lang w:eastAsia="zh-CN"/>
        </w:rPr>
        <w:t>及相关机构事务</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事业</w:t>
      </w:r>
      <w:r>
        <w:rPr>
          <w:rFonts w:hint="eastAsia" w:ascii="Times New Roman" w:hAnsi="Times New Roman" w:eastAsia="仿宋_GB2312"/>
          <w:sz w:val="32"/>
          <w:szCs w:val="32"/>
        </w:rPr>
        <w:t>运行（项</w:t>
      </w:r>
      <w:r>
        <w:rPr>
          <w:rFonts w:hint="eastAsia" w:ascii="Times New Roman" w:hAnsi="Times New Roman" w:eastAsia="仿宋_GB2312"/>
          <w:sz w:val="32"/>
          <w:szCs w:val="32"/>
          <w:lang w:eastAsia="zh-CN"/>
        </w:rPr>
        <w:t>）的指标在决算时，调整到了</w:t>
      </w:r>
      <w:r>
        <w:rPr>
          <w:rFonts w:hint="eastAsia" w:ascii="Times New Roman" w:hAnsi="Times New Roman" w:eastAsia="仿宋_GB2312"/>
          <w:sz w:val="32"/>
          <w:szCs w:val="32"/>
        </w:rPr>
        <w:t>一般公共服务（类）政府办公</w:t>
      </w:r>
      <w:r>
        <w:rPr>
          <w:rFonts w:hint="eastAsia" w:ascii="Times New Roman" w:hAnsi="Times New Roman" w:eastAsia="仿宋_GB2312"/>
          <w:sz w:val="32"/>
          <w:szCs w:val="32"/>
          <w:lang w:val="en-US" w:eastAsia="zh-CN"/>
        </w:rPr>
        <w:t>厅（</w:t>
      </w:r>
      <w:r>
        <w:rPr>
          <w:rFonts w:hint="eastAsia" w:ascii="Times New Roman" w:hAnsi="Times New Roman" w:eastAsia="仿宋_GB2312"/>
          <w:sz w:val="32"/>
          <w:szCs w:val="32"/>
        </w:rPr>
        <w:t>室</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rPr>
        <w:t>及相关机构事务（款）其他政府办公厅（室）及相关机构事务支出（项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中</w:t>
      </w:r>
      <w:r>
        <w:rPr>
          <w:rFonts w:hint="eastAsia" w:ascii="Times New Roman" w:hAnsi="Times New Roman" w:eastAsia="仿宋_GB2312"/>
          <w:sz w:val="32"/>
          <w:szCs w:val="32"/>
          <w:lang w:val="en-US" w:eastAsia="zh-CN"/>
        </w:rPr>
        <w:t>）</w:t>
      </w:r>
      <w:r>
        <w:rPr>
          <w:rFonts w:hint="eastAsia" w:ascii="仿宋" w:hAnsi="仿宋" w:eastAsia="仿宋"/>
          <w:spacing w:val="-6"/>
          <w:sz w:val="32"/>
          <w:szCs w:val="32"/>
          <w:lang w:eastAsia="zh-CN"/>
        </w:rPr>
        <w:t>。</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、社会保障和就业支出（类）</w:t>
      </w:r>
      <w:r>
        <w:rPr>
          <w:rFonts w:hint="eastAsia" w:ascii="Times New Roman" w:hAnsi="Times New Roman" w:eastAsia="仿宋_GB2312"/>
          <w:sz w:val="32"/>
          <w:szCs w:val="32"/>
          <w:lang w:val="en-US" w:eastAsia="zh-CN"/>
        </w:rPr>
        <w:t>行政事业单位养老支出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机关事业单位基本养老保险缴费支出</w:t>
      </w:r>
      <w:r>
        <w:rPr>
          <w:rFonts w:hint="eastAsia" w:ascii="Times New Roman" w:hAnsi="Times New Roman" w:eastAsia="仿宋_GB2312"/>
          <w:sz w:val="32"/>
          <w:szCs w:val="32"/>
        </w:rPr>
        <w:t>（项）。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9.00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10.14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112.67</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年初预算数的主要原因是：</w:t>
      </w:r>
      <w:r>
        <w:rPr>
          <w:rFonts w:hint="eastAsia" w:ascii="仿宋_GB2312" w:hAnsi="仿宋_GB2312" w:eastAsia="仿宋_GB2312" w:cs="仿宋_GB2312"/>
          <w:color w:val="auto"/>
          <w:sz w:val="32"/>
          <w:szCs w:val="32"/>
          <w:lang w:eastAsia="zh-CN"/>
        </w:rPr>
        <w:t>年初预算时，社保基数都是按照去年工资标准预算，但下年度社保推数并缴交时是按照新工资标准，故</w:t>
      </w:r>
      <w:r>
        <w:rPr>
          <w:rFonts w:hint="eastAsia" w:ascii="仿宋" w:hAnsi="仿宋" w:eastAsia="仿宋"/>
          <w:color w:val="auto"/>
          <w:spacing w:val="-6"/>
          <w:sz w:val="32"/>
          <w:szCs w:val="32"/>
          <w:lang w:eastAsia="zh-CN"/>
        </w:rPr>
        <w:t>财政补增了部分社保指标</w:t>
      </w:r>
      <w:r>
        <w:rPr>
          <w:rFonts w:hint="eastAsia" w:ascii="Times New Roman" w:hAnsi="Times New Roman" w:eastAsia="仿宋_GB2312"/>
          <w:sz w:val="32"/>
          <w:szCs w:val="32"/>
          <w:lang w:val="en-US" w:eastAsia="zh-CN"/>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5、卫生健康</w:t>
      </w:r>
      <w:r>
        <w:rPr>
          <w:rFonts w:hint="eastAsia" w:ascii="Times New Roman" w:hAnsi="Times New Roman" w:eastAsia="仿宋_GB2312"/>
          <w:sz w:val="32"/>
          <w:szCs w:val="32"/>
        </w:rPr>
        <w:t>支出（类）</w:t>
      </w:r>
      <w:r>
        <w:rPr>
          <w:rFonts w:hint="eastAsia" w:ascii="Times New Roman" w:hAnsi="Times New Roman" w:eastAsia="仿宋_GB2312"/>
          <w:sz w:val="32"/>
          <w:szCs w:val="32"/>
          <w:lang w:val="en-US" w:eastAsia="zh-CN"/>
        </w:rPr>
        <w:t>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事业单位医疗</w:t>
      </w:r>
      <w:r>
        <w:rPr>
          <w:rFonts w:hint="eastAsia" w:ascii="Times New Roman" w:hAnsi="Times New Roman" w:eastAsia="仿宋_GB2312"/>
          <w:sz w:val="32"/>
          <w:szCs w:val="32"/>
        </w:rPr>
        <w:t>（项）。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4.89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5.52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112.88</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w:t>
      </w:r>
      <w:r>
        <w:rPr>
          <w:rFonts w:hint="eastAsia" w:ascii="Times New Roman" w:hAnsi="Times New Roman" w:eastAsia="仿宋_GB2312"/>
          <w:sz w:val="32"/>
          <w:szCs w:val="32"/>
        </w:rPr>
        <w:t>于预算数的主要原因是：</w:t>
      </w:r>
      <w:r>
        <w:rPr>
          <w:rFonts w:hint="eastAsia" w:ascii="仿宋_GB2312" w:hAnsi="仿宋_GB2312" w:eastAsia="仿宋_GB2312" w:cs="仿宋_GB2312"/>
          <w:color w:val="auto"/>
          <w:sz w:val="32"/>
          <w:szCs w:val="32"/>
          <w:lang w:eastAsia="zh-CN"/>
        </w:rPr>
        <w:t>年初预算时，社保基数都是按照去年工资标准预算，但下年度社保推数并缴交时是按照新工资标准，故</w:t>
      </w:r>
      <w:r>
        <w:rPr>
          <w:rFonts w:hint="eastAsia" w:ascii="仿宋" w:hAnsi="仿宋" w:eastAsia="仿宋"/>
          <w:color w:val="auto"/>
          <w:spacing w:val="-6"/>
          <w:sz w:val="32"/>
          <w:szCs w:val="32"/>
          <w:lang w:eastAsia="zh-CN"/>
        </w:rPr>
        <w:t>财政补增了部分社保指标</w:t>
      </w:r>
      <w:r>
        <w:rPr>
          <w:rFonts w:hint="eastAsia" w:ascii="Times New Roman" w:hAnsi="Times New Roman" w:eastAsia="仿宋_GB2312"/>
          <w:sz w:val="32"/>
          <w:szCs w:val="32"/>
          <w:lang w:val="en-US" w:eastAsia="zh-CN"/>
        </w:rPr>
        <w:t>；</w:t>
      </w:r>
    </w:p>
    <w:p>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6、住房保障支出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住房改革支出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住房公积金</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w:t>
      </w:r>
      <w:r>
        <w:rPr>
          <w:rFonts w:hint="eastAsia" w:ascii="Times New Roman" w:hAnsi="Times New Roman" w:eastAsia="仿宋_GB2312"/>
          <w:sz w:val="32"/>
          <w:szCs w:val="32"/>
          <w:lang w:eastAsia="zh-CN"/>
        </w:rPr>
        <w:t>单位部分</w:t>
      </w:r>
      <w:r>
        <w:rPr>
          <w:rFonts w:hint="eastAsia" w:ascii="Times New Roman" w:hAnsi="Times New Roman" w:eastAsia="仿宋_GB2312"/>
          <w:sz w:val="32"/>
          <w:szCs w:val="32"/>
        </w:rPr>
        <w:t>为</w:t>
      </w:r>
      <w:r>
        <w:rPr>
          <w:rFonts w:hint="eastAsia" w:ascii="Times New Roman" w:hAnsi="Times New Roman" w:eastAsia="仿宋_GB2312"/>
          <w:sz w:val="32"/>
          <w:szCs w:val="32"/>
          <w:lang w:val="en-US" w:eastAsia="zh-CN"/>
        </w:rPr>
        <w:t>6.74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%，决算数小于年初预算数的主要原因是：</w:t>
      </w:r>
      <w:r>
        <w:rPr>
          <w:rFonts w:hint="eastAsia" w:ascii="Times New Roman" w:hAnsi="Times New Roman" w:eastAsia="仿宋_GB2312"/>
          <w:sz w:val="32"/>
          <w:szCs w:val="32"/>
          <w:lang w:val="en-US" w:eastAsia="zh-CN"/>
        </w:rPr>
        <w:t>县财政统筹管理此项项目，将其指标直接划拨至相应收缴单位。</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度财政拨款基本支出</w:t>
      </w:r>
      <w:r>
        <w:rPr>
          <w:rFonts w:hint="eastAsia" w:ascii="Times New Roman" w:hAnsi="Times New Roman" w:eastAsia="仿宋_GB2312"/>
          <w:sz w:val="32"/>
          <w:szCs w:val="32"/>
          <w:lang w:val="en-US" w:eastAsia="zh-CN"/>
        </w:rPr>
        <w:t>118.90</w:t>
      </w:r>
      <w:r>
        <w:rPr>
          <w:rFonts w:hint="eastAsia" w:ascii="Times New Roman" w:hAnsi="Times New Roman" w:eastAsia="仿宋_GB2312"/>
          <w:sz w:val="32"/>
          <w:szCs w:val="32"/>
        </w:rPr>
        <w:t>万元，其中：</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107.49</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90.40</w:t>
      </w:r>
      <w:r>
        <w:rPr>
          <w:rFonts w:hint="eastAsia" w:ascii="Times New Roman" w:hAnsi="Times New Roman" w:eastAsia="仿宋_GB2312"/>
          <w:sz w:val="32"/>
          <w:szCs w:val="32"/>
        </w:rPr>
        <w:t>%,主要包括基本工资、津贴补贴、奖金、</w:t>
      </w:r>
      <w:r>
        <w:rPr>
          <w:rFonts w:hint="eastAsia" w:ascii="宋体" w:hAnsi="宋体" w:eastAsia="宋体" w:cs="宋体"/>
          <w:color w:val="000000"/>
          <w:kern w:val="0"/>
          <w:szCs w:val="20"/>
        </w:rPr>
        <w:t>伙食补助费</w:t>
      </w:r>
      <w:r>
        <w:rPr>
          <w:rFonts w:hint="eastAsia" w:ascii="宋体" w:hAnsi="宋体" w:eastAsia="宋体" w:cs="宋体"/>
          <w:color w:val="000000"/>
          <w:kern w:val="0"/>
          <w:szCs w:val="20"/>
          <w:lang w:eastAsia="zh-CN"/>
        </w:rPr>
        <w:t>、</w:t>
      </w:r>
      <w:r>
        <w:rPr>
          <w:rFonts w:hint="eastAsia" w:ascii="Times New Roman" w:hAnsi="Times New Roman" w:eastAsia="仿宋_GB2312"/>
          <w:sz w:val="32"/>
          <w:szCs w:val="32"/>
          <w:lang w:val="en-US" w:eastAsia="zh-CN"/>
        </w:rPr>
        <w:t>绩效工资、机关事业单位基本养老保险缴费、职工基本医疗保险缴费、</w:t>
      </w:r>
      <w:r>
        <w:rPr>
          <w:rFonts w:hint="eastAsia" w:ascii="宋体" w:hAnsi="宋体" w:eastAsia="宋体" w:cs="宋体"/>
          <w:color w:val="000000"/>
          <w:kern w:val="0"/>
          <w:szCs w:val="20"/>
        </w:rPr>
        <w:t>其他社会保障缴费</w:t>
      </w:r>
      <w:r>
        <w:rPr>
          <w:rFonts w:hint="eastAsia" w:ascii="宋体" w:hAnsi="宋体" w:eastAsia="宋体" w:cs="宋体"/>
          <w:color w:val="000000"/>
          <w:kern w:val="0"/>
          <w:szCs w:val="20"/>
          <w:lang w:eastAsia="zh-CN"/>
        </w:rPr>
        <w:t>等</w:t>
      </w:r>
      <w:r>
        <w:rPr>
          <w:rFonts w:hint="eastAsia" w:ascii="Times New Roman" w:hAnsi="Times New Roman" w:eastAsia="仿宋_GB2312"/>
          <w:sz w:val="32"/>
          <w:szCs w:val="32"/>
          <w:lang w:val="en-US" w:eastAsia="zh-CN"/>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11.41</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9.60</w:t>
      </w:r>
      <w:r>
        <w:rPr>
          <w:rFonts w:hint="eastAsia" w:ascii="Times New Roman" w:hAnsi="Times New Roman" w:eastAsia="仿宋_GB2312"/>
          <w:sz w:val="32"/>
          <w:szCs w:val="32"/>
        </w:rPr>
        <w:t>%，主要包括办公费、印刷费、</w:t>
      </w:r>
      <w:r>
        <w:rPr>
          <w:rFonts w:hint="eastAsia" w:ascii="Times New Roman" w:hAnsi="Times New Roman" w:eastAsia="仿宋_GB2312"/>
          <w:sz w:val="32"/>
          <w:szCs w:val="32"/>
          <w:lang w:val="en-US" w:eastAsia="zh-CN"/>
        </w:rPr>
        <w:t>邮电费、培训费、工会经费、其他商品和服务支出等</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0.20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小于</w:t>
      </w:r>
      <w:r>
        <w:rPr>
          <w:rFonts w:hint="eastAsia" w:ascii="Times New Roman" w:hAnsi="Times New Roman" w:eastAsia="仿宋_GB2312"/>
          <w:sz w:val="32"/>
          <w:szCs w:val="32"/>
        </w:rPr>
        <w:t>预算数的主要原因是本单位严格执行中央八项规定，</w:t>
      </w:r>
      <w:r>
        <w:rPr>
          <w:rFonts w:hint="eastAsia" w:ascii="Times New Roman" w:hAnsi="Times New Roman" w:eastAsia="仿宋_GB2312"/>
          <w:sz w:val="32"/>
          <w:szCs w:val="32"/>
          <w:lang w:val="en-US" w:eastAsia="zh-CN"/>
        </w:rPr>
        <w:t>严格按照预决算标准执行</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与上年</w:t>
      </w:r>
      <w:r>
        <w:rPr>
          <w:rFonts w:hint="eastAsia" w:ascii="Times New Roman" w:hAnsi="Times New Roman" w:eastAsia="仿宋_GB2312"/>
          <w:sz w:val="32"/>
          <w:szCs w:val="32"/>
          <w:lang w:val="en-US" w:eastAsia="zh-CN"/>
        </w:rPr>
        <w:t>0.60万元</w:t>
      </w:r>
      <w:r>
        <w:rPr>
          <w:rFonts w:hint="eastAsia" w:ascii="Times New Roman" w:hAnsi="Times New Roman" w:eastAsia="仿宋_GB2312"/>
          <w:sz w:val="32"/>
          <w:szCs w:val="32"/>
        </w:rPr>
        <w:t>相比减少</w:t>
      </w:r>
      <w:r>
        <w:rPr>
          <w:rFonts w:hint="eastAsia" w:ascii="Times New Roman" w:hAnsi="Times New Roman" w:eastAsia="仿宋_GB2312"/>
          <w:sz w:val="32"/>
          <w:szCs w:val="32"/>
          <w:lang w:val="en-US" w:eastAsia="zh-CN"/>
        </w:rPr>
        <w:t>0.60</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%,减少的主要原因</w:t>
      </w:r>
      <w:r>
        <w:rPr>
          <w:rFonts w:hint="eastAsia" w:ascii="Times New Roman" w:hAnsi="Times New Roman" w:eastAsia="仿宋_GB2312"/>
          <w:sz w:val="32"/>
          <w:szCs w:val="32"/>
          <w:lang w:val="en-US" w:eastAsia="zh-CN"/>
        </w:rPr>
        <w:t>是本单位严格执行中央八项规定，进一步压减公务接待支出。</w:t>
      </w:r>
      <w:r>
        <w:rPr>
          <w:rFonts w:hint="eastAsia" w:ascii="Times New Roman" w:hAnsi="Times New Roman" w:eastAsia="仿宋_GB2312"/>
          <w:sz w:val="32"/>
          <w:szCs w:val="32"/>
        </w:rPr>
        <w:t>其中：</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本单位本年度无此项开支</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0.20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预算数</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rPr>
        <w:t>的主要原因是本单位严格执行中央八项规定，</w:t>
      </w:r>
      <w:r>
        <w:rPr>
          <w:rFonts w:hint="eastAsia" w:ascii="Times New Roman" w:hAnsi="Times New Roman" w:eastAsia="仿宋_GB2312"/>
          <w:sz w:val="32"/>
          <w:szCs w:val="32"/>
          <w:lang w:val="en-US" w:eastAsia="zh-CN"/>
        </w:rPr>
        <w:t>严格按照预决算标准执行</w:t>
      </w:r>
      <w:r>
        <w:rPr>
          <w:rFonts w:hint="eastAsia" w:ascii="Times New Roman" w:hAnsi="Times New Roman" w:eastAsia="仿宋_GB2312"/>
          <w:sz w:val="32"/>
          <w:szCs w:val="32"/>
          <w:lang w:eastAsia="zh-CN"/>
        </w:rPr>
        <w:t>。</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本单位本年度无此项开支</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本单位本年度无此项开支</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度“三公”经费财政拨款支出决算中，公务接待费支出决算</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val="en-US" w:eastAsia="zh-CN"/>
        </w:rPr>
        <w:t>无此项</w:t>
      </w:r>
      <w:r>
        <w:rPr>
          <w:rFonts w:hint="eastAsia" w:ascii="Times New Roman" w:hAnsi="Times New Roman" w:eastAsia="仿宋_GB2312"/>
          <w:sz w:val="32"/>
          <w:szCs w:val="32"/>
        </w:rPr>
        <w:t>开支</w:t>
      </w:r>
      <w:r>
        <w:rPr>
          <w:rFonts w:hint="eastAsia" w:ascii="Times New Roman" w:hAnsi="Times New Roman" w:eastAsia="仿宋_GB2312"/>
          <w:sz w:val="32"/>
          <w:szCs w:val="32"/>
          <w:lang w:eastAsia="zh-CN"/>
        </w:rPr>
        <w:t>。</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万元，全年共接待来访团组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人次，主要是</w:t>
      </w:r>
      <w:r>
        <w:rPr>
          <w:rFonts w:hint="eastAsia" w:ascii="Times New Roman" w:hAnsi="Times New Roman" w:eastAsia="仿宋_GB2312"/>
          <w:sz w:val="32"/>
          <w:szCs w:val="32"/>
          <w:lang w:eastAsia="zh-CN"/>
        </w:rPr>
        <w:t>未</w:t>
      </w:r>
      <w:r>
        <w:rPr>
          <w:rFonts w:hint="eastAsia" w:ascii="Times New Roman" w:hAnsi="Times New Roman" w:eastAsia="仿宋_GB2312"/>
          <w:sz w:val="32"/>
          <w:szCs w:val="32"/>
        </w:rPr>
        <w:t>开展公务及客商往来发生</w:t>
      </w:r>
      <w:r>
        <w:rPr>
          <w:rFonts w:hint="eastAsia" w:ascii="Times New Roman" w:hAnsi="Times New Roman" w:eastAsia="仿宋_GB2312"/>
          <w:sz w:val="32"/>
          <w:szCs w:val="32"/>
          <w:lang w:eastAsia="zh-CN"/>
        </w:rPr>
        <w:t>等</w:t>
      </w:r>
      <w:r>
        <w:rPr>
          <w:rFonts w:hint="eastAsia" w:ascii="Times New Roman" w:hAnsi="Times New Roman" w:eastAsia="仿宋_GB2312"/>
          <w:sz w:val="32"/>
          <w:szCs w:val="32"/>
        </w:rPr>
        <w:t>接待支出。</w:t>
      </w:r>
    </w:p>
    <w:p>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本单位</w:t>
      </w:r>
      <w:r>
        <w:rPr>
          <w:rFonts w:hint="eastAsia" w:ascii="Times New Roman" w:hAnsi="Times New Roman" w:eastAsia="仿宋_GB2312"/>
          <w:sz w:val="32"/>
          <w:szCs w:val="32"/>
        </w:rPr>
        <w:t>更新公务用车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万元，主要是</w:t>
      </w:r>
      <w:r>
        <w:rPr>
          <w:rFonts w:hint="eastAsia" w:ascii="Times New Roman" w:hAnsi="Times New Roman" w:eastAsia="仿宋_GB2312"/>
          <w:sz w:val="32"/>
          <w:szCs w:val="32"/>
          <w:lang w:val="en-US" w:eastAsia="zh-CN"/>
        </w:rPr>
        <w:t>无此项</w:t>
      </w:r>
      <w:r>
        <w:rPr>
          <w:rFonts w:hint="eastAsia" w:ascii="Times New Roman" w:hAnsi="Times New Roman" w:eastAsia="仿宋_GB2312"/>
          <w:sz w:val="32"/>
          <w:szCs w:val="32"/>
        </w:rPr>
        <w:t>支出，截止</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12月31日，我单位开支财政拨款的公务用车保有量为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w:t>
      </w:r>
      <w:r>
        <w:rPr>
          <w:rFonts w:hint="eastAsia" w:ascii="Times New Roman" w:hAnsi="Times New Roman" w:eastAsia="仿宋_GB2312"/>
          <w:sz w:val="32"/>
          <w:szCs w:val="32"/>
          <w:lang w:val="en-US" w:eastAsia="zh-CN"/>
        </w:rPr>
        <w:t>本单位未发生</w:t>
      </w:r>
      <w:r>
        <w:rPr>
          <w:rFonts w:hint="eastAsia" w:ascii="Times New Roman" w:hAnsi="Times New Roman" w:eastAsia="仿宋_GB2312"/>
          <w:sz w:val="32"/>
          <w:szCs w:val="32"/>
        </w:rPr>
        <w:t>政府性基金预算财政拨款收</w:t>
      </w:r>
      <w:r>
        <w:rPr>
          <w:rFonts w:hint="eastAsia" w:ascii="Times New Roman" w:hAnsi="Times New Roman" w:eastAsia="仿宋_GB2312"/>
          <w:sz w:val="32"/>
          <w:szCs w:val="32"/>
          <w:lang w:val="en-US" w:eastAsia="zh-CN"/>
        </w:rPr>
        <w:t>支</w:t>
      </w:r>
      <w:r>
        <w:rPr>
          <w:rFonts w:hint="eastAsia" w:ascii="Times New Roman" w:hAnsi="Times New Roman" w:eastAsia="仿宋_GB2312"/>
          <w:sz w:val="32"/>
          <w:szCs w:val="32"/>
          <w:lang w:eastAsia="zh-CN"/>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度机关运行经费支出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0.00元持平</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本单位属于全额事业单位，非行政单位。</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仿宋" w:hAnsi="仿宋" w:eastAsia="仿宋" w:cs="仿宋"/>
          <w:b w:val="0"/>
          <w:bCs w:val="0"/>
          <w:color w:val="000000"/>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本部门开支会议费</w:t>
      </w:r>
      <w:r>
        <w:rPr>
          <w:rFonts w:hint="eastAsia" w:ascii="仿宋" w:hAnsi="仿宋" w:eastAsia="仿宋" w:cs="仿宋"/>
          <w:b w:val="0"/>
          <w:bCs w:val="0"/>
          <w:color w:val="000000"/>
          <w:sz w:val="32"/>
          <w:szCs w:val="32"/>
          <w:lang w:val="en-US" w:eastAsia="zh-CN"/>
        </w:rPr>
        <w:t>0.00</w:t>
      </w:r>
      <w:r>
        <w:rPr>
          <w:rFonts w:ascii="仿宋" w:hAnsi="仿宋" w:eastAsia="仿宋" w:cs="仿宋"/>
          <w:b w:val="0"/>
          <w:bCs w:val="0"/>
          <w:color w:val="000000"/>
          <w:sz w:val="32"/>
          <w:szCs w:val="32"/>
        </w:rPr>
        <w:t>万元，人数</w:t>
      </w:r>
      <w:r>
        <w:rPr>
          <w:rFonts w:hint="eastAsia" w:ascii="仿宋" w:hAnsi="仿宋" w:eastAsia="仿宋" w:cs="仿宋"/>
          <w:b w:val="0"/>
          <w:bCs w:val="0"/>
          <w:color w:val="000000"/>
          <w:sz w:val="32"/>
          <w:szCs w:val="32"/>
          <w:lang w:val="en-US" w:eastAsia="zh-CN"/>
        </w:rPr>
        <w:t>0</w:t>
      </w:r>
      <w:r>
        <w:rPr>
          <w:rFonts w:ascii="仿宋" w:hAnsi="仿宋" w:eastAsia="仿宋" w:cs="仿宋"/>
          <w:b w:val="0"/>
          <w:bCs w:val="0"/>
          <w:color w:val="000000"/>
          <w:sz w:val="32"/>
          <w:szCs w:val="32"/>
        </w:rPr>
        <w:t>人</w:t>
      </w:r>
      <w:r>
        <w:rPr>
          <w:rFonts w:hint="eastAsia" w:ascii="仿宋" w:hAnsi="仿宋" w:eastAsia="仿宋" w:cs="仿宋"/>
          <w:b w:val="0"/>
          <w:bCs w:val="0"/>
          <w:color w:val="000000"/>
          <w:sz w:val="32"/>
          <w:szCs w:val="32"/>
          <w:lang w:eastAsia="zh-CN"/>
        </w:rPr>
        <w:t>。</w:t>
      </w:r>
      <w:r>
        <w:rPr>
          <w:rFonts w:ascii="仿宋" w:hAnsi="仿宋" w:eastAsia="仿宋" w:cs="仿宋"/>
          <w:b w:val="0"/>
          <w:bCs w:val="0"/>
          <w:color w:val="000000"/>
          <w:sz w:val="32"/>
          <w:szCs w:val="32"/>
        </w:rPr>
        <w:t>开支培训费</w:t>
      </w:r>
      <w:r>
        <w:rPr>
          <w:rFonts w:hint="eastAsia" w:ascii="仿宋" w:hAnsi="仿宋" w:eastAsia="仿宋" w:cs="仿宋"/>
          <w:b w:val="0"/>
          <w:bCs w:val="0"/>
          <w:color w:val="000000"/>
          <w:sz w:val="32"/>
          <w:szCs w:val="32"/>
          <w:lang w:val="en-US" w:eastAsia="zh-CN"/>
        </w:rPr>
        <w:t>0.73</w:t>
      </w:r>
      <w:r>
        <w:rPr>
          <w:rFonts w:ascii="仿宋" w:hAnsi="仿宋" w:eastAsia="仿宋" w:cs="仿宋"/>
          <w:b w:val="0"/>
          <w:bCs w:val="0"/>
          <w:color w:val="000000"/>
          <w:sz w:val="32"/>
          <w:szCs w:val="32"/>
        </w:rPr>
        <w:t>万元，用于</w:t>
      </w:r>
      <w:r>
        <w:rPr>
          <w:rFonts w:hint="eastAsia" w:ascii="仿宋" w:hAnsi="仿宋" w:eastAsia="仿宋" w:cs="仿宋"/>
          <w:b w:val="0"/>
          <w:bCs w:val="0"/>
          <w:color w:val="000000"/>
          <w:sz w:val="32"/>
          <w:szCs w:val="32"/>
          <w:lang w:eastAsia="zh-CN"/>
        </w:rPr>
        <w:t>在编在职事业编人员培训、</w:t>
      </w:r>
      <w:r>
        <w:rPr>
          <w:rFonts w:ascii="仿宋" w:hAnsi="仿宋" w:eastAsia="仿宋" w:cs="仿宋"/>
          <w:b w:val="0"/>
          <w:bCs w:val="0"/>
          <w:color w:val="000000"/>
          <w:sz w:val="32"/>
          <w:szCs w:val="32"/>
        </w:rPr>
        <w:t>文稿编辑、写作等；培训人数</w:t>
      </w:r>
      <w:r>
        <w:rPr>
          <w:rFonts w:hint="eastAsia" w:ascii="仿宋" w:hAnsi="仿宋" w:eastAsia="仿宋" w:cs="仿宋"/>
          <w:b w:val="0"/>
          <w:bCs w:val="0"/>
          <w:color w:val="000000"/>
          <w:sz w:val="32"/>
          <w:szCs w:val="32"/>
          <w:lang w:val="en-US" w:eastAsia="zh-CN"/>
        </w:rPr>
        <w:t>10</w:t>
      </w:r>
      <w:r>
        <w:rPr>
          <w:rFonts w:ascii="仿宋" w:hAnsi="仿宋" w:eastAsia="仿宋" w:cs="仿宋"/>
          <w:b w:val="0"/>
          <w:bCs w:val="0"/>
          <w:color w:val="000000"/>
          <w:sz w:val="32"/>
          <w:szCs w:val="32"/>
        </w:rPr>
        <w:t>人，内容为</w:t>
      </w:r>
      <w:r>
        <w:rPr>
          <w:rFonts w:hint="eastAsia" w:ascii="仿宋" w:hAnsi="仿宋" w:eastAsia="仿宋" w:cs="仿宋"/>
          <w:b w:val="0"/>
          <w:bCs w:val="0"/>
          <w:color w:val="000000"/>
          <w:sz w:val="32"/>
          <w:szCs w:val="32"/>
          <w:lang w:eastAsia="zh-CN"/>
        </w:rPr>
        <w:t>相关业务培训、</w:t>
      </w:r>
      <w:r>
        <w:rPr>
          <w:rFonts w:ascii="仿宋" w:hAnsi="仿宋" w:eastAsia="仿宋" w:cs="仿宋"/>
          <w:b w:val="0"/>
          <w:bCs w:val="0"/>
          <w:color w:val="000000"/>
          <w:sz w:val="32"/>
          <w:szCs w:val="32"/>
        </w:rPr>
        <w:t>文稿编辑、写作，经济形势分析等；未举办节庆、晚会、论坛、赛事活动。</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度政府采购支出总额</w:t>
      </w:r>
      <w:r>
        <w:rPr>
          <w:rFonts w:hint="eastAsia" w:ascii="Times New Roman" w:hAnsi="Times New Roman" w:eastAsia="仿宋_GB2312"/>
          <w:sz w:val="32"/>
          <w:szCs w:val="32"/>
          <w:lang w:val="en-US" w:eastAsia="zh-CN"/>
        </w:rPr>
        <w:t>11.70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11.70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11.70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11.70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2025年</w:t>
      </w:r>
      <w:r>
        <w:rPr>
          <w:rFonts w:hint="eastAsia" w:ascii="Times New Roman" w:hAnsi="Times New Roman" w:eastAsia="仿宋_GB2312"/>
          <w:color w:val="auto"/>
          <w:sz w:val="32"/>
          <w:szCs w:val="32"/>
        </w:rPr>
        <w:t>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2025年</w:t>
      </w:r>
      <w:r>
        <w:rPr>
          <w:rFonts w:hint="eastAsia" w:ascii="黑体" w:hAnsi="黑体" w:eastAsia="黑体" w:cs="黑体"/>
          <w:b w:val="0"/>
          <w:bCs/>
          <w:color w:val="auto"/>
          <w:sz w:val="32"/>
          <w:szCs w:val="32"/>
        </w:rPr>
        <w:t>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Times New Roman" w:hAnsi="Times New Roman" w:eastAsia="仿宋_GB2312"/>
          <w:sz w:val="32"/>
          <w:szCs w:val="32"/>
          <w:lang w:val="en-US" w:eastAsia="zh-CN"/>
        </w:rPr>
        <w:t>本单位的绩效管理工作开展的非常好。</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pPr>
        <w:pStyle w:val="20"/>
        <w:keepNext w:val="0"/>
        <w:keepLines w:val="0"/>
        <w:pageBreakBefore w:val="0"/>
        <w:widowControl w:val="0"/>
        <w:kinsoku/>
        <w:wordWrap/>
        <w:overflowPunct/>
        <w:topLinePunct w:val="0"/>
        <w:autoSpaceDE/>
        <w:autoSpaceDN/>
        <w:bidi w:val="0"/>
        <w:adjustRightInd w:val="0"/>
        <w:snapToGrid w:val="0"/>
        <w:spacing w:after="0" w:line="560" w:lineRule="exact"/>
        <w:ind w:left="0" w:firstLine="640" w:firstLineChars="200"/>
        <w:jc w:val="left"/>
        <w:textAlignment w:val="auto"/>
        <w:rPr>
          <w:rFonts w:hint="eastAsia" w:ascii="仿宋_GB2312" w:eastAsia="仿宋_GB2312" w:cs="仿宋_GB2312"/>
          <w:color w:val="000000" w:themeColor="text1"/>
          <w:spacing w:val="0"/>
          <w:sz w:val="32"/>
          <w:szCs w:val="32"/>
          <w:lang w:val="en-US" w:eastAsia="zh-CN" w:bidi="ar-SA"/>
          <w14:textFill>
            <w14:solidFill>
              <w14:schemeClr w14:val="tx1"/>
            </w14:solidFill>
          </w14:textFill>
        </w:rPr>
      </w:pPr>
      <w:r>
        <w:rPr>
          <w:rFonts w:hint="eastAsia" w:ascii="仿宋_GB2312" w:eastAsia="仿宋_GB2312" w:cs="仿宋_GB2312"/>
          <w:color w:val="000000" w:themeColor="text1"/>
          <w:spacing w:val="0"/>
          <w:sz w:val="32"/>
          <w:szCs w:val="32"/>
          <w:lang w:val="en-US" w:eastAsia="zh-CN" w:bidi="ar-SA"/>
          <w14:textFill>
            <w14:solidFill>
              <w14:schemeClr w14:val="tx1"/>
            </w14:solidFill>
          </w14:textFill>
        </w:rPr>
        <w:t>今年以来，县政府发展研究</w:t>
      </w:r>
      <w:r>
        <w:rPr>
          <w:rFonts w:hint="eastAsia" w:ascii="仿宋_GB2312" w:eastAsia="仿宋_GB2312" w:cs="仿宋_GB2312"/>
          <w:color w:val="000000" w:themeColor="text1"/>
          <w:spacing w:val="0"/>
          <w:sz w:val="32"/>
          <w:szCs w:val="32"/>
          <w:lang w:eastAsia="zh-CN" w:bidi="ar-SA"/>
          <w14:textFill>
            <w14:solidFill>
              <w14:schemeClr w14:val="tx1"/>
            </w14:solidFill>
          </w14:textFill>
        </w:rPr>
        <w:t>中心</w:t>
      </w:r>
      <w:r>
        <w:rPr>
          <w:rFonts w:hint="eastAsia" w:ascii="仿宋_GB2312" w:eastAsia="仿宋_GB2312" w:cs="仿宋_GB2312"/>
          <w:color w:val="000000" w:themeColor="text1"/>
          <w:spacing w:val="0"/>
          <w:sz w:val="32"/>
          <w:szCs w:val="32"/>
          <w:lang w:val="en-US" w:eastAsia="zh-CN" w:bidi="ar-SA"/>
          <w14:textFill>
            <w14:solidFill>
              <w14:schemeClr w14:val="tx1"/>
            </w14:solidFill>
          </w14:textFill>
        </w:rPr>
        <w:t>党组</w:t>
      </w:r>
      <w:r>
        <w:rPr>
          <w:rFonts w:hint="eastAsia" w:ascii="仿宋_GB2312" w:eastAsia="仿宋_GB2312" w:cs="仿宋_GB2312"/>
          <w:color w:val="000000" w:themeColor="text1"/>
          <w:spacing w:val="0"/>
          <w:sz w:val="32"/>
          <w:szCs w:val="32"/>
          <w:lang w:eastAsia="zh-CN" w:bidi="ar-SA"/>
          <w14:textFill>
            <w14:solidFill>
              <w14:schemeClr w14:val="tx1"/>
            </w14:solidFill>
          </w14:textFill>
        </w:rPr>
        <w:t>坚持以习近平新时代中国特色社会主义思想为指导，在县委、县政府的坚强领导下，</w:t>
      </w:r>
      <w:r>
        <w:rPr>
          <w:rFonts w:hint="eastAsia" w:ascii="仿宋_GB2312" w:eastAsia="仿宋_GB2312" w:cs="仿宋_GB2312"/>
          <w:color w:val="000000" w:themeColor="text1"/>
          <w:spacing w:val="0"/>
          <w:sz w:val="32"/>
          <w:szCs w:val="32"/>
          <w:lang w:val="en-US" w:eastAsia="zh-CN" w:bidi="ar-SA"/>
          <w14:textFill>
            <w14:solidFill>
              <w14:schemeClr w14:val="tx1"/>
            </w14:solidFill>
          </w14:textFill>
        </w:rPr>
        <w:t>围绕全县经济社会发展大局，坚持</w:t>
      </w:r>
      <w:r>
        <w:rPr>
          <w:rFonts w:hint="eastAsia" w:ascii="仿宋_GB2312" w:eastAsia="仿宋_GB2312" w:cs="仿宋_GB2312"/>
          <w:color w:val="000000" w:themeColor="text1"/>
          <w:spacing w:val="0"/>
          <w:sz w:val="32"/>
          <w:szCs w:val="32"/>
          <w:lang w:eastAsia="zh-CN" w:bidi="ar-SA"/>
          <w14:textFill>
            <w14:solidFill>
              <w14:schemeClr w14:val="tx1"/>
            </w14:solidFill>
          </w14:textFill>
        </w:rPr>
        <w:t>以文辅政、</w:t>
      </w:r>
      <w:r>
        <w:rPr>
          <w:rFonts w:hint="eastAsia" w:ascii="仿宋_GB2312" w:eastAsia="仿宋_GB2312" w:cs="仿宋_GB2312"/>
          <w:color w:val="000000" w:themeColor="text1"/>
          <w:spacing w:val="-6"/>
          <w:sz w:val="32"/>
          <w:szCs w:val="32"/>
          <w:lang w:eastAsia="zh-CN" w:bidi="ar-SA"/>
          <w14:textFill>
            <w14:solidFill>
              <w14:schemeClr w14:val="tx1"/>
            </w14:solidFill>
          </w14:textFill>
        </w:rPr>
        <w:t>参政设谋、协调</w:t>
      </w:r>
      <w:r>
        <w:rPr>
          <w:rFonts w:hint="eastAsia" w:ascii="仿宋_GB2312" w:eastAsia="仿宋_GB2312" w:cs="仿宋_GB2312"/>
          <w:color w:val="000000" w:themeColor="text1"/>
          <w:spacing w:val="-6"/>
          <w:sz w:val="32"/>
          <w:szCs w:val="32"/>
          <w:lang w:val="en-US" w:eastAsia="zh-CN" w:bidi="ar-SA"/>
          <w14:textFill>
            <w14:solidFill>
              <w14:schemeClr w14:val="tx1"/>
            </w14:solidFill>
          </w14:textFill>
        </w:rPr>
        <w:t>服务</w:t>
      </w:r>
      <w:r>
        <w:rPr>
          <w:rFonts w:hint="eastAsia" w:ascii="仿宋_GB2312" w:eastAsia="仿宋_GB2312" w:cs="仿宋_GB2312"/>
          <w:color w:val="000000" w:themeColor="text1"/>
          <w:spacing w:val="-6"/>
          <w:sz w:val="32"/>
          <w:szCs w:val="32"/>
          <w:lang w:eastAsia="zh-CN" w:bidi="ar-SA"/>
          <w14:textFill>
            <w14:solidFill>
              <w14:schemeClr w14:val="tx1"/>
            </w14:solidFill>
          </w14:textFill>
        </w:rPr>
        <w:t>，</w:t>
      </w:r>
      <w:r>
        <w:rPr>
          <w:rFonts w:hint="eastAsia" w:ascii="仿宋_GB2312" w:eastAsia="仿宋_GB2312" w:cs="仿宋_GB2312"/>
          <w:color w:val="000000" w:themeColor="text1"/>
          <w:spacing w:val="-6"/>
          <w:sz w:val="32"/>
          <w:szCs w:val="32"/>
          <w:lang w:val="en-US" w:eastAsia="zh-CN" w:bidi="ar-SA"/>
          <w14:textFill>
            <w14:solidFill>
              <w14:schemeClr w14:val="tx1"/>
            </w14:solidFill>
          </w14:textFill>
        </w:rPr>
        <w:t>取得明显成效，较好地发挥了参谋助手作用。</w:t>
      </w:r>
    </w:p>
    <w:p>
      <w:pPr>
        <w:pStyle w:val="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楷体_GB2312" w:hAnsi="楷体_GB2312" w:eastAsia="楷体_GB2312" w:cs="楷体_GB2312"/>
          <w:b/>
          <w:bCs/>
          <w:color w:val="000000" w:themeColor="text1"/>
          <w:spacing w:val="0"/>
          <w:sz w:val="32"/>
          <w:szCs w:val="32"/>
          <w:lang w:val="en-US" w:eastAsia="zh-CN"/>
          <w14:textFill>
            <w14:solidFill>
              <w14:schemeClr w14:val="tx1"/>
            </w14:solidFill>
          </w14:textFill>
        </w:rPr>
        <w:t>1.抓实党建工作焕发新活力。</w:t>
      </w:r>
      <w:r>
        <w:rPr>
          <w:rFonts w:hint="eastAsia" w:ascii="仿宋_GB2312" w:hAnsi="仿宋_GB2312" w:eastAsia="仿宋_GB2312" w:cs="仿宋_GB2312"/>
          <w:b/>
          <w:bCs/>
          <w:color w:val="000000" w:themeColor="text1"/>
          <w:spacing w:val="0"/>
          <w:sz w:val="32"/>
          <w:szCs w:val="32"/>
          <w:lang w:val="en-US" w:eastAsia="zh-CN"/>
          <w14:textFill>
            <w14:solidFill>
              <w14:schemeClr w14:val="tx1"/>
            </w14:solidFill>
          </w14:textFill>
        </w:rPr>
        <w:t>一是强化政治建设铸魂。</w:t>
      </w:r>
      <w:r>
        <w:rPr>
          <w:rFonts w:hint="eastAsia" w:ascii="仿宋_GB2312" w:hAnsi="仿宋_GB2312" w:eastAsia="仿宋_GB2312" w:cs="仿宋_GB2312"/>
          <w:b w:val="0"/>
          <w:bCs w:val="0"/>
          <w:color w:val="000000" w:themeColor="text1"/>
          <w:spacing w:val="0"/>
          <w:kern w:val="2"/>
          <w:sz w:val="32"/>
          <w:szCs w:val="32"/>
          <w:highlight w:val="none"/>
          <w:u w:val="none"/>
          <w:lang w:val="en-US" w:eastAsia="zh-CN" w:bidi="ar-SA"/>
          <w14:textFill>
            <w14:solidFill>
              <w14:schemeClr w14:val="tx1"/>
            </w14:solidFill>
          </w14:textFill>
        </w:rPr>
        <w:t>坚持把讲政治贯穿中心工作全过程全方位，</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忠诚拥护</w:t>
      </w:r>
      <w:r>
        <w:rPr>
          <w:rFonts w:hint="eastAsia" w:ascii="仿宋_GB2312" w:hAnsi="仿宋_GB2312" w:eastAsia="仿宋_GB2312" w:cs="仿宋_GB2312"/>
          <w:color w:val="000000" w:themeColor="text1"/>
          <w:sz w:val="32"/>
          <w:szCs w:val="32"/>
          <w:u w:val="none"/>
          <w14:textFill>
            <w14:solidFill>
              <w14:schemeClr w14:val="tx1"/>
            </w14:solidFill>
          </w14:textFill>
        </w:rPr>
        <w:t>“两个确立”、</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增强“四个意识”、坚定“四个自信”、</w:t>
      </w:r>
      <w:r>
        <w:rPr>
          <w:rFonts w:hint="eastAsia" w:ascii="仿宋_GB2312" w:hAnsi="仿宋_GB2312" w:eastAsia="仿宋_GB2312" w:cs="仿宋_GB2312"/>
          <w:color w:val="000000" w:themeColor="text1"/>
          <w:sz w:val="32"/>
          <w:szCs w:val="32"/>
          <w:u w:val="none"/>
          <w14:textFill>
            <w14:solidFill>
              <w14:schemeClr w14:val="tx1"/>
            </w14:solidFill>
          </w14:textFill>
        </w:rPr>
        <w:t>做到“两个维护”。深学践悟习近平新时代中国特色社会主义思想</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，深入贯彻党的二十大和二十届历次全会精神、习近平总书记关于湖南工作的重要讲话和</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重要</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指示批示精神，</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认真落实党组意识形态工作责任制，</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不折不扣地推动</w:t>
      </w:r>
      <w:r>
        <w:rPr>
          <w:rFonts w:hint="eastAsia" w:ascii="仿宋_GB2312" w:hAnsi="仿宋_GB2312" w:eastAsia="仿宋_GB2312" w:cs="仿宋_GB2312"/>
          <w:color w:val="000000" w:themeColor="text1"/>
          <w:sz w:val="32"/>
          <w:szCs w:val="32"/>
          <w:u w:val="none"/>
          <w14:textFill>
            <w14:solidFill>
              <w14:schemeClr w14:val="tx1"/>
            </w14:solidFill>
          </w14:textFill>
        </w:rPr>
        <w:t>党中央</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、国务院</w:t>
      </w:r>
      <w:r>
        <w:rPr>
          <w:rFonts w:hint="eastAsia" w:ascii="仿宋_GB2312" w:hAnsi="仿宋_GB2312" w:eastAsia="仿宋_GB2312" w:cs="仿宋_GB2312"/>
          <w:color w:val="000000" w:themeColor="text1"/>
          <w:sz w:val="32"/>
          <w:szCs w:val="32"/>
          <w:u w:val="none"/>
          <w14:textFill>
            <w14:solidFill>
              <w14:schemeClr w14:val="tx1"/>
            </w14:solidFill>
          </w14:textFill>
        </w:rPr>
        <w:t>决策部署和省市</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县</w:t>
      </w:r>
      <w:r>
        <w:rPr>
          <w:rFonts w:hint="eastAsia" w:ascii="仿宋_GB2312" w:hAnsi="仿宋_GB2312" w:eastAsia="仿宋_GB2312" w:cs="仿宋_GB2312"/>
          <w:color w:val="000000" w:themeColor="text1"/>
          <w:sz w:val="32"/>
          <w:szCs w:val="32"/>
          <w:u w:val="none"/>
          <w14:textFill>
            <w14:solidFill>
              <w14:schemeClr w14:val="tx1"/>
            </w14:solidFill>
          </w14:textFill>
        </w:rPr>
        <w:t>工作要求</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落地生根。</w:t>
      </w:r>
      <w:r>
        <w:rPr>
          <w:rFonts w:hint="eastAsia" w:ascii="仿宋_GB2312" w:hAnsi="仿宋_GB2312" w:eastAsia="仿宋_GB2312" w:cs="仿宋_GB2312"/>
          <w:b/>
          <w:bCs/>
          <w:color w:val="000000" w:themeColor="text1"/>
          <w:spacing w:val="0"/>
          <w:sz w:val="32"/>
          <w:szCs w:val="32"/>
          <w:lang w:val="en-US" w:eastAsia="zh-CN"/>
          <w14:textFill>
            <w14:solidFill>
              <w14:schemeClr w14:val="tx1"/>
            </w14:solidFill>
          </w14:textFill>
        </w:rPr>
        <w:t>二是夯实组织建设强基。</w:t>
      </w:r>
      <w:r>
        <w:rPr>
          <w:rFonts w:hint="eastAsia" w:ascii="仿宋_GB2312" w:hAnsi="仿宋_GB2312" w:eastAsia="仿宋_GB2312" w:cs="仿宋_GB2312"/>
          <w:color w:val="000000" w:themeColor="text1"/>
          <w:sz w:val="32"/>
          <w:szCs w:val="32"/>
          <w14:textFill>
            <w14:solidFill>
              <w14:schemeClr w14:val="tx1"/>
            </w14:solidFill>
          </w14:textFill>
        </w:rPr>
        <w:t>认真贯彻落实《中国共产党党组工作条例》，严格执行新形势下</w:t>
      </w:r>
      <w:r>
        <w:rPr>
          <w:rFonts w:hint="eastAsia" w:ascii="仿宋_GB2312" w:hAnsi="仿宋_GB2312" w:eastAsia="仿宋_GB2312" w:cs="仿宋_GB2312"/>
          <w:color w:val="000000" w:themeColor="text1"/>
          <w:sz w:val="32"/>
          <w:szCs w:val="32"/>
          <w:lang w:eastAsia="zh-CN"/>
          <w14:textFill>
            <w14:solidFill>
              <w14:schemeClr w14:val="tx1"/>
            </w14:solidFill>
          </w14:textFill>
        </w:rPr>
        <w:t>党内政治生活的若干准则</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认真落实“第一议题”制度，</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召开党组会议、全体工作人员会议集中学习21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次。开展党组理论学习中心组集中学习10次，党组</w:t>
      </w:r>
      <w:r>
        <w:rPr>
          <w:rFonts w:hint="eastAsia" w:ascii="仿宋_GB2312" w:hAnsi="仿宋_GB2312" w:eastAsia="仿宋_GB2312" w:cs="仿宋_GB2312"/>
          <w:color w:val="000000" w:themeColor="text1"/>
          <w:sz w:val="32"/>
          <w:szCs w:val="32"/>
          <w14:textFill>
            <w14:solidFill>
              <w14:schemeClr w14:val="tx1"/>
            </w14:solidFill>
          </w14:textFill>
        </w:rPr>
        <w:t>民主生活会1次，党组成员讲党课4次。同时，注重加强干部队伍建设，</w:t>
      </w:r>
      <w:r>
        <w:rPr>
          <w:rFonts w:hint="eastAsia" w:ascii="仿宋_GB2312" w:hAnsi="仿宋_GB2312" w:eastAsia="仿宋_GB2312" w:cs="仿宋_GB2312"/>
          <w:color w:val="000000" w:themeColor="text1"/>
          <w:sz w:val="32"/>
          <w:szCs w:val="32"/>
          <w:lang w:eastAsia="zh-CN"/>
          <w14:textFill>
            <w14:solidFill>
              <w14:schemeClr w14:val="tx1"/>
            </w14:solidFill>
          </w14:textFill>
        </w:rPr>
        <w:t>按要求参加了</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全县党建引领高质量发展培训班赴江浙地区专题学习培训，</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发展入党积极分子1名，</w:t>
      </w:r>
      <w:r>
        <w:rPr>
          <w:rFonts w:hint="eastAsia" w:ascii="仿宋_GB2312" w:hAnsi="仿宋_GB2312" w:eastAsia="仿宋_GB2312" w:cs="仿宋_GB2312"/>
          <w:color w:val="000000" w:themeColor="text1"/>
          <w:sz w:val="32"/>
          <w:szCs w:val="32"/>
          <w14:textFill>
            <w14:solidFill>
              <w14:schemeClr w14:val="tx1"/>
            </w14:solidFill>
          </w14:textFill>
        </w:rPr>
        <w:t>推荐1名干部参加中青班脱产学习</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晋升中级职称1人。</w:t>
      </w:r>
      <w:r>
        <w:rPr>
          <w:rFonts w:hint="eastAsia" w:ascii="仿宋_GB2312" w:hAnsi="仿宋_GB2312" w:eastAsia="仿宋_GB2312" w:cs="仿宋_GB2312"/>
          <w:b/>
          <w:bCs/>
          <w:color w:val="000000" w:themeColor="text1"/>
          <w:spacing w:val="0"/>
          <w:sz w:val="32"/>
          <w:szCs w:val="32"/>
          <w:lang w:val="en-US" w:eastAsia="zh-CN"/>
          <w14:textFill>
            <w14:solidFill>
              <w14:schemeClr w14:val="tx1"/>
            </w14:solidFill>
          </w14:textFill>
        </w:rPr>
        <w:t>三是推进法治建设固本。</w:t>
      </w:r>
      <w:r>
        <w:rPr>
          <w:rFonts w:hint="eastAsia" w:ascii="仿宋_GB2312" w:hAnsi="仿宋_GB2312" w:eastAsia="仿宋_GB2312" w:cs="仿宋_GB2312"/>
          <w:color w:val="000000" w:themeColor="text1"/>
          <w:spacing w:val="0"/>
          <w:kern w:val="2"/>
          <w:sz w:val="32"/>
          <w:szCs w:val="32"/>
          <w:lang w:val="en-US" w:eastAsia="zh-CN" w:bidi="ar-SA"/>
          <w14:textFill>
            <w14:solidFill>
              <w14:schemeClr w14:val="tx1"/>
            </w14:solidFill>
          </w14:textFill>
        </w:rPr>
        <w:t>坚持“法定职责必须为，法无授权不可为”，自觉运用法治思维和法治方式推动工作。健全重大行政决策法定程序。全面加强规范性文件合法性审查。全面推进党务、政务公开。</w:t>
      </w:r>
      <w:r>
        <w:rPr>
          <w:rFonts w:hint="eastAsia" w:ascii="仿宋_GB2312" w:hAnsi="仿宋_GB2312" w:eastAsia="仿宋_GB2312" w:cs="仿宋_GB2312"/>
          <w:b/>
          <w:bCs/>
          <w:color w:val="000000" w:themeColor="text1"/>
          <w:spacing w:val="0"/>
          <w:kern w:val="2"/>
          <w:sz w:val="32"/>
          <w:szCs w:val="32"/>
          <w:lang w:val="en-US" w:eastAsia="zh-CN" w:bidi="ar-SA"/>
          <w14:textFill>
            <w14:solidFill>
              <w14:schemeClr w14:val="tx1"/>
            </w14:solidFill>
          </w14:textFill>
        </w:rPr>
        <w:t>四</w:t>
      </w:r>
      <w:r>
        <w:rPr>
          <w:rFonts w:hint="eastAsia" w:ascii="仿宋_GB2312" w:hAnsi="仿宋_GB2312" w:eastAsia="仿宋_GB2312" w:cs="仿宋_GB2312"/>
          <w:b/>
          <w:bCs/>
          <w:color w:val="000000" w:themeColor="text1"/>
          <w:spacing w:val="0"/>
          <w:sz w:val="32"/>
          <w:szCs w:val="32"/>
          <w:lang w:val="en-US" w:eastAsia="zh-CN"/>
          <w14:textFill>
            <w14:solidFill>
              <w14:schemeClr w14:val="tx1"/>
            </w14:solidFill>
          </w14:textFill>
        </w:rPr>
        <w:t>是深化</w:t>
      </w:r>
      <w:r>
        <w:rPr>
          <w:rFonts w:hint="eastAsia" w:ascii="仿宋_GB2312" w:hAnsi="仿宋_GB2312" w:eastAsia="仿宋_GB2312" w:cs="仿宋_GB2312"/>
          <w:b/>
          <w:bCs/>
          <w:color w:val="000000" w:themeColor="text1"/>
          <w:spacing w:val="0"/>
          <w:kern w:val="2"/>
          <w:sz w:val="32"/>
          <w:szCs w:val="32"/>
          <w:u w:val="none"/>
          <w:lang w:val="en-US" w:eastAsia="zh-CN" w:bidi="ar-SA"/>
          <w14:textFill>
            <w14:solidFill>
              <w14:schemeClr w14:val="tx1"/>
            </w14:solidFill>
          </w14:textFill>
        </w:rPr>
        <w:t>廉政建设正风。</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严格落实全面从严治党主体责任和“一岗双责”，做到“管业务必须管廉政”“抓工作必须抓党建”</w:t>
      </w:r>
      <w:r>
        <w:rPr>
          <w:rFonts w:hint="eastAsia" w:ascii="仿宋_GB2312" w:hAnsi="仿宋_GB2312" w:eastAsia="仿宋_GB2312" w:cs="仿宋_GB2312"/>
          <w:color w:val="000000" w:themeColor="text1"/>
          <w:spacing w:val="0"/>
          <w:kern w:val="2"/>
          <w:sz w:val="32"/>
          <w:szCs w:val="32"/>
          <w:lang w:val="en-US" w:eastAsia="zh-CN" w:bidi="ar-SA"/>
          <w14:textFill>
            <w14:solidFill>
              <w14:schemeClr w14:val="tx1"/>
            </w14:solidFill>
          </w14:textFill>
        </w:rPr>
        <w:t>。</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扎实</w:t>
      </w:r>
      <w:r>
        <w:rPr>
          <w:rFonts w:hint="eastAsia" w:ascii="仿宋_GB2312" w:hAnsi="仿宋_GB2312" w:eastAsia="仿宋_GB2312" w:cs="仿宋_GB2312"/>
          <w:b w:val="0"/>
          <w:bCs w:val="0"/>
          <w:color w:val="000000" w:themeColor="text1"/>
          <w:spacing w:val="0"/>
          <w:kern w:val="2"/>
          <w:sz w:val="32"/>
          <w:szCs w:val="32"/>
          <w:lang w:val="en-US" w:eastAsia="zh-CN" w:bidi="ar"/>
          <w14:textFill>
            <w14:solidFill>
              <w14:schemeClr w14:val="tx1"/>
            </w14:solidFill>
          </w14:textFill>
        </w:rPr>
        <w:t>开展深入贯彻中央八项规定精神学习教育，集中</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研讨4次，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班子查摆问题8类15个，已全部整改到位。深化</w:t>
      </w:r>
      <w:r>
        <w:rPr>
          <w:rFonts w:hint="eastAsia" w:ascii="仿宋_GB2312" w:hAnsi="仿宋_GB2312" w:eastAsia="仿宋_GB2312" w:cs="仿宋_GB2312"/>
          <w:color w:val="000000" w:themeColor="text1"/>
          <w:spacing w:val="0"/>
          <w:kern w:val="2"/>
          <w:sz w:val="32"/>
          <w:szCs w:val="32"/>
          <w:lang w:val="en-US" w:eastAsia="zh-CN" w:bidi="ar-SA"/>
          <w14:textFill>
            <w14:solidFill>
              <w14:schemeClr w14:val="tx1"/>
            </w14:solidFill>
          </w14:textFill>
        </w:rPr>
        <w:t>清廉机关建设，开展了以案促改、警示教育和监督谈话，锲而不舍落实中央八项规定及其实施细则精神。进一步完善了内部采购控管等21项</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工作制度。树牢过“紧日子”思想，坚持厉行节约、精打细算，确保经费预算收支平衡。</w:t>
      </w:r>
      <w:r>
        <w:rPr>
          <w:rFonts w:hint="eastAsia" w:ascii="仿宋_GB2312" w:hAnsi="仿宋_GB2312" w:eastAsia="仿宋_GB2312" w:cs="仿宋_GB2312"/>
          <w:b/>
          <w:bCs/>
          <w:color w:val="000000" w:themeColor="text1"/>
          <w:sz w:val="32"/>
          <w:szCs w:val="32"/>
          <w:u w:val="none"/>
          <w:lang w:val="en-US" w:eastAsia="zh-CN"/>
          <w14:textFill>
            <w14:solidFill>
              <w14:schemeClr w14:val="tx1"/>
            </w14:solidFill>
          </w14:textFill>
        </w:rPr>
        <w:t>五是意识形态阵地稳固。</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坚持把意识形态作为党的建设重要内容，认真落实意识形态工作责任制，加强党员干部意识形态教育培训，严格执行新闻信息发布“三审制”，严防意识形态领域风险，全年没有发生一例意识形态方面的负面疫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themeColor="text1"/>
          <w:spacing w:val="0"/>
          <w:kern w:val="2"/>
          <w:sz w:val="32"/>
          <w:szCs w:val="32"/>
          <w:u w:val="none"/>
          <w:lang w:val="en-US" w:eastAsia="zh-CN" w:bidi="ar-SA"/>
          <w14:textFill>
            <w14:solidFill>
              <w14:schemeClr w14:val="tx1"/>
            </w14:solidFill>
          </w14:textFill>
        </w:rPr>
      </w:pPr>
      <w:r>
        <w:rPr>
          <w:rFonts w:hint="eastAsia" w:ascii="楷体_GB2312" w:hAnsi="楷体_GB2312" w:eastAsia="楷体_GB2312" w:cs="楷体_GB2312"/>
          <w:b/>
          <w:color w:val="000000" w:themeColor="text1"/>
          <w:sz w:val="32"/>
          <w:szCs w:val="32"/>
          <w:lang w:val="en-US" w:eastAsia="zh-CN" w:bidi="ar-SA"/>
          <w14:textFill>
            <w14:solidFill>
              <w14:schemeClr w14:val="tx1"/>
            </w14:solidFill>
          </w14:textFill>
        </w:rPr>
        <w:t>2.做优以文辅政展现新担当。</w:t>
      </w:r>
      <w:r>
        <w:rPr>
          <w:rFonts w:hint="eastAsia" w:ascii="仿宋_GB2312" w:hAnsi="仿宋_GB2312" w:eastAsia="仿宋_GB2312" w:cs="仿宋_GB2312"/>
          <w:b/>
          <w:color w:val="000000" w:themeColor="text1"/>
          <w:sz w:val="32"/>
          <w:szCs w:val="32"/>
          <w:lang w:val="en-US" w:eastAsia="zh-CN" w:bidi="ar-SA"/>
          <w14:textFill>
            <w14:solidFill>
              <w14:schemeClr w14:val="tx1"/>
            </w14:solidFill>
          </w14:textFill>
        </w:rPr>
        <w:t>一是文稿起草提质效。</w:t>
      </w:r>
      <w:r>
        <w:rPr>
          <w:rFonts w:hint="eastAsia" w:ascii="仿宋_GB2312" w:hAnsi="仿宋_GB2312" w:eastAsia="仿宋_GB2312" w:cs="仿宋_GB2312"/>
          <w:color w:val="000000" w:themeColor="text1"/>
          <w:spacing w:val="0"/>
          <w:kern w:val="2"/>
          <w:sz w:val="32"/>
          <w:szCs w:val="32"/>
          <w:lang w:val="en-US" w:eastAsia="zh-CN" w:bidi="ar-SA"/>
          <w14:textFill>
            <w14:solidFill>
              <w14:schemeClr w14:val="tx1"/>
            </w14:solidFill>
          </w14:textFill>
        </w:rPr>
        <w:t>保质保量完成县政府主要领导各类讲话、报告、重要综合性文稿起草工作，充分发挥以文辅政的参谋助手作用。一年来，共起草综合汇报、经济形势分析、各类讲话、研讨发言、主持词等文稿200余篇，其他领导材料和部门把关材料100余篇，撰写政策研究和政务信息59期，总字数突破260万字。</w:t>
      </w:r>
      <w:r>
        <w:rPr>
          <w:rFonts w:hint="eastAsia" w:ascii="仿宋_GB2312" w:hAnsi="仿宋_GB2312" w:eastAsia="仿宋_GB2312" w:cs="仿宋_GB2312"/>
          <w:b/>
          <w:color w:val="000000" w:themeColor="text1"/>
          <w:sz w:val="32"/>
          <w:szCs w:val="32"/>
          <w:lang w:val="en-US" w:eastAsia="zh-CN" w:bidi="ar-SA"/>
          <w14:textFill>
            <w14:solidFill>
              <w14:schemeClr w14:val="tx1"/>
            </w14:solidFill>
          </w14:textFill>
        </w:rPr>
        <w:t>二是调查研究结硕果。</w:t>
      </w:r>
      <w:r>
        <w:rPr>
          <w:rFonts w:hint="eastAsia" w:ascii="仿宋_GB2312" w:hAnsi="仿宋_GB2312" w:eastAsia="仿宋_GB2312" w:cs="仿宋_GB2312"/>
          <w:bCs/>
          <w:color w:val="000000" w:themeColor="text1"/>
          <w:sz w:val="32"/>
          <w:szCs w:val="32"/>
          <w:lang w:bidi="ar-SA"/>
          <w14:textFill>
            <w14:solidFill>
              <w14:schemeClr w14:val="tx1"/>
            </w14:solidFill>
          </w14:textFill>
        </w:rPr>
        <w:t>紧扣发展全局、紧贴领导思路、紧跟热点问题，深入开展调查研究，充分发挥参政设谋作用。重点围绕</w:t>
      </w:r>
      <w:r>
        <w:rPr>
          <w:rFonts w:hint="eastAsia" w:ascii="仿宋_GB2312" w:hAnsi="仿宋_GB2312" w:eastAsia="仿宋_GB2312" w:cs="仿宋_GB2312"/>
          <w:bCs/>
          <w:color w:val="000000" w:themeColor="text1"/>
          <w:sz w:val="32"/>
          <w:szCs w:val="32"/>
          <w:lang w:val="en-US" w:eastAsia="zh-CN" w:bidi="ar-SA"/>
          <w14:textFill>
            <w14:solidFill>
              <w14:schemeClr w14:val="tx1"/>
            </w14:solidFill>
          </w14:textFill>
        </w:rPr>
        <w:t>县域产业发展</w:t>
      </w:r>
      <w:r>
        <w:rPr>
          <w:rFonts w:hint="eastAsia" w:ascii="仿宋_GB2312" w:hAnsi="仿宋_GB2312" w:eastAsia="仿宋_GB2312" w:cs="仿宋_GB2312"/>
          <w:bCs/>
          <w:color w:val="000000" w:themeColor="text1"/>
          <w:sz w:val="32"/>
          <w:szCs w:val="32"/>
          <w:lang w:bidi="ar-SA"/>
          <w14:textFill>
            <w14:solidFill>
              <w14:schemeClr w14:val="tx1"/>
            </w14:solidFill>
          </w14:textFill>
        </w:rPr>
        <w:t>、</w:t>
      </w:r>
      <w:r>
        <w:rPr>
          <w:rFonts w:hint="eastAsia" w:ascii="仿宋_GB2312" w:hAnsi="仿宋_GB2312" w:eastAsia="仿宋_GB2312" w:cs="仿宋_GB2312"/>
          <w:bCs/>
          <w:color w:val="000000" w:themeColor="text1"/>
          <w:sz w:val="32"/>
          <w:szCs w:val="32"/>
          <w:lang w:val="en-US" w:eastAsia="zh-CN" w:bidi="ar-SA"/>
          <w14:textFill>
            <w14:solidFill>
              <w14:schemeClr w14:val="tx1"/>
            </w14:solidFill>
          </w14:textFill>
        </w:rPr>
        <w:t>基层社会治理、零基预算改革</w:t>
      </w:r>
      <w:r>
        <w:rPr>
          <w:rFonts w:hint="eastAsia" w:ascii="仿宋_GB2312" w:hAnsi="仿宋_GB2312" w:eastAsia="仿宋_GB2312" w:cs="仿宋_GB2312"/>
          <w:bCs/>
          <w:color w:val="000000" w:themeColor="text1"/>
          <w:sz w:val="32"/>
          <w:szCs w:val="32"/>
          <w:lang w:bidi="ar-SA"/>
          <w14:textFill>
            <w14:solidFill>
              <w14:schemeClr w14:val="tx1"/>
            </w14:solidFill>
          </w14:textFill>
        </w:rPr>
        <w:t>、锂</w:t>
      </w:r>
      <w:r>
        <w:rPr>
          <w:rFonts w:hint="eastAsia" w:ascii="仿宋_GB2312" w:hAnsi="仿宋_GB2312" w:eastAsia="仿宋_GB2312" w:cs="仿宋_GB2312"/>
          <w:bCs/>
          <w:color w:val="000000" w:themeColor="text1"/>
          <w:sz w:val="32"/>
          <w:szCs w:val="32"/>
          <w:lang w:eastAsia="zh-CN" w:bidi="ar-SA"/>
          <w14:textFill>
            <w14:solidFill>
              <w14:schemeClr w14:val="tx1"/>
            </w14:solidFill>
          </w14:textFill>
        </w:rPr>
        <w:t>电</w:t>
      </w:r>
      <w:r>
        <w:rPr>
          <w:rFonts w:hint="eastAsia" w:ascii="仿宋_GB2312" w:hAnsi="仿宋_GB2312" w:eastAsia="仿宋_GB2312" w:cs="仿宋_GB2312"/>
          <w:bCs/>
          <w:color w:val="000000" w:themeColor="text1"/>
          <w:sz w:val="32"/>
          <w:szCs w:val="32"/>
          <w:lang w:bidi="ar-SA"/>
          <w14:textFill>
            <w14:solidFill>
              <w14:schemeClr w14:val="tx1"/>
            </w14:solidFill>
          </w14:textFill>
        </w:rPr>
        <w:t>产业全链条发展、</w:t>
      </w:r>
      <w:r>
        <w:rPr>
          <w:rFonts w:hint="eastAsia" w:ascii="仿宋_GB2312" w:hAnsi="仿宋_GB2312" w:eastAsia="仿宋_GB2312" w:cs="仿宋_GB2312"/>
          <w:bCs/>
          <w:color w:val="000000" w:themeColor="text1"/>
          <w:sz w:val="32"/>
          <w:szCs w:val="32"/>
          <w:lang w:val="en-US" w:eastAsia="zh-CN" w:bidi="ar-SA"/>
          <w14:textFill>
            <w14:solidFill>
              <w14:schemeClr w14:val="tx1"/>
            </w14:solidFill>
          </w14:textFill>
        </w:rPr>
        <w:t>寄递物流</w:t>
      </w:r>
      <w:r>
        <w:rPr>
          <w:rFonts w:hint="eastAsia" w:ascii="仿宋_GB2312" w:hAnsi="仿宋_GB2312" w:eastAsia="仿宋_GB2312" w:cs="仿宋_GB2312"/>
          <w:bCs/>
          <w:color w:val="000000" w:themeColor="text1"/>
          <w:sz w:val="32"/>
          <w:szCs w:val="32"/>
          <w:lang w:bidi="ar-SA"/>
          <w14:textFill>
            <w14:solidFill>
              <w14:schemeClr w14:val="tx1"/>
            </w14:solidFill>
          </w14:textFill>
        </w:rPr>
        <w:t>、</w:t>
      </w:r>
      <w:r>
        <w:rPr>
          <w:rFonts w:hint="eastAsia" w:ascii="仿宋_GB2312" w:hAnsi="仿宋_GB2312" w:eastAsia="仿宋_GB2312" w:cs="仿宋_GB2312"/>
          <w:bCs/>
          <w:color w:val="000000" w:themeColor="text1"/>
          <w:sz w:val="32"/>
          <w:szCs w:val="32"/>
          <w:lang w:val="en-US" w:eastAsia="zh-CN" w:bidi="ar-SA"/>
          <w14:textFill>
            <w14:solidFill>
              <w14:schemeClr w14:val="tx1"/>
            </w14:solidFill>
          </w14:textFill>
        </w:rPr>
        <w:t>中小学校大宗食材采购管理、高中高质量</w:t>
      </w:r>
      <w:r>
        <w:rPr>
          <w:rFonts w:hint="eastAsia" w:ascii="仿宋_GB2312" w:hAnsi="仿宋_GB2312" w:eastAsia="仿宋_GB2312" w:cs="仿宋_GB2312"/>
          <w:bCs/>
          <w:color w:val="000000" w:themeColor="text1"/>
          <w:sz w:val="32"/>
          <w:szCs w:val="32"/>
          <w:lang w:bidi="ar-SA"/>
          <w14:textFill>
            <w14:solidFill>
              <w14:schemeClr w14:val="tx1"/>
            </w14:solidFill>
          </w14:textFill>
        </w:rPr>
        <w:t>发展等课题开展专题调研，高质量起草调研报告</w:t>
      </w:r>
      <w:r>
        <w:rPr>
          <w:rFonts w:hint="eastAsia" w:ascii="仿宋_GB2312" w:hAnsi="仿宋_GB2312" w:eastAsia="仿宋_GB2312" w:cs="仿宋_GB2312"/>
          <w:bCs/>
          <w:color w:val="000000" w:themeColor="text1"/>
          <w:sz w:val="32"/>
          <w:szCs w:val="32"/>
          <w:lang w:val="en-US" w:eastAsia="zh-CN" w:bidi="ar-SA"/>
          <w14:textFill>
            <w14:solidFill>
              <w14:schemeClr w14:val="tx1"/>
            </w14:solidFill>
          </w14:textFill>
        </w:rPr>
        <w:t>20</w:t>
      </w:r>
      <w:r>
        <w:rPr>
          <w:rFonts w:hint="eastAsia" w:ascii="仿宋_GB2312" w:hAnsi="仿宋_GB2312" w:eastAsia="仿宋_GB2312" w:cs="仿宋_GB2312"/>
          <w:bCs/>
          <w:color w:val="000000" w:themeColor="text1"/>
          <w:sz w:val="32"/>
          <w:szCs w:val="32"/>
          <w:lang w:bidi="ar-SA"/>
          <w14:textFill>
            <w14:solidFill>
              <w14:schemeClr w14:val="tx1"/>
            </w14:solidFill>
          </w14:textFill>
        </w:rPr>
        <w:t>篇，为县委、县政府科学决策提供重要参考。同时，中心与市政府发展研究中心联合开展了农村集体经济发展等</w:t>
      </w:r>
      <w:r>
        <w:rPr>
          <w:rFonts w:hint="eastAsia" w:ascii="仿宋_GB2312" w:hAnsi="仿宋_GB2312" w:eastAsia="仿宋_GB2312" w:cs="仿宋_GB2312"/>
          <w:bCs/>
          <w:color w:val="000000" w:themeColor="text1"/>
          <w:sz w:val="32"/>
          <w:szCs w:val="32"/>
          <w:lang w:val="en-US" w:eastAsia="zh-CN" w:bidi="ar-SA"/>
          <w14:textFill>
            <w14:solidFill>
              <w14:schemeClr w14:val="tx1"/>
            </w14:solidFill>
          </w14:textFill>
        </w:rPr>
        <w:t>5</w:t>
      </w:r>
      <w:r>
        <w:rPr>
          <w:rFonts w:hint="eastAsia" w:ascii="仿宋_GB2312" w:hAnsi="仿宋_GB2312" w:eastAsia="仿宋_GB2312" w:cs="仿宋_GB2312"/>
          <w:bCs/>
          <w:color w:val="000000" w:themeColor="text1"/>
          <w:sz w:val="32"/>
          <w:szCs w:val="32"/>
          <w:lang w:bidi="ar-SA"/>
          <w14:textFill>
            <w14:solidFill>
              <w14:schemeClr w14:val="tx1"/>
            </w14:solidFill>
          </w14:textFill>
        </w:rPr>
        <w:t>个重大课题调查研究。</w:t>
      </w:r>
      <w:r>
        <w:rPr>
          <w:rFonts w:hint="eastAsia" w:ascii="仿宋_GB2312" w:hAnsi="仿宋_GB2312" w:eastAsia="仿宋_GB2312" w:cs="仿宋_GB2312"/>
          <w:b/>
          <w:color w:val="000000" w:themeColor="text1"/>
          <w:sz w:val="32"/>
          <w:szCs w:val="32"/>
          <w:lang w:val="en-US" w:eastAsia="zh-CN" w:bidi="ar-SA"/>
          <w14:textFill>
            <w14:solidFill>
              <w14:schemeClr w14:val="tx1"/>
            </w14:solidFill>
          </w14:textFill>
        </w:rPr>
        <w:t>三是信息报送提精度。</w:t>
      </w:r>
      <w:r>
        <w:rPr>
          <w:rFonts w:hint="eastAsia" w:ascii="仿宋_GB2312" w:hAnsi="仿宋_GB2312" w:eastAsia="仿宋_GB2312" w:cs="仿宋_GB2312"/>
          <w:color w:val="000000" w:themeColor="text1"/>
          <w:spacing w:val="0"/>
          <w:kern w:val="2"/>
          <w:sz w:val="32"/>
          <w:szCs w:val="32"/>
          <w:lang w:val="en-US" w:eastAsia="zh-CN" w:bidi="ar-SA"/>
          <w14:textFill>
            <w14:solidFill>
              <w14:schemeClr w14:val="tx1"/>
            </w14:solidFill>
          </w14:textFill>
        </w:rPr>
        <w:t>充分发挥信息“耳目”作用，注重信息质量，畅通报送渠道，提高报送时效。全年在省市主流媒体发表各类消息120篇/条，被省市直部门内刊采用9篇/条。比如，撰写的</w:t>
      </w:r>
      <w:r>
        <w:rPr>
          <w:rFonts w:hint="eastAsia" w:ascii="仿宋_GB2312" w:hAnsi="仿宋_GB2312" w:eastAsia="仿宋_GB2312" w:cs="仿宋_GB2312"/>
          <w:b w:val="0"/>
          <w:bCs w:val="0"/>
          <w:color w:val="000000" w:themeColor="text1"/>
          <w:sz w:val="32"/>
          <w:szCs w:val="32"/>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道县：</w:t>
      </w:r>
      <w:r>
        <w:rPr>
          <w:rFonts w:hint="eastAsia" w:ascii="仿宋_GB2312" w:hAnsi="仿宋_GB2312" w:eastAsia="仿宋_GB2312" w:cs="仿宋_GB2312"/>
          <w:b w:val="0"/>
          <w:bCs w:val="0"/>
          <w:color w:val="000000" w:themeColor="text1"/>
          <w:sz w:val="32"/>
          <w:szCs w:val="32"/>
          <w14:textFill>
            <w14:solidFill>
              <w14:schemeClr w14:val="tx1"/>
            </w14:solidFill>
          </w14:textFill>
        </w:rPr>
        <w:t>四招抓实规模工业企业培育》在《湖南工信》专刊发表</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破解小区物业管理“民生痛点”做法被市学教办评为典型案例。</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 w:val="0"/>
          <w:bCs/>
          <w:color w:val="FF0000"/>
          <w:spacing w:val="-2"/>
          <w:sz w:val="32"/>
          <w:szCs w:val="32"/>
          <w:lang w:eastAsia="zh-CN"/>
        </w:rPr>
      </w:pPr>
      <w:r>
        <w:rPr>
          <w:rFonts w:hint="eastAsia" w:ascii="楷体_GB2312" w:hAnsi="楷体_GB2312" w:eastAsia="楷体_GB2312" w:cs="楷体_GB2312"/>
          <w:b/>
          <w:color w:val="000000" w:themeColor="text1"/>
          <w:sz w:val="32"/>
          <w:szCs w:val="32"/>
          <w:lang w:val="en-US" w:eastAsia="zh-CN" w:bidi="ar-SA"/>
          <w14:textFill>
            <w14:solidFill>
              <w14:schemeClr w14:val="tx1"/>
            </w14:solidFill>
          </w14:textFill>
        </w:rPr>
        <w:t>3.统筹其他工作实现新提升。</w:t>
      </w:r>
      <w:r>
        <w:rPr>
          <w:rFonts w:hint="eastAsia" w:ascii="仿宋_GB2312" w:hAnsi="仿宋_GB2312" w:eastAsia="仿宋_GB2312" w:cs="仿宋_GB2312"/>
          <w:b/>
          <w:color w:val="000000" w:themeColor="text1"/>
          <w:sz w:val="32"/>
          <w:szCs w:val="32"/>
          <w:lang w:val="en-US" w:eastAsia="zh-CN" w:bidi="ar-SA"/>
          <w14:textFill>
            <w14:solidFill>
              <w14:schemeClr w14:val="tx1"/>
            </w14:solidFill>
          </w14:textFill>
        </w:rPr>
        <w:t>一是风险防范筑屏障。</w:t>
      </w:r>
      <w:r>
        <w:rPr>
          <w:rFonts w:hint="eastAsia" w:ascii="仿宋_GB2312" w:hAnsi="仿宋_GB2312" w:eastAsia="仿宋_GB2312" w:cs="仿宋_GB2312"/>
          <w:b w:val="0"/>
          <w:bCs/>
          <w:color w:val="000000" w:themeColor="text1"/>
          <w:sz w:val="32"/>
          <w:szCs w:val="32"/>
          <w:lang w:val="en-US" w:eastAsia="zh-CN" w:bidi="ar-SA"/>
          <w14:textFill>
            <w14:solidFill>
              <w14:schemeClr w14:val="tx1"/>
            </w14:solidFill>
          </w14:textFill>
        </w:rPr>
        <w:t>深入学习贯彻习近平总书记关于安全生产工作的重要论述，统筹发展和安全</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，全面落实安全生产工作责任，以“时时放心不下”的责任感，</w:t>
      </w:r>
      <w:r>
        <w:rPr>
          <w:rFonts w:hint="eastAsia" w:ascii="仿宋_GB2312" w:hAnsi="仿宋_GB2312" w:eastAsia="仿宋_GB2312" w:cs="仿宋_GB2312"/>
          <w:b w:val="0"/>
          <w:bCs/>
          <w:color w:val="000000" w:themeColor="text1"/>
          <w:sz w:val="32"/>
          <w:szCs w:val="32"/>
          <w:lang w:val="en-US" w:eastAsia="zh-CN" w:bidi="ar-SA"/>
          <w14:textFill>
            <w14:solidFill>
              <w14:schemeClr w14:val="tx1"/>
            </w14:solidFill>
          </w14:textFill>
        </w:rPr>
        <w:t>以坚决有力的措施扎实做好安全生产各项工作，持续加强</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平安机关建设。</w:t>
      </w:r>
      <w:r>
        <w:rPr>
          <w:rFonts w:hint="eastAsia" w:ascii="仿宋_GB2312" w:hAnsi="仿宋_GB2312" w:eastAsia="仿宋_GB2312" w:cs="仿宋_GB2312"/>
          <w:b w:val="0"/>
          <w:bCs/>
          <w:color w:val="000000" w:themeColor="text1"/>
          <w:sz w:val="32"/>
          <w:szCs w:val="32"/>
          <w:lang w:val="en-US" w:eastAsia="zh-CN" w:bidi="ar-SA"/>
          <w14:textFill>
            <w14:solidFill>
              <w14:schemeClr w14:val="tx1"/>
            </w14:solidFill>
          </w14:textFill>
        </w:rPr>
        <w:t>中心全年平安有序，没有发生安全生产事故。</w:t>
      </w:r>
      <w:r>
        <w:rPr>
          <w:rFonts w:hint="eastAsia" w:ascii="仿宋_GB2312" w:hAnsi="仿宋_GB2312" w:eastAsia="仿宋_GB2312" w:cs="仿宋_GB2312"/>
          <w:b/>
          <w:bCs w:val="0"/>
          <w:color w:val="000000" w:themeColor="text1"/>
          <w:sz w:val="32"/>
          <w:szCs w:val="32"/>
          <w:lang w:val="en-US" w:eastAsia="zh-CN" w:bidi="ar-SA"/>
          <w14:textFill>
            <w14:solidFill>
              <w14:schemeClr w14:val="tx1"/>
            </w14:solidFill>
          </w14:textFill>
        </w:rPr>
        <w:t>二是</w:t>
      </w:r>
      <w:r>
        <w:rPr>
          <w:rFonts w:hint="eastAsia" w:ascii="仿宋_GB2312" w:hAnsi="仿宋_GB2312" w:eastAsia="仿宋_GB2312" w:cs="仿宋_GB2312"/>
          <w:b/>
          <w:bCs/>
          <w:color w:val="000000" w:themeColor="text1"/>
          <w:spacing w:val="0"/>
          <w:kern w:val="2"/>
          <w:sz w:val="32"/>
          <w:szCs w:val="32"/>
          <w:u w:val="none"/>
          <w:lang w:val="en-US" w:eastAsia="zh-CN" w:bidi="ar-SA"/>
          <w14:textFill>
            <w14:solidFill>
              <w14:schemeClr w14:val="tx1"/>
            </w14:solidFill>
          </w14:textFill>
        </w:rPr>
        <w:t>乡村振兴添动能。</w:t>
      </w:r>
      <w:r>
        <w:rPr>
          <w:rFonts w:hint="eastAsia" w:ascii="仿宋_GB2312" w:hAnsi="仿宋_GB2312" w:eastAsia="仿宋_GB2312" w:cs="仿宋_GB2312"/>
          <w:color w:val="000000" w:themeColor="text1"/>
          <w:spacing w:val="0"/>
          <w:kern w:val="2"/>
          <w:sz w:val="32"/>
          <w:szCs w:val="32"/>
          <w:u w:val="none"/>
          <w:lang w:val="en-US" w:eastAsia="zh-CN" w:bidi="ar-SA"/>
          <w14:textFill>
            <w14:solidFill>
              <w14:schemeClr w14:val="tx1"/>
            </w14:solidFill>
          </w14:textFill>
        </w:rPr>
        <w:t>我中心共结对帮扶脱贫户11户、</w:t>
      </w:r>
      <w:r>
        <w:rPr>
          <w:rFonts w:hint="eastAsia" w:ascii="仿宋_GB2312" w:hAnsi="仿宋_GB2312" w:eastAsia="仿宋_GB2312" w:cs="仿宋_GB2312"/>
          <w:b w:val="0"/>
          <w:bCs/>
          <w:color w:val="000000" w:themeColor="text1"/>
          <w:sz w:val="32"/>
          <w:szCs w:val="32"/>
          <w:lang w:val="en-US" w:eastAsia="zh-CN" w:bidi="ar-SA"/>
          <w14:textFill>
            <w14:solidFill>
              <w14:schemeClr w14:val="tx1"/>
            </w14:solidFill>
          </w14:textFill>
        </w:rPr>
        <w:t>监测户4户，在市政府半年督察抽查中反馈情况良好。在经费极其紧张的情况下，中心支持两河口村扶持资金1万元，按要求落实驻村人员工作经费。会同县政府办等单位争取项目资金166万元，支持两河口村改善旅游设施配套、路面硬化、电网改造、水渠维修和机耕道建设等。累计投入资金200万元，建成1000余平米中心广场、生态停车位200个、旅游厕所1座、河道围栏400米，完成山塘清淤7口，添置垃圾桶（箱）100个。为8名新入学本科生捐资助学4800元。</w:t>
      </w:r>
      <w:r>
        <w:rPr>
          <w:rFonts w:hint="eastAsia" w:ascii="仿宋_GB2312" w:hAnsi="仿宋_GB2312" w:eastAsia="仿宋_GB2312" w:cs="仿宋_GB2312"/>
          <w:b/>
          <w:bCs/>
          <w:color w:val="000000" w:themeColor="text1"/>
          <w:spacing w:val="0"/>
          <w:kern w:val="2"/>
          <w:sz w:val="32"/>
          <w:szCs w:val="32"/>
          <w:u w:val="none"/>
          <w:lang w:val="en-US" w:eastAsia="zh-CN" w:bidi="ar-SA"/>
          <w14:textFill>
            <w14:solidFill>
              <w14:schemeClr w14:val="tx1"/>
            </w14:solidFill>
          </w14:textFill>
        </w:rPr>
        <w:t>三是</w:t>
      </w:r>
      <w:r>
        <w:rPr>
          <w:rFonts w:hint="eastAsia" w:ascii="仿宋_GB2312" w:hAnsi="仿宋_GB2312" w:eastAsia="仿宋_GB2312" w:cs="仿宋_GB2312"/>
          <w:b/>
          <w:bCs/>
          <w:color w:val="000000" w:themeColor="text1"/>
          <w:spacing w:val="-2"/>
          <w:sz w:val="32"/>
          <w:szCs w:val="32"/>
          <w:lang w:val="en-US" w:eastAsia="zh-CN"/>
          <w14:textFill>
            <w14:solidFill>
              <w14:schemeClr w14:val="tx1"/>
            </w14:solidFill>
          </w14:textFill>
        </w:rPr>
        <w:t>文</w:t>
      </w:r>
      <w:r>
        <w:rPr>
          <w:rFonts w:hint="eastAsia" w:ascii="仿宋_GB2312" w:hAnsi="仿宋_GB2312" w:eastAsia="仿宋_GB2312" w:cs="仿宋_GB2312"/>
          <w:b/>
          <w:bCs w:val="0"/>
          <w:color w:val="000000" w:themeColor="text1"/>
          <w:spacing w:val="-2"/>
          <w:sz w:val="32"/>
          <w:szCs w:val="32"/>
          <w:lang w:val="en-US" w:eastAsia="zh-CN"/>
          <w14:textFill>
            <w14:solidFill>
              <w14:schemeClr w14:val="tx1"/>
            </w14:solidFill>
          </w14:textFill>
        </w:rPr>
        <w:t>明创建提质效。</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按照创文办的统一安排，认真落实“一包三”责任制，定期开展文明劝导和义务大扫除活动，制止乱停乱摆、乱穿马路、乱扔垃圾等不文明行为，有效维护了责任区的市容秩序，得到</w:t>
      </w:r>
      <w:r>
        <w:rPr>
          <w:rFonts w:hint="eastAsia" w:ascii="仿宋_GB2312" w:hAnsi="仿宋_GB2312" w:eastAsia="仿宋_GB2312" w:cs="仿宋_GB2312"/>
          <w:b w:val="0"/>
          <w:bCs w:val="0"/>
          <w:color w:val="000000" w:themeColor="text1"/>
          <w:spacing w:val="0"/>
          <w:sz w:val="32"/>
          <w:szCs w:val="32"/>
          <w14:textFill>
            <w14:solidFill>
              <w14:schemeClr w14:val="tx1"/>
            </w14:solidFill>
          </w14:textFill>
        </w:rPr>
        <w:t>群</w:t>
      </w:r>
      <w:r>
        <w:rPr>
          <w:rFonts w:hint="eastAsia" w:ascii="仿宋_GB2312" w:hAnsi="仿宋_GB2312" w:eastAsia="仿宋_GB2312" w:cs="仿宋_GB2312"/>
          <w:b w:val="0"/>
          <w:bCs w:val="0"/>
          <w:color w:val="000000" w:themeColor="text1"/>
          <w:spacing w:val="0"/>
          <w:sz w:val="32"/>
          <w:szCs w:val="32"/>
          <w:lang w:val="en-US" w:eastAsia="zh-CN"/>
          <w14:textFill>
            <w14:solidFill>
              <w14:schemeClr w14:val="tx1"/>
            </w14:solidFill>
          </w14:textFill>
        </w:rPr>
        <w:t>众</w:t>
      </w:r>
      <w:r>
        <w:rPr>
          <w:rFonts w:hint="eastAsia" w:ascii="仿宋_GB2312" w:hAnsi="仿宋_GB2312" w:eastAsia="仿宋_GB2312" w:cs="仿宋_GB2312"/>
          <w:color w:val="000000" w:themeColor="text1"/>
          <w:spacing w:val="0"/>
          <w:sz w:val="32"/>
          <w:szCs w:val="32"/>
          <w14:textFill>
            <w14:solidFill>
              <w14:schemeClr w14:val="tx1"/>
            </w14:solidFill>
          </w14:textFill>
        </w:rPr>
        <w:t>好评。</w:t>
      </w:r>
      <w:r>
        <w:rPr>
          <w:rFonts w:hint="eastAsia" w:ascii="仿宋_GB2312" w:hAnsi="仿宋_GB2312" w:eastAsia="仿宋_GB2312" w:cs="仿宋_GB2312"/>
          <w:color w:val="000000" w:themeColor="text1"/>
          <w:spacing w:val="0"/>
          <w:kern w:val="2"/>
          <w:sz w:val="32"/>
          <w:szCs w:val="32"/>
          <w:u w:val="none"/>
          <w:lang w:val="en-US" w:eastAsia="zh-CN" w:bidi="ar-SA"/>
          <w14:textFill>
            <w14:solidFill>
              <w14:schemeClr w14:val="tx1"/>
            </w14:solidFill>
          </w14:textFill>
        </w:rPr>
        <w:t>指导两河口村开展“十星文明户”“共产党员示范户”等评选表彰活动，每年入户走访宣传20次，共走访群众313户、发放宣传资料5000余份，开展微宣讲12次。</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pPr>
        <w:pStyle w:val="14"/>
        <w:ind w:firstLine="640" w:firstLineChars="200"/>
        <w:jc w:val="both"/>
        <w:rPr>
          <w:sz w:val="72"/>
          <w:szCs w:val="72"/>
        </w:rPr>
      </w:pPr>
      <w:r>
        <w:rPr>
          <w:rFonts w:hint="eastAsia" w:ascii="Times New Roman" w:hAnsi="Times New Roman" w:eastAsia="仿宋_GB2312"/>
          <w:sz w:val="32"/>
          <w:szCs w:val="32"/>
        </w:rPr>
        <w:t>县政府发展研究中心</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实际支出13</w:t>
      </w:r>
      <w:r>
        <w:rPr>
          <w:rFonts w:hint="eastAsia" w:ascii="Times New Roman" w:hAnsi="Times New Roman" w:eastAsia="仿宋_GB2312"/>
          <w:sz w:val="32"/>
          <w:szCs w:val="32"/>
          <w:lang w:val="en-US" w:eastAsia="zh-CN"/>
        </w:rPr>
        <w:t>8.93</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初预算1</w:t>
      </w:r>
      <w:r>
        <w:rPr>
          <w:rFonts w:hint="eastAsia" w:ascii="Times New Roman" w:hAnsi="Times New Roman" w:eastAsia="仿宋_GB2312"/>
          <w:sz w:val="32"/>
          <w:szCs w:val="32"/>
          <w:lang w:val="en-US" w:eastAsia="zh-CN"/>
        </w:rPr>
        <w:t>30.17</w:t>
      </w:r>
      <w:r>
        <w:rPr>
          <w:rFonts w:hint="eastAsia" w:ascii="Times New Roman" w:hAnsi="Times New Roman" w:eastAsia="仿宋_GB2312"/>
          <w:sz w:val="32"/>
          <w:szCs w:val="32"/>
        </w:rPr>
        <w:t>万元，与年初预算相差</w:t>
      </w:r>
      <w:r>
        <w:rPr>
          <w:rFonts w:hint="eastAsia" w:ascii="Times New Roman" w:hAnsi="Times New Roman" w:eastAsia="仿宋_GB2312"/>
          <w:sz w:val="32"/>
          <w:szCs w:val="32"/>
          <w:lang w:val="en-US" w:eastAsia="zh-CN"/>
        </w:rPr>
        <w:t>8.76</w:t>
      </w:r>
      <w:r>
        <w:rPr>
          <w:rFonts w:hint="eastAsia" w:ascii="Times New Roman" w:hAnsi="Times New Roman" w:eastAsia="仿宋_GB2312"/>
          <w:sz w:val="32"/>
          <w:szCs w:val="32"/>
        </w:rPr>
        <w:t>万元，主要是因为</w:t>
      </w:r>
      <w:r>
        <w:rPr>
          <w:rFonts w:hint="eastAsia" w:ascii="仿宋" w:hAnsi="仿宋" w:eastAsia="仿宋"/>
          <w:spacing w:val="-6"/>
          <w:sz w:val="32"/>
          <w:szCs w:val="32"/>
        </w:rPr>
        <w:t>人员增加，工资及社保基数</w:t>
      </w:r>
      <w:r>
        <w:rPr>
          <w:rFonts w:hint="eastAsia" w:ascii="仿宋" w:hAnsi="仿宋" w:eastAsia="仿宋"/>
          <w:spacing w:val="-6"/>
          <w:sz w:val="32"/>
          <w:szCs w:val="32"/>
          <w:lang w:eastAsia="zh-CN"/>
        </w:rPr>
        <w:t>、指标</w:t>
      </w:r>
      <w:r>
        <w:rPr>
          <w:rFonts w:hint="eastAsia" w:ascii="仿宋" w:hAnsi="仿宋" w:eastAsia="仿宋"/>
          <w:spacing w:val="-6"/>
          <w:sz w:val="32"/>
          <w:szCs w:val="32"/>
        </w:rPr>
        <w:t>调增导致</w:t>
      </w:r>
      <w:r>
        <w:rPr>
          <w:rFonts w:hint="eastAsia" w:ascii="仿宋" w:hAnsi="仿宋" w:eastAsia="仿宋"/>
          <w:spacing w:val="-6"/>
          <w:sz w:val="32"/>
          <w:szCs w:val="32"/>
          <w:lang w:eastAsia="zh-CN"/>
        </w:rPr>
        <w:t>，且本单位一直</w:t>
      </w:r>
      <w:r>
        <w:rPr>
          <w:rFonts w:hint="eastAsia" w:ascii="Times New Roman" w:hAnsi="Times New Roman" w:eastAsia="仿宋_GB2312"/>
          <w:sz w:val="32"/>
          <w:szCs w:val="32"/>
        </w:rPr>
        <w:t>按县财政要求严格落实“过紧日子”精神，压缩工作经费。</w:t>
      </w:r>
    </w:p>
    <w:p>
      <w:pPr>
        <w:pStyle w:val="14"/>
        <w:jc w:val="both"/>
        <w:rPr>
          <w:sz w:val="72"/>
          <w:szCs w:val="72"/>
        </w:rPr>
      </w:pPr>
    </w:p>
    <w:p>
      <w:pPr>
        <w:pStyle w:val="14"/>
        <w:jc w:val="center"/>
        <w:rPr>
          <w:sz w:val="72"/>
          <w:szCs w:val="72"/>
        </w:rPr>
      </w:pPr>
    </w:p>
    <w:p>
      <w:pPr>
        <w:pStyle w:val="14"/>
        <w:jc w:val="center"/>
        <w:rPr>
          <w:sz w:val="72"/>
          <w:szCs w:val="72"/>
        </w:rPr>
      </w:pPr>
    </w:p>
    <w:p>
      <w:pPr>
        <w:pStyle w:val="14"/>
        <w:jc w:val="both"/>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both"/>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keepNext w:val="0"/>
        <w:keepLines w:val="0"/>
        <w:widowControl/>
        <w:numPr>
          <w:ilvl w:val="0"/>
          <w:numId w:val="2"/>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财政拨款收入：指单位本年度从同级财政部门取得的各类财政拨款。 </w:t>
      </w:r>
    </w:p>
    <w:p>
      <w:pPr>
        <w:keepNext w:val="0"/>
        <w:keepLines w:val="0"/>
        <w:widowControl/>
        <w:numPr>
          <w:ilvl w:val="0"/>
          <w:numId w:val="2"/>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 </w:t>
      </w:r>
    </w:p>
    <w:p>
      <w:pPr>
        <w:keepNext w:val="0"/>
        <w:keepLines w:val="0"/>
        <w:widowControl/>
        <w:numPr>
          <w:ilvl w:val="0"/>
          <w:numId w:val="2"/>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事业收入：指事业单位开展专业业务活动及其辅助活动取得的收入，事业单位收到的财政专户实际核拨的教育收费等资金在此反映。</w:t>
      </w:r>
    </w:p>
    <w:p>
      <w:pPr>
        <w:keepNext w:val="0"/>
        <w:keepLines w:val="0"/>
        <w:widowControl/>
        <w:numPr>
          <w:ilvl w:val="0"/>
          <w:numId w:val="2"/>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经营收入：指事业单位在专业业务活动及其辅助活动之外开展非独立核算经营活动取得的收入。</w:t>
      </w:r>
    </w:p>
    <w:p>
      <w:pPr>
        <w:keepNext w:val="0"/>
        <w:keepLines w:val="0"/>
        <w:widowControl/>
        <w:numPr>
          <w:ilvl w:val="0"/>
          <w:numId w:val="2"/>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附属单位上缴收入：指事业单位附属独立核算单位按照有关规定上缴的收入。</w:t>
      </w:r>
    </w:p>
    <w:p>
      <w:pPr>
        <w:keepNext w:val="0"/>
        <w:keepLines w:val="0"/>
        <w:widowControl/>
        <w:numPr>
          <w:ilvl w:val="0"/>
          <w:numId w:val="2"/>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其他收入：指单位取得的除上述“财政拨款收入”、“事业收入”、“经营收入”等以外的各项收入。</w:t>
      </w:r>
    </w:p>
    <w:p>
      <w:pPr>
        <w:keepNext w:val="0"/>
        <w:keepLines w:val="0"/>
        <w:widowControl/>
        <w:numPr>
          <w:ilvl w:val="0"/>
          <w:numId w:val="2"/>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使用非财政拨款结余：指事业单位使用非财政拨款结余（原事业基金）弥补当年收支差额的数额。</w:t>
      </w:r>
    </w:p>
    <w:p>
      <w:pPr>
        <w:keepNext w:val="0"/>
        <w:keepLines w:val="0"/>
        <w:widowControl/>
        <w:numPr>
          <w:ilvl w:val="0"/>
          <w:numId w:val="2"/>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年初结转和结余：指单位上年结转本年使用的基本支出结转、项目支出结转和结余和经营结余。</w:t>
      </w:r>
    </w:p>
    <w:p>
      <w:pPr>
        <w:keepNext w:val="0"/>
        <w:keepLines w:val="0"/>
        <w:widowControl/>
        <w:numPr>
          <w:ilvl w:val="0"/>
          <w:numId w:val="2"/>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结余分配：指事业单位按规定对非财政拨款结余资金提取的专用基金、缴纳的所得税和转入非财政拨款结余等。</w:t>
      </w:r>
    </w:p>
    <w:p>
      <w:pPr>
        <w:keepNext w:val="0"/>
        <w:keepLines w:val="0"/>
        <w:widowControl/>
        <w:numPr>
          <w:ilvl w:val="0"/>
          <w:numId w:val="2"/>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年末结转和结余资金：指本年度或以前年度预算安排、因客观条件发生变化无法按原计划实施，需要延迟到以后年度按有关规定继续使用的资金。 </w:t>
      </w:r>
    </w:p>
    <w:p>
      <w:pPr>
        <w:keepNext w:val="0"/>
        <w:keepLines w:val="0"/>
        <w:widowControl/>
        <w:numPr>
          <w:ilvl w:val="0"/>
          <w:numId w:val="2"/>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基本支出：指为保障机构正常运转、完成日常工作任务而发生的支出，包括人员经费和公用经费。</w:t>
      </w:r>
    </w:p>
    <w:p>
      <w:pPr>
        <w:keepNext w:val="0"/>
        <w:keepLines w:val="0"/>
        <w:widowControl/>
        <w:numPr>
          <w:ilvl w:val="0"/>
          <w:numId w:val="2"/>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项目支出：指在为完成特定的工作任务和事业发展目标所发生的支出。</w:t>
      </w:r>
    </w:p>
    <w:p>
      <w:pPr>
        <w:keepNext w:val="0"/>
        <w:keepLines w:val="0"/>
        <w:widowControl/>
        <w:numPr>
          <w:ilvl w:val="0"/>
          <w:numId w:val="2"/>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上缴上级支出：指事业单位按照财政部门和主管部门的规定上缴上级单位的支出。</w:t>
      </w:r>
    </w:p>
    <w:p>
      <w:pPr>
        <w:keepNext w:val="0"/>
        <w:keepLines w:val="0"/>
        <w:widowControl/>
        <w:numPr>
          <w:ilvl w:val="0"/>
          <w:numId w:val="2"/>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经营支出：指事业单位在专业业务活动及其辅助活动之外开展非独立核算经营活动发生的支出。</w:t>
      </w:r>
    </w:p>
    <w:p>
      <w:pPr>
        <w:keepNext w:val="0"/>
        <w:keepLines w:val="0"/>
        <w:widowControl/>
        <w:numPr>
          <w:ilvl w:val="0"/>
          <w:numId w:val="2"/>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对附属单位补助支出：指事业单位用财政拨款收入之外的收入对附属单位补助发生的支出。</w:t>
      </w:r>
    </w:p>
    <w:p>
      <w:pPr>
        <w:keepNext w:val="0"/>
        <w:keepLines w:val="0"/>
        <w:widowControl/>
        <w:numPr>
          <w:ilvl w:val="0"/>
          <w:numId w:val="2"/>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keepNext w:val="0"/>
        <w:keepLines w:val="0"/>
        <w:widowControl/>
        <w:numPr>
          <w:ilvl w:val="0"/>
          <w:numId w:val="2"/>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上级补助收入：指事业单位从主管部门和上级单位取得的非财政补助收入。</w:t>
      </w:r>
    </w:p>
    <w:p>
      <w:pPr>
        <w:pStyle w:val="14"/>
        <w:jc w:val="center"/>
        <w:rPr>
          <w:sz w:val="72"/>
          <w:szCs w:val="72"/>
        </w:rPr>
      </w:pPr>
    </w:p>
    <w:p>
      <w:pPr>
        <w:pStyle w:val="14"/>
        <w:jc w:val="center"/>
        <w:rPr>
          <w:sz w:val="72"/>
          <w:szCs w:val="72"/>
        </w:rPr>
      </w:pPr>
    </w:p>
    <w:p>
      <w:pPr>
        <w:pStyle w:val="14"/>
        <w:jc w:val="both"/>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4"/>
        <w:jc w:val="center"/>
        <w:rPr>
          <w:rFonts w:hint="eastAsia" w:ascii="方正小标宋_GBK" w:hAnsi="方正小标宋_GBK" w:eastAsia="方正小标宋_GBK" w:cs="方正小标宋_GBK"/>
          <w:sz w:val="70"/>
          <w:szCs w:val="70"/>
        </w:rPr>
      </w:pPr>
    </w:p>
    <w:p>
      <w:pPr>
        <w:pStyle w:val="14"/>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pStyle w:val="14"/>
        <w:jc w:val="center"/>
        <w:rPr>
          <w:rFonts w:hint="eastAsia" w:ascii="方正小标宋_GBK" w:hAnsi="方正小标宋_GBK" w:eastAsia="方正小标宋_GBK" w:cs="方正小标宋_GBK"/>
          <w:sz w:val="70"/>
          <w:szCs w:val="70"/>
          <w:lang w:eastAsia="zh-CN"/>
        </w:rPr>
      </w:pPr>
    </w:p>
    <w:p>
      <w:pPr>
        <w:pStyle w:val="14"/>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2025年度部门(单位)整体支出绩效自评报告。</w:t>
      </w:r>
    </w:p>
    <w:p>
      <w:pPr>
        <w:pStyle w:val="14"/>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pPr>
        <w:pStyle w:val="14"/>
        <w:jc w:val="center"/>
        <w:rPr>
          <w:sz w:val="72"/>
          <w:szCs w:val="72"/>
        </w:rPr>
      </w:pPr>
    </w:p>
    <w:p>
      <w:pPr>
        <w:pStyle w:val="14"/>
        <w:jc w:val="center"/>
        <w:rPr>
          <w:sz w:val="72"/>
          <w:szCs w:val="72"/>
        </w:rPr>
      </w:pPr>
      <w:bookmarkStart w:id="3" w:name="_GoBack"/>
      <w:bookmarkEnd w:id="3"/>
    </w:p>
    <w:p>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0D7392"/>
    <w:multiLevelType w:val="singleLevel"/>
    <w:tmpl w:val="2C0D7392"/>
    <w:lvl w:ilvl="0" w:tentative="0">
      <w:start w:val="1"/>
      <w:numFmt w:val="chineseCounting"/>
      <w:suff w:val="nothing"/>
      <w:lvlText w:val="%1、"/>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4ODY1NTBhOThiNzA2ZjgyYjhjNjFiMWQ3ZDhkN2Q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4C0647"/>
    <w:rsid w:val="00500E5F"/>
    <w:rsid w:val="005122EF"/>
    <w:rsid w:val="0051441A"/>
    <w:rsid w:val="00517C33"/>
    <w:rsid w:val="00517D5F"/>
    <w:rsid w:val="005209DA"/>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311D17"/>
    <w:rsid w:val="02271DE2"/>
    <w:rsid w:val="02D54924"/>
    <w:rsid w:val="02D94EE6"/>
    <w:rsid w:val="030A6CC4"/>
    <w:rsid w:val="06201525"/>
    <w:rsid w:val="06501395"/>
    <w:rsid w:val="0730481F"/>
    <w:rsid w:val="07D21AE9"/>
    <w:rsid w:val="07DD473F"/>
    <w:rsid w:val="086C7AD9"/>
    <w:rsid w:val="08E51639"/>
    <w:rsid w:val="098E19C1"/>
    <w:rsid w:val="0A032BF8"/>
    <w:rsid w:val="0A1B355C"/>
    <w:rsid w:val="0A3554A4"/>
    <w:rsid w:val="0A656ED5"/>
    <w:rsid w:val="0B183F48"/>
    <w:rsid w:val="0B64718D"/>
    <w:rsid w:val="0B743A72"/>
    <w:rsid w:val="0C6D3E1F"/>
    <w:rsid w:val="0CB657C6"/>
    <w:rsid w:val="0DDD17E7"/>
    <w:rsid w:val="0E160C52"/>
    <w:rsid w:val="0E172B0A"/>
    <w:rsid w:val="0E3E1F17"/>
    <w:rsid w:val="0E40374C"/>
    <w:rsid w:val="0E527771"/>
    <w:rsid w:val="0EDF7256"/>
    <w:rsid w:val="0F4743F2"/>
    <w:rsid w:val="0F8A046E"/>
    <w:rsid w:val="0FA20284"/>
    <w:rsid w:val="10320D7D"/>
    <w:rsid w:val="11276C93"/>
    <w:rsid w:val="119B31DD"/>
    <w:rsid w:val="12054560"/>
    <w:rsid w:val="120668A8"/>
    <w:rsid w:val="12326DC2"/>
    <w:rsid w:val="1317051C"/>
    <w:rsid w:val="13ED427B"/>
    <w:rsid w:val="14290F74"/>
    <w:rsid w:val="145F6743"/>
    <w:rsid w:val="148F527B"/>
    <w:rsid w:val="14CF1748"/>
    <w:rsid w:val="165878EE"/>
    <w:rsid w:val="16BE2F2F"/>
    <w:rsid w:val="16C214CD"/>
    <w:rsid w:val="172F68A1"/>
    <w:rsid w:val="176512FA"/>
    <w:rsid w:val="1776002C"/>
    <w:rsid w:val="17B648CC"/>
    <w:rsid w:val="17CC10D0"/>
    <w:rsid w:val="17F30C0D"/>
    <w:rsid w:val="182203F7"/>
    <w:rsid w:val="184758C1"/>
    <w:rsid w:val="185A20CD"/>
    <w:rsid w:val="19706118"/>
    <w:rsid w:val="1A233B6B"/>
    <w:rsid w:val="1BB71D89"/>
    <w:rsid w:val="1BF74B58"/>
    <w:rsid w:val="1CCE090A"/>
    <w:rsid w:val="1D97DEFF"/>
    <w:rsid w:val="1DB23D88"/>
    <w:rsid w:val="1DFF72E5"/>
    <w:rsid w:val="1E4D6B42"/>
    <w:rsid w:val="1EB4768C"/>
    <w:rsid w:val="1EFC6F07"/>
    <w:rsid w:val="1F446C62"/>
    <w:rsid w:val="1F5C3FAB"/>
    <w:rsid w:val="208239E9"/>
    <w:rsid w:val="21191DFD"/>
    <w:rsid w:val="219B6E56"/>
    <w:rsid w:val="21F62C07"/>
    <w:rsid w:val="21FA7AAB"/>
    <w:rsid w:val="221E19EC"/>
    <w:rsid w:val="226D4721"/>
    <w:rsid w:val="227E4223"/>
    <w:rsid w:val="2280774F"/>
    <w:rsid w:val="23103A2A"/>
    <w:rsid w:val="233B3591"/>
    <w:rsid w:val="23ED3D6C"/>
    <w:rsid w:val="24084145"/>
    <w:rsid w:val="24681CC6"/>
    <w:rsid w:val="24A22574"/>
    <w:rsid w:val="25021151"/>
    <w:rsid w:val="25BD32CA"/>
    <w:rsid w:val="26AC4595"/>
    <w:rsid w:val="27873B8F"/>
    <w:rsid w:val="281D682D"/>
    <w:rsid w:val="28350E55"/>
    <w:rsid w:val="286F6005"/>
    <w:rsid w:val="28926C90"/>
    <w:rsid w:val="299F651D"/>
    <w:rsid w:val="2A435C86"/>
    <w:rsid w:val="2A8A2314"/>
    <w:rsid w:val="2AE5579D"/>
    <w:rsid w:val="2B1A46C4"/>
    <w:rsid w:val="2B1B11BE"/>
    <w:rsid w:val="2B5B4CE8"/>
    <w:rsid w:val="2B69017C"/>
    <w:rsid w:val="2BA32F62"/>
    <w:rsid w:val="2C966BDC"/>
    <w:rsid w:val="2D177764"/>
    <w:rsid w:val="2D656721"/>
    <w:rsid w:val="2D9D2F6F"/>
    <w:rsid w:val="2DAD00C8"/>
    <w:rsid w:val="2DBE7403"/>
    <w:rsid w:val="2DC24105"/>
    <w:rsid w:val="2EE401B3"/>
    <w:rsid w:val="2F5B3C3F"/>
    <w:rsid w:val="2F68699C"/>
    <w:rsid w:val="2FDF85B8"/>
    <w:rsid w:val="2FFFEE04"/>
    <w:rsid w:val="30590093"/>
    <w:rsid w:val="30712976"/>
    <w:rsid w:val="30F229C1"/>
    <w:rsid w:val="312608BD"/>
    <w:rsid w:val="323C2C54"/>
    <w:rsid w:val="32BF68D3"/>
    <w:rsid w:val="335C6818"/>
    <w:rsid w:val="34CF3850"/>
    <w:rsid w:val="34D32B0A"/>
    <w:rsid w:val="34DF85B0"/>
    <w:rsid w:val="351658F2"/>
    <w:rsid w:val="3523064E"/>
    <w:rsid w:val="35EF127D"/>
    <w:rsid w:val="35FB2318"/>
    <w:rsid w:val="36730100"/>
    <w:rsid w:val="36C943D3"/>
    <w:rsid w:val="36E52680"/>
    <w:rsid w:val="370C40B1"/>
    <w:rsid w:val="373C2F97"/>
    <w:rsid w:val="37655D1E"/>
    <w:rsid w:val="37C8447C"/>
    <w:rsid w:val="393746E4"/>
    <w:rsid w:val="398E34A3"/>
    <w:rsid w:val="39F41558"/>
    <w:rsid w:val="3A200F27"/>
    <w:rsid w:val="3A3C4DBB"/>
    <w:rsid w:val="3B86267E"/>
    <w:rsid w:val="3B8F36BC"/>
    <w:rsid w:val="3BF20229"/>
    <w:rsid w:val="3C125304"/>
    <w:rsid w:val="3C9E6823"/>
    <w:rsid w:val="3CA90D1B"/>
    <w:rsid w:val="3CF950D8"/>
    <w:rsid w:val="3D2B4A7E"/>
    <w:rsid w:val="3D8A3387"/>
    <w:rsid w:val="3EA94A54"/>
    <w:rsid w:val="3EFC72C4"/>
    <w:rsid w:val="3FC7675D"/>
    <w:rsid w:val="3FCC68C5"/>
    <w:rsid w:val="407D1B7C"/>
    <w:rsid w:val="41AF045B"/>
    <w:rsid w:val="41C373A2"/>
    <w:rsid w:val="41EC673B"/>
    <w:rsid w:val="42073DF3"/>
    <w:rsid w:val="425F073A"/>
    <w:rsid w:val="429A4C67"/>
    <w:rsid w:val="42BD0EDD"/>
    <w:rsid w:val="42E97C81"/>
    <w:rsid w:val="43607C5E"/>
    <w:rsid w:val="436D237B"/>
    <w:rsid w:val="43AD1BA4"/>
    <w:rsid w:val="44246EDE"/>
    <w:rsid w:val="44550E45"/>
    <w:rsid w:val="44FD328B"/>
    <w:rsid w:val="45603F46"/>
    <w:rsid w:val="45A3399D"/>
    <w:rsid w:val="4667382E"/>
    <w:rsid w:val="466A28A1"/>
    <w:rsid w:val="46FB10E8"/>
    <w:rsid w:val="47102059"/>
    <w:rsid w:val="47CC6278"/>
    <w:rsid w:val="47DD5843"/>
    <w:rsid w:val="47E81FD1"/>
    <w:rsid w:val="47EF5C92"/>
    <w:rsid w:val="48C933B3"/>
    <w:rsid w:val="491FF225"/>
    <w:rsid w:val="49A86DB7"/>
    <w:rsid w:val="49ED5FA6"/>
    <w:rsid w:val="4A9A462D"/>
    <w:rsid w:val="4AC174BF"/>
    <w:rsid w:val="4B4C0AC8"/>
    <w:rsid w:val="4B502367"/>
    <w:rsid w:val="4CD01739"/>
    <w:rsid w:val="4CFC5D7C"/>
    <w:rsid w:val="4D034D35"/>
    <w:rsid w:val="4D4759EB"/>
    <w:rsid w:val="4D693BB4"/>
    <w:rsid w:val="4DE06ACF"/>
    <w:rsid w:val="4DED405F"/>
    <w:rsid w:val="4DFD2BED"/>
    <w:rsid w:val="4E281379"/>
    <w:rsid w:val="4E652C5A"/>
    <w:rsid w:val="4F026549"/>
    <w:rsid w:val="4F10078B"/>
    <w:rsid w:val="4F3B1580"/>
    <w:rsid w:val="4FC4743C"/>
    <w:rsid w:val="4FFD214C"/>
    <w:rsid w:val="51045DEB"/>
    <w:rsid w:val="5108791C"/>
    <w:rsid w:val="51D80832"/>
    <w:rsid w:val="51F021AD"/>
    <w:rsid w:val="520B2131"/>
    <w:rsid w:val="52591950"/>
    <w:rsid w:val="52C13B4A"/>
    <w:rsid w:val="53910CF7"/>
    <w:rsid w:val="54B224A2"/>
    <w:rsid w:val="55FB7373"/>
    <w:rsid w:val="561C5C67"/>
    <w:rsid w:val="56AA39FE"/>
    <w:rsid w:val="56ED054A"/>
    <w:rsid w:val="570704D1"/>
    <w:rsid w:val="57090274"/>
    <w:rsid w:val="5723139B"/>
    <w:rsid w:val="57723A3A"/>
    <w:rsid w:val="5777D4F5"/>
    <w:rsid w:val="57D047C1"/>
    <w:rsid w:val="58474AF1"/>
    <w:rsid w:val="588E44CE"/>
    <w:rsid w:val="589A2E73"/>
    <w:rsid w:val="58A34CED"/>
    <w:rsid w:val="59725B9E"/>
    <w:rsid w:val="59DD8326"/>
    <w:rsid w:val="5A0C7797"/>
    <w:rsid w:val="5A601E9A"/>
    <w:rsid w:val="5B2335F4"/>
    <w:rsid w:val="5B4B48F9"/>
    <w:rsid w:val="5C686C48"/>
    <w:rsid w:val="5C994057"/>
    <w:rsid w:val="5D273B92"/>
    <w:rsid w:val="5D361A87"/>
    <w:rsid w:val="5DEF592A"/>
    <w:rsid w:val="5E0314BA"/>
    <w:rsid w:val="5F4E49B7"/>
    <w:rsid w:val="5FC6BB1E"/>
    <w:rsid w:val="5FEF0F4D"/>
    <w:rsid w:val="5FF720F1"/>
    <w:rsid w:val="60025ECE"/>
    <w:rsid w:val="60B34B89"/>
    <w:rsid w:val="60BA62E4"/>
    <w:rsid w:val="60E14D84"/>
    <w:rsid w:val="61023CAB"/>
    <w:rsid w:val="612C0D28"/>
    <w:rsid w:val="6142054C"/>
    <w:rsid w:val="624B51DE"/>
    <w:rsid w:val="625441ED"/>
    <w:rsid w:val="62AA63A9"/>
    <w:rsid w:val="630E143D"/>
    <w:rsid w:val="63401D75"/>
    <w:rsid w:val="63723013"/>
    <w:rsid w:val="638E5CCA"/>
    <w:rsid w:val="63F0428F"/>
    <w:rsid w:val="64752BA5"/>
    <w:rsid w:val="6486074F"/>
    <w:rsid w:val="64EE7A35"/>
    <w:rsid w:val="6592093E"/>
    <w:rsid w:val="66C04753"/>
    <w:rsid w:val="66F56971"/>
    <w:rsid w:val="67010561"/>
    <w:rsid w:val="67112E9A"/>
    <w:rsid w:val="67FF5C0B"/>
    <w:rsid w:val="687F3E33"/>
    <w:rsid w:val="69817394"/>
    <w:rsid w:val="699839DC"/>
    <w:rsid w:val="6A9736B6"/>
    <w:rsid w:val="6AF97ECD"/>
    <w:rsid w:val="6AFB6341"/>
    <w:rsid w:val="6B47707F"/>
    <w:rsid w:val="6B8D6C1E"/>
    <w:rsid w:val="6CFA6091"/>
    <w:rsid w:val="6D48513C"/>
    <w:rsid w:val="6D57537F"/>
    <w:rsid w:val="6D8D361D"/>
    <w:rsid w:val="6DE309C1"/>
    <w:rsid w:val="6DF018E1"/>
    <w:rsid w:val="6E0778BA"/>
    <w:rsid w:val="6EFC0924"/>
    <w:rsid w:val="6F870E90"/>
    <w:rsid w:val="6FB74722"/>
    <w:rsid w:val="6FEF8B7E"/>
    <w:rsid w:val="70425E72"/>
    <w:rsid w:val="705D2CAC"/>
    <w:rsid w:val="70765B1C"/>
    <w:rsid w:val="71687B5B"/>
    <w:rsid w:val="7177474E"/>
    <w:rsid w:val="717958C4"/>
    <w:rsid w:val="71A6591B"/>
    <w:rsid w:val="71DB657E"/>
    <w:rsid w:val="720535FB"/>
    <w:rsid w:val="72F15C0C"/>
    <w:rsid w:val="73465C7A"/>
    <w:rsid w:val="735407A1"/>
    <w:rsid w:val="737D59BA"/>
    <w:rsid w:val="73D70FC8"/>
    <w:rsid w:val="74541AEA"/>
    <w:rsid w:val="74D33A25"/>
    <w:rsid w:val="75345843"/>
    <w:rsid w:val="75556648"/>
    <w:rsid w:val="75862CA5"/>
    <w:rsid w:val="76085468"/>
    <w:rsid w:val="761326D2"/>
    <w:rsid w:val="76810114"/>
    <w:rsid w:val="76DB2B7D"/>
    <w:rsid w:val="770727E7"/>
    <w:rsid w:val="77C37683"/>
    <w:rsid w:val="77CA11BC"/>
    <w:rsid w:val="77FB0FEB"/>
    <w:rsid w:val="789658B9"/>
    <w:rsid w:val="78FB12B4"/>
    <w:rsid w:val="78FD6EBE"/>
    <w:rsid w:val="79941C61"/>
    <w:rsid w:val="79FF515B"/>
    <w:rsid w:val="7A22231A"/>
    <w:rsid w:val="7A813A3B"/>
    <w:rsid w:val="7B7B048A"/>
    <w:rsid w:val="7BA25401"/>
    <w:rsid w:val="7C9061B7"/>
    <w:rsid w:val="7CDC13FD"/>
    <w:rsid w:val="7D410660"/>
    <w:rsid w:val="7D4517FA"/>
    <w:rsid w:val="7DDD4202"/>
    <w:rsid w:val="7E7F64E4"/>
    <w:rsid w:val="7E9E1962"/>
    <w:rsid w:val="7E9F11B4"/>
    <w:rsid w:val="7EC62364"/>
    <w:rsid w:val="7EFE4EB9"/>
    <w:rsid w:val="7F076C05"/>
    <w:rsid w:val="7F1D01D6"/>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widowControl/>
      <w:spacing w:before="100" w:beforeAutospacing="1" w:after="100" w:afterAutospacing="1"/>
      <w:jc w:val="left"/>
    </w:pPr>
    <w:rPr>
      <w:rFonts w:ascii="宋体" w:hAnsi="宋体" w:cs="宋体"/>
      <w:kern w:val="0"/>
      <w:sz w:val="24"/>
    </w:rPr>
  </w:style>
  <w:style w:type="paragraph" w:styleId="3">
    <w:name w:val="Body Text First Indent"/>
    <w:basedOn w:val="2"/>
    <w:qFormat/>
    <w:uiPriority w:val="0"/>
    <w:pPr>
      <w:ind w:firstLine="100" w:firstLineChars="10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paragraph" w:customStyle="1" w:styleId="20">
    <w:name w:val="BodyText"/>
    <w:basedOn w:val="1"/>
    <w:qFormat/>
    <w:uiPriority w:val="0"/>
    <w:pPr>
      <w:spacing w:after="120"/>
    </w:pPr>
  </w:style>
  <w:style w:type="paragraph" w:customStyle="1" w:styleId="21">
    <w:name w:val="样式2"/>
    <w:qFormat/>
    <w:uiPriority w:val="0"/>
    <w:pPr>
      <w:shd w:val="clear" w:color="auto" w:fill="FFFFFF"/>
      <w:spacing w:before="100" w:beforeAutospacing="1" w:after="100" w:afterAutospacing="1"/>
      <w:ind w:left="562"/>
      <w:jc w:val="center"/>
    </w:pPr>
    <w:rPr>
      <w:rFonts w:ascii="宋体" w:hAnsi="宋体" w:eastAsia="宋体" w:cs="Times New Roman"/>
      <w:b/>
      <w:bCs/>
      <w:kern w:val="2"/>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2171</Words>
  <Characters>2512</Characters>
  <Lines>63</Lines>
  <Paragraphs>18</Paragraphs>
  <TotalTime>2</TotalTime>
  <ScaleCrop>false</ScaleCrop>
  <LinksUpToDate>false</LinksUpToDate>
  <CharactersWithSpaces>2817</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蒋琼</cp:lastModifiedBy>
  <cp:lastPrinted>2024-08-08T10:20:00Z</cp:lastPrinted>
  <dcterms:modified xsi:type="dcterms:W3CDTF">2026-09-15T08:03:10Z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4614E527DDC3447688902339FB4025AB_12</vt:lpwstr>
  </property>
  <property fmtid="{D5CDD505-2E9C-101B-9397-08002B2CF9AE}" pid="4" name="KSOTemplateDocerSaveRecord">
    <vt:lpwstr>eyJoZGlkIjoiN2ZlNDVlNWVhM2VhZTE4MzNkNDQ5Njc0NTViMzczY2UifQ==</vt:lpwstr>
  </property>
</Properties>
</file>