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9BC929">
      <w:pPr>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2025年道县工商业联合会部门整体支出绩效自评报告</w:t>
      </w:r>
    </w:p>
    <w:p w14:paraId="31CD3C5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一、基本情况</w:t>
      </w:r>
    </w:p>
    <w:p w14:paraId="1FCEB40F">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（一）部门（单位）基本情况</w:t>
      </w:r>
    </w:p>
    <w:p w14:paraId="08CCF88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1.职能职责</w:t>
      </w:r>
      <w:bookmarkStart w:id="0" w:name="_GoBack"/>
      <w:bookmarkEnd w:id="0"/>
    </w:p>
    <w:p w14:paraId="37DB505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①加强和改进非公有制经济人士思想政治工作；②参与政治协商，发挥民主监督作用，积极参政议政；③协助政府管理和服务非公有制经济；④促进行业协会商会改革发展；⑤参与协调劳动关系，协同社会管理，促进社会和谐稳定；⑥反映非公有制企业和非公有制经济人士利益诉求，维护其合法权益，参与经济纠纷的调解、仲裁；⑦依法加强会产管理和保护。</w:t>
      </w:r>
    </w:p>
    <w:p w14:paraId="06A3870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638" w:leftChars="304"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sz w:val="32"/>
          <w:szCs w:val="32"/>
          <w:lang w:val="en-US" w:eastAsia="zh-CN"/>
        </w:rPr>
        <w:t>机构设置</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本单位设1个内部机构：办公室。</w:t>
      </w:r>
    </w:p>
    <w:p w14:paraId="52072CF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638" w:leftChars="304" w:firstLine="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3.决算单位构成。</w:t>
      </w:r>
      <w:r>
        <w:rPr>
          <w:rFonts w:hint="eastAsia" w:ascii="仿宋_GB2312" w:hAnsi="仿宋_GB2312" w:eastAsia="仿宋_GB2312" w:cs="仿宋_GB2312"/>
          <w:sz w:val="32"/>
          <w:szCs w:val="32"/>
          <w:lang w:val="en-US" w:eastAsia="zh-CN"/>
        </w:rPr>
        <w:br w:type="textWrapping"/>
      </w:r>
      <w:r>
        <w:rPr>
          <w:rFonts w:hint="eastAsia" w:ascii="仿宋_GB2312" w:hAnsi="仿宋_GB2312" w:eastAsia="仿宋_GB2312" w:cs="仿宋_GB2312"/>
          <w:sz w:val="32"/>
          <w:szCs w:val="32"/>
          <w:lang w:val="en-US" w:eastAsia="zh-CN"/>
        </w:rPr>
        <w:t>道县工商业联合会2025年部门决算汇总公开单位构成包括：</w:t>
      </w:r>
    </w:p>
    <w:p w14:paraId="6C2E4A40">
      <w:pPr>
        <w:keepNext w:val="0"/>
        <w:keepLines w:val="0"/>
        <w:pageBreakBefore w:val="0"/>
        <w:widowControl w:val="0"/>
        <w:numPr>
          <w:ilvl w:val="0"/>
          <w:numId w:val="0"/>
        </w:numPr>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部门单位本级。</w:t>
      </w:r>
    </w:p>
    <w:p w14:paraId="102342AB">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（二）部门（单位）年度整体支出绩效目标</w:t>
      </w:r>
    </w:p>
    <w:p w14:paraId="6D1F5FB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1.学习宣传贯彻党的二十大精神，深化思想政治引领。</w:t>
      </w:r>
    </w:p>
    <w:p w14:paraId="6C2A644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2.加大形势政策教育力度，帮助民营经济人士增强发展信心。以“听党话 感党恩 跟党走”和“诚信守法”为重点，深化民营经济人士理想信念教育，突出对年轻一代民营经济人士的教育引导，促进廉洁从业，强化行业自律。</w:t>
      </w:r>
    </w:p>
    <w:p w14:paraId="482A002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3.压实意识形态工作责任，加强网络舆情预警和监测，及时处置负面舆情，营造民营经济人士安心谋发展的良好氛围。</w:t>
      </w:r>
    </w:p>
    <w:p w14:paraId="4ABF934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4.坚持与县委统战部共同做好民营经济代表人士谈心交友工作，实现政企沟通常态化。</w:t>
      </w:r>
    </w:p>
    <w:p w14:paraId="1A78E04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5.组织民营经济人士赴红色革命教育基地开展红色文化教育，坚定理想信念。</w:t>
      </w:r>
    </w:p>
    <w:p w14:paraId="2E82039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二、一般公共预算支出情况</w:t>
      </w:r>
    </w:p>
    <w:p w14:paraId="23072BD1">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（一）基本支出情况</w:t>
      </w:r>
    </w:p>
    <w:p w14:paraId="5EF737F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2025年度财政拨款基本支出88.88万元，其中：人员经费58.30万元，占基本支出的65.59%，主要包括基本工资、津贴补贴、奖金、机关事业单位基本养老保险费、职工基本医疗保险缴费、其他社会保障缴费、其他工资福利支出；公用经费30.58万元，占基本支出的34.41%，主要包括办公费、印刷费、水费、电费、邮电费、差旅费、会议费、培训费、公务接待费、专用材料费、工会经费、福利费、其他交通费用、其他商品和服务支出。</w:t>
      </w:r>
    </w:p>
    <w:p w14:paraId="53AD77F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三、政府性基金预算支出情况</w:t>
      </w:r>
    </w:p>
    <w:p w14:paraId="607439E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2025年度本单位无政府性基金收支。</w:t>
      </w:r>
    </w:p>
    <w:p w14:paraId="5DBE11C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四、国有资本经营预算支出情况</w:t>
      </w:r>
    </w:p>
    <w:p w14:paraId="6B92506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2025年度本单位无国有资本经营预算收支。</w:t>
      </w:r>
    </w:p>
    <w:p w14:paraId="65AB26F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五、社会保险基金预算支出情况</w:t>
      </w:r>
    </w:p>
    <w:p w14:paraId="09D3785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2025年度本单位无社会保险基金预算支出。</w:t>
      </w:r>
    </w:p>
    <w:p w14:paraId="6B5ED27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六、部门整体支出绩效情况</w:t>
      </w:r>
    </w:p>
    <w:p w14:paraId="6C12E650">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（一）凝心铸魂强引领，筑牢民营经济思想根基</w:t>
      </w:r>
    </w:p>
    <w:p w14:paraId="2DCDCF06">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1.深</w:t>
      </w:r>
      <w:r>
        <w:rPr>
          <w:rFonts w:hint="eastAsia" w:ascii="仿宋_GB2312" w:hAnsi="仿宋_GB2312" w:eastAsia="仿宋_GB2312" w:cs="仿宋_GB2312"/>
          <w:b/>
          <w:bCs/>
          <w:sz w:val="32"/>
          <w:szCs w:val="32"/>
          <w:lang w:eastAsia="zh-CN"/>
        </w:rPr>
        <w:t>化政治教育，把准思想方向</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val="0"/>
          <w:bCs w:val="0"/>
          <w:sz w:val="32"/>
          <w:szCs w:val="32"/>
          <w:lang w:val="en-US" w:eastAsia="zh-CN"/>
        </w:rPr>
        <w:t>始终把</w:t>
      </w:r>
      <w:r>
        <w:rPr>
          <w:rFonts w:hint="eastAsia" w:ascii="仿宋_GB2312" w:hAnsi="仿宋_GB2312" w:eastAsia="仿宋_GB2312" w:cs="仿宋_GB2312"/>
          <w:sz w:val="32"/>
          <w:szCs w:val="32"/>
          <w:lang w:val="en-US" w:eastAsia="zh-CN"/>
        </w:rPr>
        <w:t>学习宣传贯彻党的二十大精神和二十届历次全会精神作为首要政治任务，把党的创新理论、习近平总书记考察湖南重要讲话精神、在民营企业座谈会上重要讲话精神以及关于工商联工作和民营经济发展的重要论述精神，融入贯穿于工商联系统的教育、培训、会议、调研等各项工作中，累计组织全体干部职工、民营经济代表人士、基层商会党支部开展宣讲、集体学习、座谈12场次，引导广大民营经济人士在政治立场、政治方向、政治原则、政治道路上同党中央保持高度一致，始终做政治上的明白人，正确理解和真诚拥护党的理论和路线方针政策，深刻领悟“两个确立”的决定性意义，增强“四个意识”、坚定“四个自信”、做到“两个维护”。</w:t>
      </w:r>
    </w:p>
    <w:p w14:paraId="32B9AE1E">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2.铸牢理想信念，凝聚发展共识。</w:t>
      </w:r>
      <w:r>
        <w:rPr>
          <w:rFonts w:hint="eastAsia" w:ascii="仿宋_GB2312" w:hAnsi="仿宋_GB2312" w:eastAsia="仿宋_GB2312" w:cs="仿宋_GB2312"/>
          <w:sz w:val="32"/>
          <w:szCs w:val="32"/>
          <w:lang w:val="en-US" w:eastAsia="zh-CN"/>
        </w:rPr>
        <w:t>组织工商联执委90名参加以“大显身手 正当其时”为主题的理想信念教育培训班，深入解读民营企业座谈会及全国两会精神，助力执委明晰政策导向、把握发展机遇。推选10名非公经济代表人士参与由统战部组织开展的2025年暑期集中谈心活动，通过面对面交流，精准掌握民营经济人士思想动态、企业发展难题及对道县营商环境的意见建议，进一步增进政企互信、凝聚发展共识，坚定民营企业家扎根道县、干事创业的信心。</w:t>
      </w:r>
    </w:p>
    <w:p w14:paraId="4CBA03FF">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bCs/>
          <w:sz w:val="32"/>
          <w:szCs w:val="32"/>
          <w:lang w:val="en-US" w:eastAsia="zh-CN"/>
        </w:rPr>
        <w:t>3.突出党建引领，夯实组织基础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lang w:eastAsia="zh-CN"/>
        </w:rPr>
        <w:t>扎实推进基层商会党建工作，组织寿雁镇商会、农民生态种植行业商会等5个基层商会党支部完成2024年度党建工作述职评议，推动党建责任落实；积极开展商会党建“大比武”活动，通过互学互鉴、比学赶超，提升基层商会党建工作质量。同步推进“四好商会”创建，重点指导寿雁镇商会、祥霖铺镇商会等商会完善组织架构、优化服务功能，树立商会建设标杆。充分发挥商会党组织“领航”作用，向5个商会党支部下派专职党员干部担任党建指导员，探索建立工商联党组织领导和管理所属商会党建工作的长效机制，推动乡镇商会在参与基层治理、服务“两个健康”中发挥更大作用。</w:t>
      </w:r>
    </w:p>
    <w:p w14:paraId="463FFB94">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（二）招商引资助发展，激活县域经济增长动能</w:t>
      </w:r>
    </w:p>
    <w:p w14:paraId="48A2EA39">
      <w:pPr>
        <w:keepNext w:val="0"/>
        <w:keepLines w:val="0"/>
        <w:pageBreakBefore w:val="0"/>
        <w:widowControl w:val="0"/>
        <w:tabs>
          <w:tab w:val="left" w:pos="1267"/>
        </w:tabs>
        <w:kinsoku/>
        <w:wordWrap/>
        <w:overflowPunct/>
        <w:topLinePunct w:val="0"/>
        <w:autoSpaceDE/>
        <w:autoSpaceDN/>
        <w:bidi w:val="0"/>
        <w:adjustRightInd w:val="0"/>
        <w:snapToGrid w:val="0"/>
        <w:spacing w:line="600" w:lineRule="exact"/>
        <w:ind w:firstLine="643"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推动“湘商回归”，抓实招商引资。</w:t>
      </w:r>
      <w:r>
        <w:rPr>
          <w:rFonts w:hint="eastAsia" w:ascii="仿宋_GB2312" w:hAnsi="仿宋_GB2312" w:eastAsia="仿宋_GB2312" w:cs="仿宋_GB2312"/>
          <w:b w:val="0"/>
          <w:bCs w:val="0"/>
          <w:sz w:val="32"/>
          <w:szCs w:val="32"/>
          <w:lang w:val="en-US" w:eastAsia="zh-CN"/>
        </w:rPr>
        <w:t>以“湘商回归”为重要抓手，全力推动招商引资工作提质增效。充分利用春节、端午、国庆等节假日“返乡潮”契机，以及道县龙舟赛等大型特色活动平台，联合县商务局、高新区等部门，主动对接广东省湖南道县商会、惠州市道县商会等11家异地道县商会，邀请120余名商会会长及会员返乡参与“迎老乡 回故乡 建家乡”“情暖湘商”等系列座谈活动16场次。同时，积极配合县领导及相关单位赴南宁、海口、北京、广东等地开展“湘商回归”招商对接活动10余次，精准推介道县区位优势、产业基础和招商政策。今年以来，共签约项目27个，项目质量与资金规模实现同步提升。其中，投资5000万元以上项目24个，完成市级年度任务的100%；投资5亿元以上项目2个，湘商回归新注册企业7个。</w:t>
      </w:r>
    </w:p>
    <w:p w14:paraId="0B63ECB4">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（三）暖心护航优服务，助力民营企业稳健发展</w:t>
      </w:r>
    </w:p>
    <w:p w14:paraId="5F96A43A">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1.搭建协作平台，强化法律保障。</w:t>
      </w:r>
      <w:r>
        <w:rPr>
          <w:rFonts w:hint="eastAsia" w:ascii="仿宋_GB2312" w:hAnsi="仿宋_GB2312" w:eastAsia="仿宋_GB2312" w:cs="仿宋_GB2312"/>
          <w:b w:val="0"/>
          <w:bCs w:val="0"/>
          <w:sz w:val="32"/>
          <w:szCs w:val="32"/>
          <w:lang w:val="en-US" w:eastAsia="zh-CN"/>
        </w:rPr>
        <w:t>着力打造“工商联+政法部门”法律服务品牌。道县工商联（总商会）先后与法院、司法、检察院等部门联合出台合作意见与工作机制，通过整合法律服务资源、共享涉企信息、明确职责流程，为基层涉企纠纷调解提供全面组织保障。结合“4・15 国家安全教育日”“科技宣传周”“质量月”等节点，联合县委统战部、司法局、检察院等部门，深入企业、商会开展普法宣讲、法治体检、检察护企座谈等活动10场次，发放涉企法律知识手册5100余册，有效提升企业员工法律意识，营造“学法、尊法、守法、用法”的良好法治环境。在矛盾纠纷化解方面，坚持以调前讲法、调中明法、调后析法等全过程链条式服务，协同法院成功化解中国农业银行股份有限公司道县支行、道县经房物业服务有限公司等金融借款、涉企物业、厂地等方面的矛盾纠纷案件57起，调解成功率100%，切实为企业发展扫清法律障碍。</w:t>
      </w:r>
    </w:p>
    <w:p w14:paraId="4AAC9781">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2.优化营商环境，破解企业难题。一是</w:t>
      </w:r>
      <w:r>
        <w:rPr>
          <w:rFonts w:hint="eastAsia" w:ascii="仿宋_GB2312" w:hAnsi="仿宋_GB2312" w:eastAsia="仿宋_GB2312" w:cs="仿宋_GB2312"/>
          <w:b w:val="0"/>
          <w:bCs w:val="0"/>
          <w:sz w:val="32"/>
          <w:szCs w:val="32"/>
          <w:lang w:val="en-US" w:eastAsia="zh-CN"/>
        </w:rPr>
        <w:t>常态化深入开展</w:t>
      </w:r>
      <w:r>
        <w:rPr>
          <w:rFonts w:hint="eastAsia" w:ascii="仿宋_GB2312" w:hAnsi="仿宋_GB2312" w:eastAsia="仿宋_GB2312" w:cs="仿宋_GB2312"/>
          <w:i w:val="0"/>
          <w:iCs w:val="0"/>
          <w:caps w:val="0"/>
          <w:color w:val="auto"/>
          <w:spacing w:val="0"/>
          <w:sz w:val="32"/>
          <w:szCs w:val="32"/>
          <w:shd w:val="clear" w:fill="FFFFFF"/>
          <w:lang w:val="en-US" w:eastAsia="zh-CN"/>
        </w:rPr>
        <w:t>“大走访 大调研 大服务”</w:t>
      </w:r>
      <w:r>
        <w:rPr>
          <w:rFonts w:hint="eastAsia" w:ascii="仿宋_GB2312" w:hAnsi="仿宋_GB2312" w:eastAsia="仿宋_GB2312" w:cs="仿宋_GB2312"/>
          <w:b w:val="0"/>
          <w:bCs w:val="0"/>
          <w:color w:val="auto"/>
          <w:sz w:val="32"/>
          <w:szCs w:val="32"/>
          <w:lang w:val="en-US" w:eastAsia="zh-CN"/>
        </w:rPr>
        <w:t>“百企大走访，同心促发展”“情暖湘商”等活动，推动“走找想促”“三送三解三优”工作。重点走访湖南雁晟农业科技有限公司、湖南日臻服饰有限公司等69家执委企业，并</w:t>
      </w:r>
      <w:r>
        <w:rPr>
          <w:rFonts w:hint="eastAsia" w:ascii="仿宋_GB2312" w:hAnsi="仿宋_GB2312" w:eastAsia="仿宋_GB2312" w:cs="仿宋_GB2312"/>
          <w:color w:val="auto"/>
          <w:sz w:val="32"/>
          <w:szCs w:val="32"/>
          <w:lang w:val="en-US" w:eastAsia="zh-CN"/>
        </w:rPr>
        <w:t>组织深入学习贯彻</w:t>
      </w:r>
      <w:r>
        <w:rPr>
          <w:rFonts w:hint="eastAsia" w:ascii="仿宋_GB2312" w:hAnsi="仿宋_GB2312" w:eastAsia="仿宋_GB2312" w:cs="仿宋_GB2312"/>
          <w:color w:val="auto"/>
          <w:sz w:val="32"/>
          <w:szCs w:val="32"/>
        </w:rPr>
        <w:t>习近平总书记考察湖南重要讲话和指示精神</w:t>
      </w:r>
      <w:r>
        <w:rPr>
          <w:rFonts w:hint="eastAsia" w:ascii="仿宋_GB2312" w:hAnsi="仿宋_GB2312" w:eastAsia="仿宋_GB2312" w:cs="仿宋_GB2312"/>
          <w:color w:val="auto"/>
          <w:sz w:val="32"/>
          <w:szCs w:val="32"/>
          <w:lang w:eastAsia="zh-CN"/>
        </w:rPr>
        <w:t>，宣传</w:t>
      </w:r>
      <w:r>
        <w:rPr>
          <w:rFonts w:hint="eastAsia" w:ascii="仿宋_GB2312" w:hAnsi="仿宋_GB2312" w:eastAsia="仿宋_GB2312" w:cs="仿宋_GB2312"/>
          <w:color w:val="auto"/>
          <w:sz w:val="32"/>
          <w:szCs w:val="32"/>
          <w:lang w:val="en-US" w:eastAsia="zh-CN"/>
        </w:rPr>
        <w:t>相关惠企政策文件精神</w:t>
      </w:r>
      <w:r>
        <w:rPr>
          <w:rFonts w:hint="eastAsia" w:ascii="仿宋_GB2312" w:hAnsi="仿宋_GB2312" w:eastAsia="仿宋_GB2312" w:cs="仿宋_GB2312"/>
          <w:b w:val="0"/>
          <w:bCs w:val="0"/>
          <w:color w:val="auto"/>
          <w:sz w:val="32"/>
          <w:szCs w:val="32"/>
          <w:lang w:val="en-US" w:eastAsia="zh-CN"/>
        </w:rPr>
        <w:t>，通过进企业、看厂房、座谈等方式，了解企业发展情况以及困难建议，累计帮助协调解决原材料供应、物流运输、用工需求等问题32个；</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color w:val="auto"/>
          <w:sz w:val="32"/>
          <w:szCs w:val="32"/>
        </w:rPr>
        <w:t>联合金融机构开展“金融服务进企业”行动，有针对性定制信贷支持、</w:t>
      </w:r>
      <w:r>
        <w:rPr>
          <w:rFonts w:hint="eastAsia" w:ascii="仿宋_GB2312" w:hAnsi="仿宋_GB2312" w:eastAsia="仿宋_GB2312" w:cs="仿宋_GB2312"/>
          <w:b w:val="0"/>
          <w:bCs w:val="0"/>
          <w:sz w:val="32"/>
          <w:szCs w:val="32"/>
        </w:rPr>
        <w:t>特色产品等金融服务，切实解决企业融</w:t>
      </w:r>
      <w:r>
        <w:rPr>
          <w:rFonts w:hint="eastAsia" w:ascii="仿宋_GB2312" w:hAnsi="仿宋_GB2312" w:eastAsia="仿宋_GB2312" w:cs="仿宋_GB2312"/>
          <w:b w:val="0"/>
          <w:bCs w:val="0"/>
          <w:sz w:val="32"/>
          <w:szCs w:val="32"/>
          <w:lang w:val="en-US" w:eastAsia="zh-CN"/>
        </w:rPr>
        <w:t>资</w:t>
      </w:r>
      <w:r>
        <w:rPr>
          <w:rFonts w:hint="eastAsia" w:ascii="仿宋_GB2312" w:hAnsi="仿宋_GB2312" w:eastAsia="仿宋_GB2312" w:cs="仿宋_GB2312"/>
          <w:b w:val="0"/>
          <w:bCs w:val="0"/>
          <w:sz w:val="32"/>
          <w:szCs w:val="32"/>
        </w:rPr>
        <w:t>问题</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充分发挥</w:t>
      </w:r>
      <w:r>
        <w:rPr>
          <w:rFonts w:hint="eastAsia" w:ascii="仿宋_GB2312" w:hAnsi="仿宋_GB2312" w:eastAsia="仿宋_GB2312" w:cs="仿宋_GB2312"/>
          <w:b w:val="0"/>
          <w:bCs w:val="0"/>
          <w:sz w:val="32"/>
          <w:szCs w:val="32"/>
        </w:rPr>
        <w:t>企业</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银行</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政府</w:t>
      </w:r>
      <w:r>
        <w:rPr>
          <w:rFonts w:hint="eastAsia" w:ascii="仿宋_GB2312" w:hAnsi="仿宋_GB2312" w:eastAsia="仿宋_GB2312" w:cs="仿宋_GB2312"/>
          <w:b w:val="0"/>
          <w:bCs w:val="0"/>
          <w:sz w:val="32"/>
          <w:szCs w:val="32"/>
          <w:lang w:val="en-US" w:eastAsia="zh-CN"/>
        </w:rPr>
        <w:t>三方的桥梁纽带作用</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组织长沙银行、农业银行等多家银行与工商联会员企业、商协会会员企业开展金融服务座谈会，对接企业融资需求</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lang w:val="en-US" w:eastAsia="zh-CN"/>
        </w:rPr>
        <w:t>目前已助力金融办联合相关银行机构授信23个项目，放款达8582万元。</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多次组织相关职能部门与民营企业召开“政企同行、共促发展”优化营商环境座谈会，直面企业诉求，推动解决政策兑现、行政审批等领域堵点问题，持续优化道县民营经济发展环境。</w:t>
      </w:r>
    </w:p>
    <w:p w14:paraId="60073012">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3.选树企业典型，提振发展信心。</w:t>
      </w:r>
      <w:r>
        <w:rPr>
          <w:rFonts w:hint="eastAsia" w:ascii="仿宋_GB2312" w:hAnsi="仿宋_GB2312" w:eastAsia="仿宋_GB2312" w:cs="仿宋_GB2312"/>
          <w:b w:val="0"/>
          <w:bCs w:val="0"/>
          <w:sz w:val="32"/>
          <w:szCs w:val="32"/>
          <w:lang w:val="en-US" w:eastAsia="zh-CN"/>
        </w:rPr>
        <w:t>联合县高新区、统计局等单位，积极推荐优质民营企业参评各级荣誉，提升道县民营企业知名度与影响力。其中，道县晶凯科技有限公司成功入选“2024年永州民营企业营业收入30强”，排名位居全市第五；道滋味农副产品贸易有限公司董事长张智玲获评湖南省“万企兴万村”行动优秀案例--“乡村好物农星人”，该公司还被推荐申报“2025中国民营企业社会责任优秀案例”。通过典型引路，充分发挥优秀企业的示范带动作用，进一步提振全县民营企业发展信心。</w:t>
      </w:r>
    </w:p>
    <w:p w14:paraId="038815A7">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（四）践行责任显担当，积极投身公益事业</w:t>
      </w:r>
    </w:p>
    <w:p w14:paraId="0094CDFF">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1.深化“万企兴万村”行动，助力乡村振兴。</w:t>
      </w:r>
      <w:r>
        <w:rPr>
          <w:rFonts w:hint="eastAsia" w:ascii="仿宋_GB2312" w:hAnsi="仿宋_GB2312" w:eastAsia="仿宋_GB2312" w:cs="仿宋_GB2312"/>
          <w:b w:val="0"/>
          <w:bCs w:val="0"/>
          <w:sz w:val="32"/>
          <w:szCs w:val="32"/>
          <w:lang w:val="en-US" w:eastAsia="zh-CN"/>
        </w:rPr>
        <w:t>围绕乡村振兴战略实施，组织45家民营企业与59个村（社区）建立结对帮扶关系，通过产业帮扶、就业帮扶、公益帮扶、技能帮扶等多元化方式，推动乡村产业发展、农民增收致富。聚焦“品牌打造、技术赋能、人文助力”三大方向，培育形成一批特色帮扶项目：道县库区脐橙高标准产业示范园建设项目推动脐橙产业规模化、标准化发展；湖南正禾农场万亩供港蔬菜基地带动周边农户就业500余人；道滋味公益助农志愿服务项目通过“线上直播+线下展销”模式，帮助农户销售农产品超千万元。上述3个项目均被永州市工商联认定为永州市“万企兴万村”行动示范项目。</w:t>
      </w:r>
    </w:p>
    <w:p w14:paraId="68579768">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2.开展春节慰问，传递温暖关怀。</w:t>
      </w:r>
      <w:r>
        <w:rPr>
          <w:rFonts w:hint="eastAsia" w:ascii="仿宋_GB2312" w:hAnsi="仿宋_GB2312" w:eastAsia="仿宋_GB2312" w:cs="仿宋_GB2312"/>
          <w:sz w:val="32"/>
          <w:szCs w:val="32"/>
          <w:lang w:val="en-US" w:eastAsia="zh-CN"/>
        </w:rPr>
        <w:t>县工商联组织民营经济代表人士一起走访乡村振兴结对村、结对户，充分发挥“联”字优势，重点</w:t>
      </w:r>
      <w:r>
        <w:rPr>
          <w:rFonts w:hint="eastAsia" w:ascii="仿宋_GB2312" w:hAnsi="仿宋_GB2312" w:eastAsia="仿宋_GB2312" w:cs="仿宋_GB2312"/>
          <w:b w:val="0"/>
          <w:bCs w:val="0"/>
          <w:sz w:val="32"/>
          <w:szCs w:val="32"/>
          <w:lang w:val="en-US" w:eastAsia="zh-CN"/>
        </w:rPr>
        <w:t>走访慰问了省级原工商业者及遗孀6人，县级原工商业者及遗孀30人，送上慰问信，并发放慰问金27200元，</w:t>
      </w:r>
      <w:r>
        <w:rPr>
          <w:rFonts w:hint="eastAsia" w:ascii="仿宋_GB2312" w:hAnsi="仿宋_GB2312" w:eastAsia="仿宋_GB2312" w:cs="仿宋_GB2312"/>
          <w:sz w:val="32"/>
          <w:szCs w:val="32"/>
          <w:lang w:val="en-US" w:eastAsia="zh-CN"/>
        </w:rPr>
        <w:t>凝聚民营经济力量，提高思想站位，增强社会责任感</w:t>
      </w:r>
      <w:r>
        <w:rPr>
          <w:rFonts w:hint="eastAsia" w:ascii="仿宋_GB2312" w:hAnsi="仿宋_GB2312" w:eastAsia="仿宋_GB2312" w:cs="仿宋_GB2312"/>
          <w:b w:val="0"/>
          <w:bCs w:val="0"/>
          <w:sz w:val="32"/>
          <w:szCs w:val="32"/>
          <w:lang w:val="en-US" w:eastAsia="zh-CN"/>
        </w:rPr>
        <w:t>。</w:t>
      </w:r>
    </w:p>
    <w:p w14:paraId="2F43D968">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bCs/>
          <w:sz w:val="32"/>
          <w:szCs w:val="32"/>
          <w:lang w:val="en-US" w:eastAsia="zh-CN"/>
        </w:rPr>
        <w:t>3.投身公益行动，彰显民企担当。</w:t>
      </w:r>
      <w:r>
        <w:rPr>
          <w:rFonts w:hint="eastAsia" w:ascii="仿宋_GB2312" w:hAnsi="仿宋_GB2312" w:eastAsia="仿宋_GB2312" w:cs="仿宋_GB2312"/>
          <w:color w:val="auto"/>
          <w:sz w:val="32"/>
          <w:szCs w:val="32"/>
          <w:lang w:val="en-US" w:eastAsia="zh-CN"/>
        </w:rPr>
        <w:t>积极引导兼职副主席、副会长、异地商会、基层商会以及执委企业等</w:t>
      </w:r>
      <w:r>
        <w:rPr>
          <w:rFonts w:hint="eastAsia" w:ascii="仿宋_GB2312" w:hAnsi="仿宋_GB2312" w:eastAsia="仿宋_GB2312" w:cs="仿宋_GB2312"/>
          <w:b w:val="0"/>
          <w:bCs w:val="0"/>
          <w:color w:val="auto"/>
          <w:sz w:val="32"/>
          <w:szCs w:val="32"/>
          <w:lang w:val="en-US" w:eastAsia="zh-CN"/>
        </w:rPr>
        <w:t>参与“助力龙舟赛”“捐资助学”“扶残敬老”等活动，先后在助力社会公益事业中捐款捐物超100</w:t>
      </w:r>
      <w:r>
        <w:rPr>
          <w:rFonts w:hint="eastAsia" w:ascii="仿宋_GB2312" w:hAnsi="仿宋_GB2312" w:eastAsia="仿宋_GB2312" w:cs="仿宋_GB2312"/>
          <w:color w:val="auto"/>
          <w:sz w:val="32"/>
          <w:szCs w:val="32"/>
          <w:lang w:val="en-US" w:eastAsia="zh-CN"/>
        </w:rPr>
        <w:t>万元，充分彰显了道县民营经济人士的责任担当</w:t>
      </w:r>
      <w:r>
        <w:rPr>
          <w:rFonts w:hint="eastAsia" w:ascii="仿宋_GB2312" w:hAnsi="仿宋_GB2312" w:eastAsia="仿宋_GB2312" w:cs="仿宋_GB2312"/>
          <w:b w:val="0"/>
          <w:bCs w:val="0"/>
          <w:color w:val="auto"/>
          <w:sz w:val="32"/>
          <w:szCs w:val="32"/>
        </w:rPr>
        <w:t>。</w:t>
      </w:r>
    </w:p>
    <w:p w14:paraId="391D08CA">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（五）调研建言搭桥梁，畅通民企诉求渠道</w:t>
      </w:r>
    </w:p>
    <w:p w14:paraId="73CB6631">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1.做实调查研究，掌握发展实情</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sz w:val="32"/>
          <w:szCs w:val="32"/>
          <w:lang w:val="en-US" w:eastAsia="zh-CN"/>
        </w:rPr>
        <w:t>今年以来，县工商联牵头开展提升行政效能、优化营商环境的调研，组织民营企业参与25年一、二、三、四湖南省民营企业经济运行情况、民营企业研发投入、科技创新、数字化转型等多项调查103人次，了解民营企业和民营经济人士发展现状，为工商联下步服务民企方向及决策提供了数据支撑。</w:t>
      </w:r>
    </w:p>
    <w:p w14:paraId="7F02B0A7">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2.积极建言献策，搭建政企桥梁。</w:t>
      </w:r>
      <w:r>
        <w:rPr>
          <w:rFonts w:hint="eastAsia" w:ascii="仿宋_GB2312" w:hAnsi="仿宋_GB2312" w:eastAsia="仿宋_GB2312" w:cs="仿宋_GB2312"/>
          <w:b w:val="0"/>
          <w:bCs w:val="0"/>
          <w:sz w:val="32"/>
          <w:szCs w:val="32"/>
          <w:lang w:val="en-US" w:eastAsia="zh-CN"/>
        </w:rPr>
        <w:t>面向民营企业及非公经济人士等领域</w:t>
      </w:r>
      <w:r>
        <w:rPr>
          <w:rFonts w:hint="eastAsia" w:ascii="仿宋_GB2312" w:hAnsi="仿宋_GB2312" w:eastAsia="仿宋_GB2312" w:cs="仿宋_GB2312"/>
          <w:sz w:val="32"/>
          <w:szCs w:val="32"/>
          <w:lang w:val="en-US" w:eastAsia="zh-CN"/>
        </w:rPr>
        <w:t>收集营商环境等社情民意，积极解决民营企业招工难、融资难、政策兑现难等问题16条；充分发挥工商联界别政协委员作用，引导委员围绕营商环境优化、招商引资、社会经济发展等重点领域撰写社情民意信息，今年以来，向市工商联报送高质量社情民意信息12篇，有效搭建起民营企业与党委、政府沟通的“连心桥”。</w:t>
      </w:r>
    </w:p>
    <w:p w14:paraId="7EBA16D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七、存在的问题及原因分析</w:t>
      </w:r>
    </w:p>
    <w:p w14:paraId="21A25E4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1.预算绩效管理机制有待进一步完善，需进一步结合工作实际完善资金管理文件办法等。</w:t>
      </w:r>
    </w:p>
    <w:p w14:paraId="548F128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2.绩效目标设定不够细化，绩效目标的科学性、合理性以及量化可考核性有待进一步加强。</w:t>
      </w:r>
    </w:p>
    <w:p w14:paraId="1C575D2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3.内控制度执行有待进一步规范。</w:t>
      </w:r>
    </w:p>
    <w:p w14:paraId="59CC993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4.存在预算资金不够细，支出与预算不够专的问题。</w:t>
      </w:r>
    </w:p>
    <w:p w14:paraId="5141F2E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八、下一步改进措施</w:t>
      </w:r>
    </w:p>
    <w:p w14:paraId="1502D63A">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（一）规范账务处理，提高财务信息质量。</w:t>
      </w:r>
      <w:r>
        <w:rPr>
          <w:rFonts w:hint="eastAsia" w:ascii="楷体_GB2312" w:hAnsi="楷体_GB2312" w:eastAsia="楷体_GB2312" w:cs="楷体_GB2312"/>
          <w:b/>
          <w:bCs/>
          <w:sz w:val="32"/>
          <w:szCs w:val="32"/>
          <w:lang w:val="en-US" w:eastAsia="zh-CN"/>
        </w:rPr>
        <w:br w:type="textWrapping"/>
      </w:r>
      <w:r>
        <w:rPr>
          <w:rFonts w:hint="eastAsia" w:ascii="仿宋_GB2312" w:hAnsi="仿宋_GB2312" w:eastAsia="仿宋_GB2312" w:cs="仿宋_GB2312"/>
          <w:sz w:val="32"/>
          <w:szCs w:val="32"/>
          <w:lang w:val="en-US" w:eastAsia="zh-CN"/>
        </w:rPr>
        <w:t>严格按照《会计法》《新政府会计制度》《行政单位财务规则》等规定执行财务核算，并结合实际情况，完整、准确地披露相关信息，做到决算与预算相衔接。</w:t>
      </w:r>
    </w:p>
    <w:p w14:paraId="1B6C5666">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（二）落实管理制度，进一步加强资产管理。</w:t>
      </w:r>
      <w:r>
        <w:rPr>
          <w:rFonts w:hint="eastAsia" w:ascii="楷体_GB2312" w:hAnsi="楷体_GB2312" w:eastAsia="楷体_GB2312" w:cs="楷体_GB2312"/>
          <w:b/>
          <w:bCs/>
          <w:sz w:val="32"/>
          <w:szCs w:val="32"/>
          <w:lang w:val="en-US" w:eastAsia="zh-CN"/>
        </w:rPr>
        <w:br w:type="textWrapping"/>
      </w:r>
      <w:r>
        <w:rPr>
          <w:rFonts w:hint="eastAsia" w:ascii="仿宋_GB2312" w:hAnsi="仿宋_GB2312" w:eastAsia="仿宋_GB2312" w:cs="仿宋_GB2312"/>
          <w:sz w:val="32"/>
          <w:szCs w:val="32"/>
          <w:lang w:val="en-US" w:eastAsia="zh-CN"/>
        </w:rPr>
        <w:t>加强往来款项的管理，按月对账，固定资产按时盘点，加强资金使用效率和保证资产安全。</w:t>
      </w:r>
    </w:p>
    <w:p w14:paraId="2B4FBFE6">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（三）总结经验，改进管理措施。</w:t>
      </w:r>
    </w:p>
    <w:p w14:paraId="4FB7EAD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不断增强和落实绩效管理责任，健全完善管理机制等。</w:t>
      </w:r>
    </w:p>
    <w:p w14:paraId="2603371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九、绩效自评结果拟应用和公开情况</w:t>
      </w:r>
    </w:p>
    <w:p w14:paraId="4D4525C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规范账务处理，提高财务信息质量。严格按照《会计法》《政府会计制度》等规定执行财务核算，并结合实际情况，完整、准确地披露相关信息，做到决算与预算相衔接。财务部门应加强与各部门的沟通，了解具体的事项，合理安排资金支付，提高财务核算的准确性，加强人才队伍建设，提高业务能力水平。</w:t>
      </w:r>
    </w:p>
    <w:p w14:paraId="0239883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2.明确职责，加强项目管理。一是应针对每一个项目制定工作目标，科学编制和细化预算，做到预算有目标，执行有细则，控制专项支出，提高资金的使用效益。</w:t>
      </w:r>
    </w:p>
    <w:p w14:paraId="73E6210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3.通过对预算绩效管理工作的制度、流程和职责的梳理，制定适应单位特点的预算绩效管理制度及相关实施细则，以提升预算绩效管理工作的整体规划性。</w:t>
      </w:r>
    </w:p>
    <w:p w14:paraId="2EEAA62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4.构建更为科学合理的财政资金绩效评价体系，合理化设置绩效目标指标体系，充分激发科技创新活力。</w:t>
      </w:r>
    </w:p>
    <w:p w14:paraId="5D2CCE0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5.加强内控管理保障各项工作合规进行，通过定期绩效评价规范内控执行，并根据绩效评价结果及时纠偏，确保内控执行的有效性。</w:t>
      </w:r>
    </w:p>
    <w:p w14:paraId="5D00525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其他需要说明的情况：无。</w:t>
      </w:r>
    </w:p>
    <w:sectPr>
      <w:pgSz w:w="11906" w:h="16838"/>
      <w:pgMar w:top="1757"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99EFF1B-C1C7-44CF-AE48-2EBF1B2E431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00000" w:usb2="00000000" w:usb3="00000000" w:csb0="00040000" w:csb1="00000000"/>
    <w:embedRegular r:id="rId2" w:fontKey="{0BA803F0-FF9A-4BA6-9F44-19E9A98D4AED}"/>
  </w:font>
  <w:font w:name="楷体_GB2312">
    <w:panose1 w:val="02010609030101010101"/>
    <w:charset w:val="86"/>
    <w:family w:val="auto"/>
    <w:pitch w:val="default"/>
    <w:sig w:usb0="00000001" w:usb1="080E0000" w:usb2="00000000" w:usb3="00000000" w:csb0="00040000" w:csb1="00000000"/>
    <w:embedRegular r:id="rId3" w:fontKey="{B2B8E009-0456-48DA-949B-51A777504A24}"/>
  </w:font>
  <w:font w:name="仿宋_GB2312">
    <w:panose1 w:val="02010609030101010101"/>
    <w:charset w:val="86"/>
    <w:family w:val="auto"/>
    <w:pitch w:val="default"/>
    <w:sig w:usb0="00000001" w:usb1="080E0000" w:usb2="00000000" w:usb3="00000000" w:csb0="00040000" w:csb1="00000000"/>
    <w:embedRegular r:id="rId4" w:fontKey="{75CA96B5-CF0A-4B7F-8839-514AC797E0C4}"/>
  </w:font>
  <w:font w:name="MS PGothic">
    <w:panose1 w:val="020B0600070205080204"/>
    <w:charset w:val="80"/>
    <w:family w:val="auto"/>
    <w:pitch w:val="default"/>
    <w:sig w:usb0="E00002FF" w:usb1="6AC7FDFB" w:usb2="00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BA410D"/>
    <w:rsid w:val="07ED2EF7"/>
    <w:rsid w:val="0D010EE5"/>
    <w:rsid w:val="2C031F20"/>
    <w:rsid w:val="3DBA410D"/>
    <w:rsid w:val="49BE0EBD"/>
    <w:rsid w:val="7D9B54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4644</Words>
  <Characters>4773</Characters>
  <Lines>0</Lines>
  <Paragraphs>0</Paragraphs>
  <TotalTime>43</TotalTime>
  <ScaleCrop>false</ScaleCrop>
  <LinksUpToDate>false</LinksUpToDate>
  <CharactersWithSpaces>4781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2025-08-22T07:45:00Z</dcterms:created>
  <dc:creator>MichstaBe</dc:creator>
  <cp:lastModifiedBy>小方格子</cp:lastModifiedBy>
  <cp:lastPrinted>2026-09-11T00:42:17Z</cp:lastPrinted>
  <dcterms:modified xsi:type="dcterms:W3CDTF">2026-09-11T02:47:42Z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B409204FA75C4496AF7F5CFEACFE51FA_13</vt:lpwstr>
  </property>
  <property fmtid="{D5CDD505-2E9C-101B-9397-08002B2CF9AE}" pid="4" name="KSOTemplateDocerSaveRecord">
    <vt:lpwstr>eyJoZGlkIjoiMWVlOWYyYTMwZThkMjdiNzI3YTZlZmMzMTQ4ZTc0N2IiLCJ1c2VySWQiOiIyNDUwOTU2NzMifQ==</vt:lpwstr>
  </property>
</Properties>
</file>