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4"/>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pPr>
        <w:pStyle w:val="14"/>
        <w:jc w:val="center"/>
        <w:rPr>
          <w:rFonts w:ascii="Times New Roman" w:hAnsi="Times New Roman" w:cs="Times New Roman"/>
          <w:sz w:val="56"/>
          <w:szCs w:val="56"/>
        </w:rPr>
      </w:pPr>
    </w:p>
    <w:p>
      <w:pPr>
        <w:pStyle w:val="14"/>
        <w:jc w:val="center"/>
        <w:rPr>
          <w:rFonts w:ascii="Times New Roman" w:hAnsi="Times New Roman" w:cs="Times New Roman"/>
          <w:sz w:val="84"/>
          <w:szCs w:val="84"/>
        </w:rPr>
      </w:pPr>
    </w:p>
    <w:p>
      <w:pPr>
        <w:pStyle w:val="14"/>
        <w:jc w:val="center"/>
        <w:rPr>
          <w:rFonts w:ascii="Times New Roman" w:hAnsi="Times New Roman" w:cs="Times New Roman"/>
          <w:sz w:val="84"/>
          <w:szCs w:val="84"/>
        </w:rPr>
      </w:pPr>
    </w:p>
    <w:p>
      <w:pPr>
        <w:pStyle w:val="14"/>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pPr>
        <w:pStyle w:val="14"/>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eastAsia="zh-CN"/>
        </w:rPr>
        <w:t>道县农业农村局</w:t>
      </w:r>
      <w:r>
        <w:rPr>
          <w:rFonts w:ascii="Times New Roman" w:hAnsi="Times New Roman" w:eastAsia="方正小标宋简体" w:cs="Times New Roman"/>
          <w:sz w:val="72"/>
          <w:szCs w:val="72"/>
        </w:rPr>
        <w:t>部门决算</w:t>
      </w:r>
    </w:p>
    <w:p>
      <w:pPr>
        <w:pStyle w:val="14"/>
        <w:jc w:val="center"/>
        <w:rPr>
          <w:rFonts w:ascii="Times New Roman" w:hAnsi="Times New Roman" w:eastAsia="方正小标宋_GBK" w:cs="Times New Roman"/>
          <w:sz w:val="56"/>
          <w:szCs w:val="56"/>
        </w:rPr>
      </w:pPr>
    </w:p>
    <w:p>
      <w:pPr>
        <w:pStyle w:val="14"/>
        <w:jc w:val="center"/>
        <w:rPr>
          <w:rFonts w:ascii="Times New Roman" w:hAnsi="Times New Roman" w:cs="Times New Roman"/>
          <w:sz w:val="56"/>
          <w:szCs w:val="56"/>
        </w:rPr>
      </w:pPr>
    </w:p>
    <w:p>
      <w:pPr>
        <w:pStyle w:val="14"/>
        <w:rPr>
          <w:rFonts w:ascii="Times New Roman" w:hAnsi="Times New Roman" w:cs="Times New Roman"/>
          <w:sz w:val="56"/>
          <w:szCs w:val="56"/>
        </w:rPr>
      </w:pPr>
    </w:p>
    <w:p>
      <w:pPr>
        <w:pStyle w:val="14"/>
        <w:jc w:val="center"/>
        <w:rPr>
          <w:rFonts w:ascii="Times New Roman" w:hAnsi="Times New Roman" w:cs="Times New Roman"/>
          <w:sz w:val="32"/>
          <w:szCs w:val="32"/>
        </w:rPr>
      </w:pPr>
    </w:p>
    <w:p>
      <w:pPr>
        <w:pStyle w:val="14"/>
        <w:jc w:val="center"/>
        <w:rPr>
          <w:rFonts w:ascii="Times New Roman" w:hAnsi="Times New Roman" w:cs="Times New Roman"/>
          <w:sz w:val="32"/>
          <w:szCs w:val="32"/>
        </w:rPr>
      </w:pPr>
    </w:p>
    <w:p>
      <w:pPr>
        <w:pStyle w:val="14"/>
        <w:jc w:val="center"/>
        <w:rPr>
          <w:rFonts w:ascii="Times New Roman" w:hAnsi="Times New Roman" w:cs="Times New Roman"/>
          <w:sz w:val="32"/>
          <w:szCs w:val="32"/>
        </w:rPr>
      </w:pPr>
    </w:p>
    <w:p>
      <w:pPr>
        <w:pStyle w:val="14"/>
        <w:jc w:val="center"/>
        <w:rPr>
          <w:rFonts w:ascii="Times New Roman" w:hAnsi="Times New Roman" w:cs="Times New Roman"/>
          <w:sz w:val="32"/>
          <w:szCs w:val="32"/>
        </w:rPr>
      </w:pPr>
    </w:p>
    <w:p>
      <w:pPr>
        <w:pStyle w:val="14"/>
        <w:jc w:val="center"/>
        <w:rPr>
          <w:rFonts w:ascii="Times New Roman" w:hAnsi="Times New Roman" w:cs="Times New Roman"/>
          <w:sz w:val="32"/>
          <w:szCs w:val="32"/>
        </w:rPr>
      </w:pPr>
    </w:p>
    <w:p>
      <w:pPr>
        <w:pStyle w:val="14"/>
        <w:jc w:val="center"/>
        <w:rPr>
          <w:rFonts w:ascii="Times New Roman" w:hAnsi="Times New Roman" w:cs="Times New Roman"/>
          <w:sz w:val="32"/>
          <w:szCs w:val="32"/>
        </w:rPr>
      </w:pPr>
    </w:p>
    <w:p>
      <w:pPr>
        <w:pStyle w:val="14"/>
        <w:spacing w:line="540" w:lineRule="exact"/>
        <w:jc w:val="center"/>
        <w:rPr>
          <w:rFonts w:ascii="Times New Roman" w:hAnsi="Times New Roman" w:cs="Times New Roman"/>
          <w:sz w:val="56"/>
          <w:szCs w:val="56"/>
        </w:rPr>
      </w:pPr>
    </w:p>
    <w:p>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pPr>
        <w:pStyle w:val="14"/>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pPr>
        <w:pStyle w:val="14"/>
        <w:spacing w:line="600" w:lineRule="exact"/>
        <w:jc w:val="both"/>
        <w:rPr>
          <w:rFonts w:ascii="Times New Roman" w:hAnsi="Times New Roman" w:cs="Times New Roman"/>
          <w:b/>
          <w:sz w:val="36"/>
          <w:szCs w:val="28"/>
        </w:rPr>
      </w:pPr>
    </w:p>
    <w:p>
      <w:pPr>
        <w:pStyle w:val="14"/>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pPr>
        <w:pStyle w:val="14"/>
        <w:spacing w:line="600" w:lineRule="exact"/>
        <w:jc w:val="center"/>
        <w:rPr>
          <w:rFonts w:ascii="Times New Roman" w:hAnsi="Times New Roman" w:cs="Times New Roman"/>
          <w:b/>
          <w:sz w:val="36"/>
          <w:szCs w:val="28"/>
        </w:rPr>
      </w:pPr>
    </w:p>
    <w:p>
      <w:pPr>
        <w:pStyle w:val="14"/>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道县农业农村局</w:t>
      </w:r>
      <w:r>
        <w:rPr>
          <w:rFonts w:ascii="Times New Roman" w:hAnsi="Times New Roman" w:cs="Times New Roman"/>
          <w:bCs/>
          <w:sz w:val="32"/>
          <w:szCs w:val="32"/>
        </w:rPr>
        <w:t>概况</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pPr>
        <w:pStyle w:val="14"/>
        <w:spacing w:line="600" w:lineRule="exact"/>
        <w:rPr>
          <w:rFonts w:ascii="Times New Roman" w:hAnsi="Times New Roman" w:cs="Times New Roman"/>
          <w:bCs/>
          <w:sz w:val="28"/>
          <w:szCs w:val="28"/>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pStyle w:val="9"/>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pPr>
        <w:pStyle w:val="14"/>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道县农业农村局</w:t>
      </w:r>
      <w:r>
        <w:rPr>
          <w:rFonts w:ascii="Times New Roman" w:hAnsi="Times New Roman" w:eastAsia="方正小标宋_GBK" w:cs="Times New Roman"/>
          <w:sz w:val="52"/>
          <w:szCs w:val="52"/>
        </w:rPr>
        <w:t>概况</w:t>
      </w:r>
    </w:p>
    <w:p>
      <w:pPr>
        <w:pStyle w:val="2"/>
        <w:ind w:left="0" w:leftChars="0" w:firstLine="0" w:firstLineChars="0"/>
        <w:rPr>
          <w:rFonts w:ascii="Times New Roman" w:hAnsi="Times New Roman" w:cs="Times New Roman"/>
        </w:rPr>
      </w:pPr>
    </w:p>
    <w:p>
      <w:pPr>
        <w:pStyle w:val="15"/>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pPr>
        <w:spacing w:line="600" w:lineRule="exact"/>
        <w:ind w:firstLine="640" w:firstLineChars="200"/>
        <w:rPr>
          <w:rFonts w:hint="eastAsia" w:ascii="仿宋" w:hAnsi="仿宋" w:eastAsia="仿宋" w:cs="仿宋"/>
          <w:sz w:val="32"/>
          <w:szCs w:val="32"/>
        </w:rPr>
      </w:pPr>
      <w:r>
        <w:rPr>
          <w:rFonts w:hint="eastAsia" w:ascii="仿宋" w:hAnsi="仿宋" w:eastAsia="仿宋" w:cs="仿宋"/>
          <w:color w:val="000000"/>
          <w:sz w:val="32"/>
          <w:szCs w:val="32"/>
        </w:rPr>
        <w:t>根据</w:t>
      </w:r>
      <w:r>
        <w:rPr>
          <w:rFonts w:hint="eastAsia" w:ascii="仿宋" w:hAnsi="仿宋" w:eastAsia="仿宋" w:cs="仿宋"/>
          <w:sz w:val="32"/>
          <w:szCs w:val="32"/>
        </w:rPr>
        <w:t>《中共道县县委办公室文件》（道办发[2019]43号）规定，本单位主要工作职责是：</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 </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1</w:t>
      </w:r>
      <w:r>
        <w:rPr>
          <w:rFonts w:hint="eastAsia" w:ascii="仿宋" w:hAnsi="仿宋" w:eastAsia="仿宋" w:cs="仿宋"/>
          <w:sz w:val="32"/>
          <w:szCs w:val="32"/>
          <w:lang w:eastAsia="zh-CN"/>
        </w:rPr>
        <w:t>）</w:t>
      </w:r>
      <w:r>
        <w:rPr>
          <w:rFonts w:hint="eastAsia" w:ascii="仿宋" w:hAnsi="仿宋" w:eastAsia="仿宋" w:cs="仿宋"/>
          <w:sz w:val="32"/>
          <w:szCs w:val="32"/>
        </w:rPr>
        <w:t>统筹研究和组织实施“三农”工作的发展中长期规划、重大政策。组织起草农业农村有关规范性文件草案，指导农业综合执法。参与涉农财税、价格、收储、金融保险、进出口等政策制定。</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 </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2</w:t>
      </w:r>
      <w:r>
        <w:rPr>
          <w:rFonts w:hint="eastAsia" w:ascii="仿宋" w:hAnsi="仿宋" w:eastAsia="仿宋" w:cs="仿宋"/>
          <w:sz w:val="32"/>
          <w:szCs w:val="32"/>
          <w:lang w:eastAsia="zh-CN"/>
        </w:rPr>
        <w:t>）</w:t>
      </w:r>
      <w:r>
        <w:rPr>
          <w:rFonts w:hint="eastAsia" w:ascii="仿宋" w:hAnsi="仿宋" w:eastAsia="仿宋" w:cs="仿宋"/>
          <w:sz w:val="32"/>
          <w:szCs w:val="32"/>
        </w:rPr>
        <w:t>统筹推进发展农村社会事业、农村公共服务、农村文化、农村基础设施和乡村治理。牵头组织改善农村人居环境和“厕所革命”。指导农村精神文明和优秀农耕文化建设。指导农业行业安全生产工作。</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3</w:t>
      </w:r>
      <w:r>
        <w:rPr>
          <w:rFonts w:hint="eastAsia" w:ascii="仿宋" w:hAnsi="仿宋" w:eastAsia="仿宋" w:cs="仿宋"/>
          <w:sz w:val="32"/>
          <w:szCs w:val="32"/>
          <w:lang w:eastAsia="zh-CN"/>
        </w:rPr>
        <w:t>）</w:t>
      </w:r>
      <w:r>
        <w:rPr>
          <w:rFonts w:hint="eastAsia" w:ascii="仿宋" w:hAnsi="仿宋" w:eastAsia="仿宋" w:cs="仿宋"/>
          <w:sz w:val="32"/>
          <w:szCs w:val="32"/>
        </w:rPr>
        <w:t>研究提出深化农村经济体制改革和巩固完善农村基本经营制度的政策建议。负责参与农民承包地、农村宅基地改革和管理有关工作。负责农村集体产权制度改革，指导农村集体经济组织发展主集体资产管理工作。指导农民合作经济组织、农业社会化服务体系、新型农业经营主体建设和发展。</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4</w:t>
      </w:r>
      <w:r>
        <w:rPr>
          <w:rFonts w:hint="eastAsia" w:ascii="仿宋" w:hAnsi="仿宋" w:eastAsia="仿宋" w:cs="仿宋"/>
          <w:sz w:val="32"/>
          <w:szCs w:val="32"/>
          <w:lang w:eastAsia="zh-CN"/>
        </w:rPr>
        <w:t>）</w:t>
      </w:r>
      <w:r>
        <w:rPr>
          <w:rFonts w:hint="eastAsia" w:ascii="仿宋" w:hAnsi="仿宋" w:eastAsia="仿宋" w:cs="仿宋"/>
          <w:sz w:val="32"/>
          <w:szCs w:val="32"/>
        </w:rPr>
        <w:t>指导乡村特色产业农产品加工业、休闲农业和乡镇企业发展工作。提出促进大宗农产品流通的建议，培育、保护农业品牌。发布农业经济信息，监测分析农业农村经济运行。承担农业统计和农业农村信息化有关工作。</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5</w:t>
      </w:r>
      <w:r>
        <w:rPr>
          <w:rFonts w:hint="eastAsia" w:ascii="仿宋" w:hAnsi="仿宋" w:eastAsia="仿宋" w:cs="仿宋"/>
          <w:sz w:val="32"/>
          <w:szCs w:val="32"/>
          <w:lang w:eastAsia="zh-CN"/>
        </w:rPr>
        <w:t>）</w:t>
      </w:r>
      <w:r>
        <w:rPr>
          <w:rFonts w:hint="eastAsia" w:ascii="仿宋" w:hAnsi="仿宋" w:eastAsia="仿宋" w:cs="仿宋"/>
          <w:sz w:val="32"/>
          <w:szCs w:val="32"/>
        </w:rPr>
        <w:t>负责种植业、畜牧业、渔业、农垦、农业机械化等农业各产业的监督管理。指导粮食等农产品生产。组织构建现代化农业产业体系、生产体系经营体系，指导农业标准化生产。负责渔政渔港监督管理。</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6</w:t>
      </w:r>
      <w:r>
        <w:rPr>
          <w:rFonts w:hint="eastAsia" w:ascii="仿宋" w:hAnsi="仿宋" w:eastAsia="仿宋" w:cs="仿宋"/>
          <w:sz w:val="32"/>
          <w:szCs w:val="32"/>
          <w:lang w:eastAsia="zh-CN"/>
        </w:rPr>
        <w:t>）</w:t>
      </w:r>
      <w:r>
        <w:rPr>
          <w:rFonts w:hint="eastAsia" w:ascii="仿宋" w:hAnsi="仿宋" w:eastAsia="仿宋" w:cs="仿宋"/>
          <w:sz w:val="32"/>
          <w:szCs w:val="32"/>
        </w:rPr>
        <w:t>负责农产品质量安全管理。组织开展农产品质量安全监测、追溯、风险评估。贯彻执行农产品质量安全国家标准，参与制定农产品质量安全地方标准并会同有关部门组织实施。指导农业检验检测体系建设。</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7</w:t>
      </w:r>
      <w:r>
        <w:rPr>
          <w:rFonts w:hint="eastAsia" w:ascii="仿宋" w:hAnsi="仿宋" w:eastAsia="仿宋" w:cs="仿宋"/>
          <w:sz w:val="32"/>
          <w:szCs w:val="32"/>
          <w:lang w:eastAsia="zh-CN"/>
        </w:rPr>
        <w:t>）</w:t>
      </w:r>
      <w:r>
        <w:rPr>
          <w:rFonts w:hint="eastAsia" w:ascii="仿宋" w:hAnsi="仿宋" w:eastAsia="仿宋" w:cs="仿宋"/>
          <w:sz w:val="32"/>
          <w:szCs w:val="32"/>
        </w:rPr>
        <w:t>组织农业资源区划工作。指导农用地、渔业水域以及农业生物物种资源的保护与管理，负责水生野生动物保护、耕地及永久基本农田质量保护工作。指导农产品产地环境管理和农业清洁生产。指导设施农业、生态循环农业、节水农业发展以及农村可再生能源综合开发利用、农业生物产业发展。牵头管理外来物种。</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8</w:t>
      </w:r>
      <w:r>
        <w:rPr>
          <w:rFonts w:hint="eastAsia" w:ascii="仿宋" w:hAnsi="仿宋" w:eastAsia="仿宋" w:cs="仿宋"/>
          <w:sz w:val="32"/>
          <w:szCs w:val="32"/>
          <w:lang w:eastAsia="zh-CN"/>
        </w:rPr>
        <w:t>）</w:t>
      </w:r>
      <w:r>
        <w:rPr>
          <w:rFonts w:hint="eastAsia" w:ascii="仿宋" w:hAnsi="仿宋" w:eastAsia="仿宋" w:cs="仿宋"/>
          <w:sz w:val="32"/>
          <w:szCs w:val="32"/>
        </w:rPr>
        <w:t>负责有关农业生命资料和农业投入品的监管管理。组织农业生产资料市场体系建设。贯彻执行农业生产资料、兽药质量、兽药残留限量和残留检测方法国家标准并监督实施。组织兽医医政、兽药药政药检工作，负责执业兽医和禽屠宰行业管理。</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9</w:t>
      </w:r>
      <w:r>
        <w:rPr>
          <w:rFonts w:hint="eastAsia" w:ascii="仿宋" w:hAnsi="仿宋" w:eastAsia="仿宋" w:cs="仿宋"/>
          <w:sz w:val="32"/>
          <w:szCs w:val="32"/>
          <w:lang w:eastAsia="zh-CN"/>
        </w:rPr>
        <w:t>）</w:t>
      </w:r>
      <w:r>
        <w:rPr>
          <w:rFonts w:hint="eastAsia" w:ascii="仿宋" w:hAnsi="仿宋" w:eastAsia="仿宋" w:cs="仿宋"/>
          <w:sz w:val="32"/>
          <w:szCs w:val="32"/>
        </w:rPr>
        <w:t>负责农业防灾减灾、农作物重大病虫害防治工作。指导植物防疫检疫体系建设，组织、监督市场动植物防疫检疫工作，发布疫情并组织扑灭。配合有关部门制定血吸虫病防治工作计划并组织实施。</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10</w:t>
      </w:r>
      <w:r>
        <w:rPr>
          <w:rFonts w:hint="eastAsia" w:ascii="仿宋" w:hAnsi="仿宋" w:eastAsia="仿宋" w:cs="仿宋"/>
          <w:sz w:val="32"/>
          <w:szCs w:val="32"/>
          <w:lang w:eastAsia="zh-CN"/>
        </w:rPr>
        <w:t>）</w:t>
      </w:r>
      <w:r>
        <w:rPr>
          <w:rFonts w:hint="eastAsia" w:ascii="仿宋" w:hAnsi="仿宋" w:eastAsia="仿宋" w:cs="仿宋"/>
          <w:sz w:val="32"/>
          <w:szCs w:val="32"/>
        </w:rPr>
        <w:t>负责农业投资管理。编制农业投资项目建设规划，提出农业投资规模和方向、扶持农业农村发展财政项目的建议，按规定权限审批农业投资项目，负责农业投资项目资金安排和监督管理。</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11</w:t>
      </w:r>
      <w:r>
        <w:rPr>
          <w:rFonts w:hint="eastAsia" w:ascii="仿宋" w:hAnsi="仿宋" w:eastAsia="仿宋" w:cs="仿宋"/>
          <w:sz w:val="32"/>
          <w:szCs w:val="32"/>
          <w:lang w:eastAsia="zh-CN"/>
        </w:rPr>
        <w:t>）</w:t>
      </w:r>
      <w:r>
        <w:rPr>
          <w:rFonts w:hint="eastAsia" w:ascii="仿宋" w:hAnsi="仿宋" w:eastAsia="仿宋" w:cs="仿宋"/>
          <w:sz w:val="32"/>
          <w:szCs w:val="32"/>
        </w:rPr>
        <w:t>推动农业科技体系改革和农业科技创新体系建设。指导农业产业技术体系和农技推广体系建设，组织开展农业领域的高新技术和应用技术研究、科技成果转化和技术推广。负责农业转基因生物安全监督管理和农业植物新品种保护。</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12</w:t>
      </w:r>
      <w:r>
        <w:rPr>
          <w:rFonts w:hint="eastAsia" w:ascii="仿宋" w:hAnsi="仿宋" w:eastAsia="仿宋" w:cs="仿宋"/>
          <w:sz w:val="32"/>
          <w:szCs w:val="32"/>
          <w:lang w:eastAsia="zh-CN"/>
        </w:rPr>
        <w:t>）</w:t>
      </w:r>
      <w:r>
        <w:rPr>
          <w:rFonts w:hint="eastAsia" w:ascii="仿宋" w:hAnsi="仿宋" w:eastAsia="仿宋" w:cs="仿宋"/>
          <w:sz w:val="32"/>
          <w:szCs w:val="32"/>
        </w:rPr>
        <w:t>指导农业农村人才工作。拟定农业农村人才队伍建设规计并组织实施，指导农业教育和农业职业技能开发，指导新型职业农民培育、农业科技人才培养和农村实用人才培训工作。</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13</w:t>
      </w:r>
      <w:r>
        <w:rPr>
          <w:rFonts w:hint="eastAsia" w:ascii="仿宋" w:hAnsi="仿宋" w:eastAsia="仿宋" w:cs="仿宋"/>
          <w:sz w:val="32"/>
          <w:szCs w:val="32"/>
          <w:lang w:eastAsia="zh-CN"/>
        </w:rPr>
        <w:t>）</w:t>
      </w:r>
      <w:r>
        <w:rPr>
          <w:rFonts w:hint="eastAsia" w:ascii="仿宋" w:hAnsi="仿宋" w:eastAsia="仿宋" w:cs="仿宋"/>
          <w:sz w:val="32"/>
          <w:szCs w:val="32"/>
        </w:rPr>
        <w:t>组织参与农业对外合作工作。承办有关农业涉外事务，组织开展农业贸易促进有关对外交流合作，具体执行有关农业援外项目。</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14</w:t>
      </w:r>
      <w:r>
        <w:rPr>
          <w:rFonts w:hint="eastAsia" w:ascii="仿宋" w:hAnsi="仿宋" w:eastAsia="仿宋" w:cs="仿宋"/>
          <w:sz w:val="32"/>
          <w:szCs w:val="32"/>
          <w:lang w:eastAsia="zh-CN"/>
        </w:rPr>
        <w:t>）</w:t>
      </w:r>
      <w:r>
        <w:rPr>
          <w:rFonts w:hint="eastAsia" w:ascii="仿宋" w:hAnsi="仿宋" w:eastAsia="仿宋" w:cs="仿宋"/>
          <w:sz w:val="32"/>
          <w:szCs w:val="32"/>
        </w:rPr>
        <w:t>完成县委、县人民政府县委农村工作领导小组交办的其他任务。</w:t>
      </w:r>
    </w:p>
    <w:p>
      <w:pPr>
        <w:widowControl/>
        <w:spacing w:line="600" w:lineRule="exact"/>
        <w:ind w:firstLine="640" w:firstLineChars="200"/>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pPr>
        <w:snapToGrid w:val="0"/>
        <w:spacing w:line="520" w:lineRule="exact"/>
        <w:ind w:firstLine="640" w:firstLineChars="200"/>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p>
    <w:p>
      <w:pPr>
        <w:snapToGrid w:val="0"/>
        <w:spacing w:line="520" w:lineRule="exact"/>
        <w:ind w:firstLine="640" w:firstLineChars="200"/>
        <w:rPr>
          <w:rFonts w:hint="eastAsia" w:ascii="仿宋_GB2312" w:hAnsi="仿宋" w:eastAsia="仿宋_GB2312"/>
          <w:sz w:val="32"/>
          <w:szCs w:val="32"/>
          <w:highlight w:val="none"/>
        </w:rPr>
      </w:pPr>
      <w:r>
        <w:rPr>
          <w:rFonts w:hint="eastAsia" w:ascii="仿宋" w:hAnsi="仿宋" w:eastAsia="仿宋" w:cs="仿宋"/>
          <w:sz w:val="32"/>
          <w:szCs w:val="32"/>
          <w:lang w:eastAsia="zh-CN"/>
        </w:rPr>
        <w:t>农业农村局</w:t>
      </w:r>
      <w:r>
        <w:rPr>
          <w:rFonts w:hint="eastAsia" w:ascii="仿宋" w:hAnsi="仿宋" w:eastAsia="仿宋" w:cs="仿宋"/>
          <w:sz w:val="32"/>
          <w:szCs w:val="32"/>
        </w:rPr>
        <w:t>单位内设机构包括：办公室、政工股、行政审批股（法规股）、政策与改革股、发展规划股、计划财务股、乡村产业发展股、农村社会事业促进股、农村合作经济指导股、市场与信息化股、科技教育股、农业资源保护与利用股、农产品质量安全监管股、种植业管理股、畜牧水产股、种业管理股、农业机械化管理股、农田建设与农垦股。共18个股室4个归口下属单位（国营道县水稻原种场、国营道县旱粮原种场、道县柑桔研究所、国营道县园艺示范场）</w:t>
      </w:r>
      <w:r>
        <w:rPr>
          <w:rFonts w:hint="eastAsia" w:ascii="仿宋_GB2312" w:hAnsi="仿宋" w:eastAsia="仿宋_GB2312"/>
          <w:sz w:val="32"/>
          <w:szCs w:val="32"/>
          <w:highlight w:val="none"/>
        </w:rPr>
        <w:t>。</w:t>
      </w:r>
    </w:p>
    <w:p>
      <w:pPr>
        <w:widowControl/>
        <w:spacing w:line="600" w:lineRule="exact"/>
        <w:ind w:firstLine="640" w:firstLineChars="200"/>
        <w:rPr>
          <w:rFonts w:hint="eastAsia" w:ascii="Times New Roman" w:hAnsi="Times New Roman" w:eastAsia="仿宋_GB2312" w:cs="Times New Roman"/>
          <w:bCs/>
          <w:kern w:val="0"/>
          <w:sz w:val="32"/>
          <w:szCs w:val="32"/>
          <w:lang w:eastAsia="zh-CN"/>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Times New Roman"/>
          <w:bCs/>
          <w:kern w:val="0"/>
          <w:sz w:val="32"/>
          <w:szCs w:val="32"/>
          <w:lang w:eastAsia="zh-CN"/>
        </w:rPr>
        <w:t>道县农业农村局</w:t>
      </w:r>
      <w:r>
        <w:rPr>
          <w:rFonts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年部门决算汇总公开单位构成包括：</w:t>
      </w:r>
      <w:r>
        <w:rPr>
          <w:rFonts w:hint="eastAsia" w:ascii="Times New Roman" w:hAnsi="Times New Roman" w:eastAsia="仿宋_GB2312" w:cs="Times New Roman"/>
          <w:bCs/>
          <w:kern w:val="0"/>
          <w:sz w:val="32"/>
          <w:szCs w:val="32"/>
          <w:lang w:eastAsia="zh-CN"/>
        </w:rPr>
        <w:t>本次决算只包括道县农业农村局</w:t>
      </w:r>
      <w:r>
        <w:rPr>
          <w:rFonts w:ascii="Times New Roman" w:hAnsi="Times New Roman" w:eastAsia="仿宋_GB2312" w:cs="Times New Roman"/>
          <w:bCs/>
          <w:kern w:val="0"/>
          <w:sz w:val="32"/>
          <w:szCs w:val="32"/>
        </w:rPr>
        <w:t>本级</w:t>
      </w:r>
      <w:r>
        <w:rPr>
          <w:rFonts w:hint="eastAsia" w:ascii="Times New Roman" w:hAnsi="Times New Roman" w:eastAsia="仿宋_GB2312" w:cs="Times New Roman"/>
          <w:bCs/>
          <w:kern w:val="0"/>
          <w:sz w:val="32"/>
          <w:szCs w:val="32"/>
          <w:lang w:eastAsia="zh-CN"/>
        </w:rPr>
        <w:t>，不包括二级机构。</w:t>
      </w: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pStyle w:val="9"/>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pPr>
        <w:pStyle w:val="14"/>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道县农业农村局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10"/>
        <w:tblW w:w="14896" w:type="dxa"/>
        <w:jc w:val="center"/>
        <w:tblLayout w:type="autofit"/>
        <w:tblCellMar>
          <w:top w:w="0" w:type="dxa"/>
          <w:left w:w="108" w:type="dxa"/>
          <w:bottom w:w="0" w:type="dxa"/>
          <w:right w:w="108" w:type="dxa"/>
        </w:tblCellMar>
      </w:tblPr>
      <w:tblGrid>
        <w:gridCol w:w="5651"/>
        <w:gridCol w:w="834"/>
        <w:gridCol w:w="1409"/>
        <w:gridCol w:w="4759"/>
        <w:gridCol w:w="834"/>
        <w:gridCol w:w="1409"/>
      </w:tblGrid>
      <w:tr>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32556.25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hint="eastAsia" w:ascii="Times New Roman" w:hAnsi="Times New Roman" w:eastAsia="仿宋_GB2312" w:cs="Times New Roman"/>
                <w:color w:val="000000"/>
                <w:kern w:val="0"/>
                <w:sz w:val="22"/>
                <w:lang w:eastAsia="zh-CN" w:bidi="ar"/>
              </w:rPr>
            </w:pPr>
            <w:r>
              <w:rPr>
                <w:rFonts w:hint="eastAsia" w:ascii="Times New Roman" w:hAnsi="Times New Roman" w:eastAsia="仿宋_GB2312" w:cs="Times New Roman"/>
                <w:color w:val="000000"/>
                <w:kern w:val="0"/>
                <w:sz w:val="22"/>
                <w:lang w:eastAsia="zh-CN" w:bidi="ar"/>
              </w:rPr>
              <w:t>八、社会保障和就业支出</w:t>
            </w:r>
          </w:p>
          <w:p>
            <w:pPr>
              <w:widowControl/>
              <w:jc w:val="left"/>
              <w:textAlignment w:val="center"/>
              <w:rPr>
                <w:rFonts w:hint="eastAsia" w:ascii="Times New Roman" w:hAnsi="Times New Roman" w:eastAsia="仿宋_GB2312" w:cs="Times New Roman"/>
                <w:color w:val="000000"/>
                <w:kern w:val="0"/>
                <w:sz w:val="22"/>
                <w:lang w:eastAsia="zh-CN" w:bidi="ar"/>
              </w:rPr>
            </w:pPr>
            <w:r>
              <w:rPr>
                <w:rFonts w:hint="eastAsia" w:ascii="Times New Roman" w:hAnsi="Times New Roman" w:eastAsia="仿宋_GB2312" w:cs="Times New Roman"/>
                <w:color w:val="000000"/>
                <w:kern w:val="0"/>
                <w:sz w:val="22"/>
                <w:lang w:eastAsia="zh-CN" w:bidi="ar"/>
              </w:rPr>
              <w:t>九、卫生健康支出</w:t>
            </w:r>
          </w:p>
          <w:p>
            <w:pPr>
              <w:widowControl/>
              <w:jc w:val="left"/>
              <w:textAlignment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kern w:val="0"/>
                <w:sz w:val="22"/>
                <w:lang w:eastAsia="zh-CN" w:bidi="ar"/>
              </w:rPr>
              <w:t>十、节能环保支出</w:t>
            </w:r>
            <w:r>
              <w:rPr>
                <w:rFonts w:ascii="Times New Roman" w:hAnsi="Times New Roman" w:eastAsia="仿宋_GB2312" w:cs="Times New Roman"/>
                <w:color w:val="000000"/>
                <w:kern w:val="0"/>
                <w:sz w:val="22"/>
                <w:lang w:bidi="ar"/>
              </w:rPr>
              <w:t>、科学技术支出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278.60</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kern w:val="0"/>
                <w:sz w:val="24"/>
                <w:szCs w:val="24"/>
                <w:lang w:eastAsia="zh-CN" w:bidi="ar"/>
              </w:rPr>
              <w:t>九、</w:t>
            </w:r>
            <w:r>
              <w:rPr>
                <w:rFonts w:hint="eastAsia" w:ascii="Times New Roman" w:hAnsi="Times New Roman" w:eastAsia="仿宋_GB2312" w:cs="Times New Roman"/>
                <w:color w:val="000000"/>
                <w:kern w:val="0"/>
                <w:sz w:val="24"/>
                <w:szCs w:val="24"/>
                <w:lang w:bidi="ar"/>
              </w:rPr>
              <w:t>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121.91</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十、节能环保支出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1200</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Times New Roman" w:hAnsi="Times New Roman" w:eastAsia="仿宋_GB2312" w:cs="Times New Roman"/>
                <w:color w:val="000000"/>
                <w:sz w:val="20"/>
                <w:szCs w:val="20"/>
                <w:lang w:eastAsia="zh-CN"/>
              </w:rPr>
            </w:pPr>
            <w:r>
              <w:rPr>
                <w:rFonts w:hint="eastAsia" w:ascii="Times New Roman" w:hAnsi="Times New Roman" w:eastAsia="仿宋_GB2312" w:cs="Times New Roman"/>
                <w:color w:val="000000"/>
                <w:sz w:val="20"/>
                <w:szCs w:val="20"/>
                <w:lang w:eastAsia="zh-CN"/>
              </w:rPr>
              <w:t>十二、农林水支出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color w:val="000000"/>
                <w:sz w:val="22"/>
                <w:lang w:val="en-US" w:eastAsia="zh-CN"/>
              </w:rPr>
              <w:t>30955.74</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32556.25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b/>
                <w:color w:val="000000"/>
                <w:sz w:val="22"/>
              </w:rPr>
            </w:pPr>
            <w:r>
              <w:rPr>
                <w:rFonts w:hint="eastAsia" w:ascii="Times New Roman" w:hAnsi="Times New Roman" w:eastAsia="仿宋_GB2312" w:cs="Times New Roman"/>
                <w:color w:val="000000"/>
                <w:sz w:val="22"/>
                <w:lang w:val="en-US" w:eastAsia="zh-CN"/>
              </w:rPr>
              <w:t>32556.25</w:t>
            </w:r>
          </w:p>
        </w:tc>
      </w:tr>
    </w:tbl>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pPr>
        <w:rPr>
          <w:rFonts w:ascii="Times New Roman" w:hAnsi="Times New Roman" w:eastAsia="黑体" w:cs="Times New Roman"/>
          <w:color w:val="000000"/>
          <w:kern w:val="0"/>
          <w:sz w:val="32"/>
          <w:szCs w:val="32"/>
          <w:lang w:bidi="ar"/>
        </w:rPr>
      </w:pPr>
      <w:r>
        <w:rPr>
          <w:rFonts w:ascii="Times New Roman" w:hAnsi="Times New Roman" w:eastAsia="华文中宋" w:cs="Times New Roman"/>
          <w:color w:val="000000"/>
          <w:sz w:val="32"/>
          <w:szCs w:val="32"/>
        </w:rPr>
        <w:br w:type="page"/>
      </w:r>
    </w:p>
    <w:p>
      <w:pPr>
        <w:keepNext w:val="0"/>
        <w:keepLines w:val="0"/>
        <w:pageBreakBefore w:val="0"/>
        <w:widowControl/>
        <w:kinsoku/>
        <w:wordWrap/>
        <w:overflowPunct/>
        <w:topLinePunct w:val="0"/>
        <w:autoSpaceDE/>
        <w:autoSpaceDN/>
        <w:bidi w:val="0"/>
        <w:adjustRightInd/>
        <w:snapToGrid/>
        <w:spacing w:after="156" w:afterLines="50" w:line="480" w:lineRule="exact"/>
        <w:jc w:val="center"/>
        <w:textAlignment w:val="center"/>
        <w:rPr>
          <w:rFonts w:ascii="Times New Roman" w:hAnsi="Times New Roman" w:eastAsia="仿宋_GB2312" w:cs="Times New Roman"/>
          <w:color w:val="000000"/>
          <w:sz w:val="20"/>
          <w:szCs w:val="20"/>
        </w:rPr>
      </w:pPr>
      <w:r>
        <w:rPr>
          <w:rFonts w:hint="eastAsia" w:ascii="Times New Roman" w:hAnsi="Times New Roman" w:eastAsia="黑体" w:cs="Times New Roman"/>
          <w:color w:val="000000"/>
          <w:kern w:val="0"/>
          <w:sz w:val="36"/>
          <w:szCs w:val="36"/>
          <w:lang w:val="en-US" w:eastAsia="zh-CN" w:bidi="ar"/>
        </w:rPr>
        <w:t xml:space="preserve">                          </w:t>
      </w:r>
      <w:r>
        <w:rPr>
          <w:rFonts w:ascii="Times New Roman" w:hAnsi="Times New Roman" w:eastAsia="黑体" w:cs="Times New Roman"/>
          <w:color w:val="000000"/>
          <w:kern w:val="0"/>
          <w:sz w:val="36"/>
          <w:szCs w:val="36"/>
          <w:lang w:bidi="ar"/>
        </w:rPr>
        <w:t>收入决算表</w:t>
      </w:r>
      <w:r>
        <w:rPr>
          <w:rFonts w:hint="eastAsia" w:ascii="Times New Roman" w:hAnsi="Times New Roman" w:eastAsia="黑体" w:cs="Times New Roman"/>
          <w:color w:val="000000"/>
          <w:kern w:val="0"/>
          <w:sz w:val="36"/>
          <w:szCs w:val="36"/>
          <w:lang w:val="en-US" w:eastAsia="zh-CN" w:bidi="ar"/>
        </w:rPr>
        <w:t xml:space="preserve">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hint="eastAsia" w:ascii="Times New Roman" w:hAnsi="Times New Roman" w:eastAsia="仿宋_GB2312" w:cs="Times New Roman"/>
          <w:lang w:val="en-US" w:eastAsia="zh-CN"/>
        </w:rPr>
        <w:t xml:space="preserve">     </w:t>
      </w:r>
      <w:r>
        <w:rPr>
          <w:rFonts w:ascii="Times New Roman" w:hAnsi="Times New Roman" w:eastAsia="仿宋_GB2312" w:cs="Times New Roman"/>
          <w:color w:val="000000"/>
          <w:sz w:val="20"/>
          <w:szCs w:val="20"/>
        </w:rPr>
        <w:t>公开02表</w:t>
      </w:r>
      <w:r>
        <w:rPr>
          <w:rFonts w:ascii="Times New Roman" w:hAnsi="Times New Roman" w:eastAsia="仿宋_GB2312" w:cs="Times New Roman"/>
          <w:sz w:val="24"/>
          <w:szCs w:val="24"/>
        </w:rPr>
        <w:tab/>
      </w:r>
      <w:r>
        <w:rPr>
          <w:rFonts w:hint="eastAsia" w:ascii="Times New Roman" w:hAnsi="Times New Roman" w:eastAsia="黑体" w:cs="Times New Roman"/>
          <w:color w:val="000000"/>
          <w:kern w:val="0"/>
          <w:sz w:val="36"/>
          <w:szCs w:val="36"/>
          <w:lang w:val="en-US" w:eastAsia="zh-CN" w:bidi="ar"/>
        </w:rPr>
        <w:t xml:space="preserve"> </w:t>
      </w:r>
    </w:p>
    <w:p>
      <w:pPr>
        <w:keepNext w:val="0"/>
        <w:keepLines w:val="0"/>
        <w:pageBreakBefore w:val="0"/>
        <w:tabs>
          <w:tab w:val="left" w:pos="630"/>
          <w:tab w:val="left" w:pos="2100"/>
          <w:tab w:val="left" w:pos="3895"/>
          <w:tab w:val="left" w:pos="5690"/>
          <w:tab w:val="left" w:pos="7485"/>
          <w:tab w:val="left" w:pos="9280"/>
          <w:tab w:val="left" w:pos="11075"/>
          <w:tab w:val="left" w:pos="12870"/>
        </w:tabs>
        <w:kinsoku/>
        <w:wordWrap/>
        <w:overflowPunct/>
        <w:topLinePunct w:val="0"/>
        <w:autoSpaceDE/>
        <w:autoSpaceDN/>
        <w:bidi w:val="0"/>
        <w:adjustRightInd/>
        <w:snapToGrid/>
        <w:spacing w:line="240" w:lineRule="exact"/>
        <w:jc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kern w:val="0"/>
          <w:sz w:val="20"/>
          <w:szCs w:val="20"/>
          <w:lang w:eastAsia="zh-CN" w:bidi="ar"/>
        </w:rPr>
        <w:t>道县农业农村局</w:t>
      </w:r>
      <w:r>
        <w:rPr>
          <w:rFonts w:ascii="Times New Roman" w:hAnsi="Times New Roman" w:eastAsia="仿宋_GB2312" w:cs="Times New Roman"/>
        </w:rPr>
        <w:t>　</w:t>
      </w:r>
      <w:r>
        <w:rPr>
          <w:rFonts w:hint="eastAsia" w:ascii="Times New Roman" w:hAnsi="Times New Roman" w:eastAsia="仿宋_GB2312" w:cs="Times New Roman"/>
          <w:lang w:val="en-US" w:eastAsia="zh-CN"/>
        </w:rPr>
        <w:t xml:space="preserve">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10"/>
        <w:tblW w:w="14666" w:type="dxa"/>
        <w:jc w:val="center"/>
        <w:tblLayout w:type="fixed"/>
        <w:tblCellMar>
          <w:top w:w="0" w:type="dxa"/>
          <w:left w:w="0" w:type="dxa"/>
          <w:bottom w:w="0" w:type="dxa"/>
          <w:right w:w="0" w:type="dxa"/>
        </w:tblCellMar>
      </w:tblPr>
      <w:tblGrid>
        <w:gridCol w:w="1386"/>
        <w:gridCol w:w="3855"/>
        <w:gridCol w:w="1350"/>
        <w:gridCol w:w="1560"/>
        <w:gridCol w:w="1350"/>
        <w:gridCol w:w="1155"/>
        <w:gridCol w:w="1065"/>
        <w:gridCol w:w="1830"/>
        <w:gridCol w:w="1115"/>
      </w:tblGrid>
      <w:tr>
        <w:tblPrEx>
          <w:tblCellMar>
            <w:top w:w="0" w:type="dxa"/>
            <w:left w:w="0" w:type="dxa"/>
            <w:bottom w:w="0" w:type="dxa"/>
            <w:right w:w="0" w:type="dxa"/>
          </w:tblCellMar>
        </w:tblPrEx>
        <w:trPr>
          <w:trHeight w:val="450" w:hRule="atLeast"/>
          <w:jc w:val="center"/>
        </w:trPr>
        <w:tc>
          <w:tcPr>
            <w:tcW w:w="5241"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35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56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35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15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06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3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11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tblPrEx>
          <w:tblCellMar>
            <w:top w:w="0" w:type="dxa"/>
            <w:left w:w="0" w:type="dxa"/>
            <w:bottom w:w="0" w:type="dxa"/>
            <w:right w:w="0" w:type="dxa"/>
          </w:tblCellMar>
        </w:tblPrEx>
        <w:trPr>
          <w:trHeight w:val="334" w:hRule="exact"/>
          <w:jc w:val="center"/>
        </w:trPr>
        <w:tc>
          <w:tcPr>
            <w:tcW w:w="13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3855"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35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56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5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155"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065"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3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115"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312" w:hRule="atLeast"/>
          <w:jc w:val="center"/>
        </w:trPr>
        <w:tc>
          <w:tcPr>
            <w:tcW w:w="1386"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3855"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5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56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5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155"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065"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3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115"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312" w:hRule="exact"/>
          <w:jc w:val="center"/>
        </w:trPr>
        <w:tc>
          <w:tcPr>
            <w:tcW w:w="5241"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3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56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3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15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06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3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11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tblPrEx>
          <w:tblCellMar>
            <w:top w:w="0" w:type="dxa"/>
            <w:left w:w="0" w:type="dxa"/>
            <w:bottom w:w="0" w:type="dxa"/>
            <w:right w:w="0" w:type="dxa"/>
          </w:tblCellMar>
        </w:tblPrEx>
        <w:trPr>
          <w:trHeight w:val="312" w:hRule="exact"/>
          <w:jc w:val="center"/>
        </w:trPr>
        <w:tc>
          <w:tcPr>
            <w:tcW w:w="5241"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3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32556.25</w:t>
            </w:r>
          </w:p>
        </w:tc>
        <w:tc>
          <w:tcPr>
            <w:tcW w:w="15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32556.25</w:t>
            </w:r>
          </w:p>
        </w:tc>
        <w:tc>
          <w:tcPr>
            <w:tcW w:w="13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312" w:hRule="exact"/>
          <w:jc w:val="center"/>
        </w:trPr>
        <w:tc>
          <w:tcPr>
            <w:tcW w:w="13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bookmarkStart w:id="0" w:name="OLE_LINK1" w:colFirst="3" w:colLast="3"/>
            <w:r>
              <w:rPr>
                <w:rFonts w:ascii="Times New Roman" w:hAnsi="Times New Roman" w:eastAsia="仿宋_GB2312" w:cs="Times New Roman"/>
              </w:rPr>
              <w:t>　</w:t>
            </w:r>
            <w:r>
              <w:rPr>
                <w:rFonts w:hint="eastAsia" w:ascii="Times New Roman" w:hAnsi="Times New Roman" w:eastAsia="仿宋_GB2312" w:cs="Times New Roman"/>
              </w:rPr>
              <w:t>2080505</w:t>
            </w:r>
          </w:p>
        </w:tc>
        <w:tc>
          <w:tcPr>
            <w:tcW w:w="385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left"/>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机关事业单位基本养老保险缴费支出</w:t>
            </w:r>
          </w:p>
        </w:tc>
        <w:tc>
          <w:tcPr>
            <w:tcW w:w="13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211.37</w:t>
            </w:r>
          </w:p>
        </w:tc>
        <w:tc>
          <w:tcPr>
            <w:tcW w:w="15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211.37</w:t>
            </w:r>
          </w:p>
        </w:tc>
        <w:tc>
          <w:tcPr>
            <w:tcW w:w="13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312" w:hRule="exact"/>
          <w:jc w:val="center"/>
        </w:trPr>
        <w:tc>
          <w:tcPr>
            <w:tcW w:w="13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2080801</w:t>
            </w:r>
          </w:p>
        </w:tc>
        <w:tc>
          <w:tcPr>
            <w:tcW w:w="385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left"/>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死亡抚恤</w:t>
            </w:r>
          </w:p>
        </w:tc>
        <w:tc>
          <w:tcPr>
            <w:tcW w:w="13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67.23</w:t>
            </w:r>
          </w:p>
        </w:tc>
        <w:tc>
          <w:tcPr>
            <w:tcW w:w="15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67.23</w:t>
            </w:r>
          </w:p>
        </w:tc>
        <w:tc>
          <w:tcPr>
            <w:tcW w:w="13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312" w:hRule="exact"/>
          <w:jc w:val="center"/>
        </w:trPr>
        <w:tc>
          <w:tcPr>
            <w:tcW w:w="13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2101101</w:t>
            </w:r>
          </w:p>
        </w:tc>
        <w:tc>
          <w:tcPr>
            <w:tcW w:w="385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left"/>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行政单位医疗</w:t>
            </w:r>
          </w:p>
        </w:tc>
        <w:tc>
          <w:tcPr>
            <w:tcW w:w="13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121.91</w:t>
            </w:r>
          </w:p>
        </w:tc>
        <w:tc>
          <w:tcPr>
            <w:tcW w:w="15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121.91</w:t>
            </w:r>
          </w:p>
        </w:tc>
        <w:tc>
          <w:tcPr>
            <w:tcW w:w="13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312" w:hRule="exact"/>
          <w:jc w:val="center"/>
        </w:trPr>
        <w:tc>
          <w:tcPr>
            <w:tcW w:w="13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2110402</w:t>
            </w:r>
          </w:p>
        </w:tc>
        <w:tc>
          <w:tcPr>
            <w:tcW w:w="385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left"/>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农村环境保护</w:t>
            </w:r>
          </w:p>
        </w:tc>
        <w:tc>
          <w:tcPr>
            <w:tcW w:w="13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1200</w:t>
            </w:r>
          </w:p>
        </w:tc>
        <w:tc>
          <w:tcPr>
            <w:tcW w:w="15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1200</w:t>
            </w:r>
          </w:p>
        </w:tc>
        <w:tc>
          <w:tcPr>
            <w:tcW w:w="13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312" w:hRule="exact"/>
          <w:jc w:val="center"/>
        </w:trPr>
        <w:tc>
          <w:tcPr>
            <w:tcW w:w="13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2130101</w:t>
            </w:r>
          </w:p>
        </w:tc>
        <w:tc>
          <w:tcPr>
            <w:tcW w:w="385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left"/>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行政运行</w:t>
            </w:r>
          </w:p>
        </w:tc>
        <w:tc>
          <w:tcPr>
            <w:tcW w:w="13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1758.95</w:t>
            </w:r>
          </w:p>
        </w:tc>
        <w:tc>
          <w:tcPr>
            <w:tcW w:w="15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1758.95</w:t>
            </w:r>
          </w:p>
        </w:tc>
        <w:tc>
          <w:tcPr>
            <w:tcW w:w="13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312" w:hRule="exact"/>
          <w:jc w:val="center"/>
        </w:trPr>
        <w:tc>
          <w:tcPr>
            <w:tcW w:w="13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rPr>
            </w:pPr>
            <w:r>
              <w:rPr>
                <w:rFonts w:ascii="Times New Roman" w:hAnsi="Times New Roman" w:eastAsia="仿宋_GB2312" w:cs="Times New Roman"/>
              </w:rPr>
              <w:t>　</w:t>
            </w:r>
            <w:r>
              <w:rPr>
                <w:rFonts w:hint="eastAsia" w:ascii="Times New Roman" w:hAnsi="Times New Roman" w:eastAsia="仿宋_GB2312" w:cs="Times New Roman"/>
              </w:rPr>
              <w:t>2130104</w:t>
            </w:r>
          </w:p>
        </w:tc>
        <w:tc>
          <w:tcPr>
            <w:tcW w:w="385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left"/>
              <w:rPr>
                <w:rFonts w:ascii="Times New Roman" w:hAnsi="Times New Roman" w:eastAsia="仿宋_GB2312" w:cs="Times New Roman"/>
              </w:rPr>
            </w:pPr>
            <w:r>
              <w:rPr>
                <w:rFonts w:ascii="Times New Roman" w:hAnsi="Times New Roman" w:eastAsia="仿宋_GB2312" w:cs="Times New Roman"/>
              </w:rPr>
              <w:t>　</w:t>
            </w:r>
            <w:r>
              <w:rPr>
                <w:rFonts w:hint="eastAsia" w:ascii="Times New Roman" w:hAnsi="Times New Roman" w:eastAsia="仿宋_GB2312" w:cs="Times New Roman"/>
              </w:rPr>
              <w:t>事业运行</w:t>
            </w:r>
          </w:p>
        </w:tc>
        <w:tc>
          <w:tcPr>
            <w:tcW w:w="135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177.66</w:t>
            </w:r>
          </w:p>
        </w:tc>
        <w:tc>
          <w:tcPr>
            <w:tcW w:w="15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177.66</w:t>
            </w:r>
          </w:p>
        </w:tc>
        <w:tc>
          <w:tcPr>
            <w:tcW w:w="135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6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312" w:hRule="exact"/>
          <w:jc w:val="center"/>
        </w:trPr>
        <w:tc>
          <w:tcPr>
            <w:tcW w:w="13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2130106</w:t>
            </w:r>
          </w:p>
        </w:tc>
        <w:tc>
          <w:tcPr>
            <w:tcW w:w="385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left"/>
              <w:rPr>
                <w:rFonts w:ascii="Times New Roman" w:hAnsi="Times New Roman" w:eastAsia="仿宋_GB2312" w:cs="Times New Roman"/>
              </w:rPr>
            </w:pPr>
            <w:r>
              <w:rPr>
                <w:rFonts w:hint="eastAsia" w:ascii="Times New Roman" w:hAnsi="Times New Roman" w:eastAsia="仿宋_GB2312" w:cs="Times New Roman"/>
                <w:lang w:val="en-US" w:eastAsia="zh-CN"/>
              </w:rPr>
              <w:t>科技转化与推广服务</w:t>
            </w:r>
          </w:p>
        </w:tc>
        <w:tc>
          <w:tcPr>
            <w:tcW w:w="135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430.</w:t>
            </w:r>
          </w:p>
        </w:tc>
        <w:tc>
          <w:tcPr>
            <w:tcW w:w="15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430.</w:t>
            </w:r>
          </w:p>
        </w:tc>
        <w:tc>
          <w:tcPr>
            <w:tcW w:w="135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ascii="Times New Roman" w:hAnsi="Times New Roman" w:eastAsia="仿宋_GB2312" w:cs="Times New Roman"/>
                <w:lang w:val="en-US" w:eastAsia="zh-CN"/>
              </w:rPr>
            </w:pPr>
          </w:p>
        </w:tc>
        <w:tc>
          <w:tcPr>
            <w:tcW w:w="11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06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1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312" w:hRule="exact"/>
          <w:jc w:val="center"/>
        </w:trPr>
        <w:tc>
          <w:tcPr>
            <w:tcW w:w="13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2130108</w:t>
            </w:r>
          </w:p>
        </w:tc>
        <w:tc>
          <w:tcPr>
            <w:tcW w:w="385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left"/>
              <w:rPr>
                <w:rFonts w:ascii="Times New Roman" w:hAnsi="Times New Roman" w:eastAsia="仿宋_GB2312" w:cs="Times New Roman"/>
              </w:rPr>
            </w:pPr>
            <w:r>
              <w:rPr>
                <w:rFonts w:hint="eastAsia" w:ascii="Times New Roman" w:hAnsi="Times New Roman" w:eastAsia="仿宋_GB2312" w:cs="Times New Roman"/>
                <w:lang w:val="en-US" w:eastAsia="zh-CN"/>
              </w:rPr>
              <w:t>病虫害控制</w:t>
            </w:r>
          </w:p>
        </w:tc>
        <w:tc>
          <w:tcPr>
            <w:tcW w:w="135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120.86</w:t>
            </w:r>
          </w:p>
        </w:tc>
        <w:tc>
          <w:tcPr>
            <w:tcW w:w="15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120.86</w:t>
            </w:r>
          </w:p>
        </w:tc>
        <w:tc>
          <w:tcPr>
            <w:tcW w:w="135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ascii="Times New Roman" w:hAnsi="Times New Roman" w:eastAsia="仿宋_GB2312" w:cs="Times New Roman"/>
                <w:lang w:val="en-US" w:eastAsia="zh-CN"/>
              </w:rPr>
            </w:pPr>
          </w:p>
        </w:tc>
        <w:tc>
          <w:tcPr>
            <w:tcW w:w="11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06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1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312" w:hRule="exact"/>
          <w:jc w:val="center"/>
        </w:trPr>
        <w:tc>
          <w:tcPr>
            <w:tcW w:w="13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2130119</w:t>
            </w:r>
          </w:p>
        </w:tc>
        <w:tc>
          <w:tcPr>
            <w:tcW w:w="385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left"/>
              <w:rPr>
                <w:rFonts w:ascii="Times New Roman" w:hAnsi="Times New Roman" w:eastAsia="仿宋_GB2312" w:cs="Times New Roman"/>
              </w:rPr>
            </w:pPr>
            <w:r>
              <w:rPr>
                <w:rFonts w:hint="eastAsia" w:ascii="Times New Roman" w:hAnsi="Times New Roman" w:eastAsia="仿宋_GB2312" w:cs="Times New Roman"/>
                <w:lang w:val="en-US" w:eastAsia="zh-CN"/>
              </w:rPr>
              <w:t>防灾救灾</w:t>
            </w:r>
          </w:p>
        </w:tc>
        <w:tc>
          <w:tcPr>
            <w:tcW w:w="135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218</w:t>
            </w:r>
          </w:p>
        </w:tc>
        <w:tc>
          <w:tcPr>
            <w:tcW w:w="15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218</w:t>
            </w:r>
          </w:p>
        </w:tc>
        <w:tc>
          <w:tcPr>
            <w:tcW w:w="135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ascii="Times New Roman" w:hAnsi="Times New Roman" w:eastAsia="仿宋_GB2312" w:cs="Times New Roman"/>
                <w:lang w:val="en-US" w:eastAsia="zh-CN"/>
              </w:rPr>
            </w:pPr>
          </w:p>
        </w:tc>
        <w:tc>
          <w:tcPr>
            <w:tcW w:w="11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06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1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312" w:hRule="exact"/>
          <w:jc w:val="center"/>
        </w:trPr>
        <w:tc>
          <w:tcPr>
            <w:tcW w:w="13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2130120</w:t>
            </w:r>
          </w:p>
        </w:tc>
        <w:tc>
          <w:tcPr>
            <w:tcW w:w="385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left"/>
              <w:rPr>
                <w:rFonts w:ascii="Times New Roman" w:hAnsi="Times New Roman" w:eastAsia="仿宋_GB2312" w:cs="Times New Roman"/>
              </w:rPr>
            </w:pPr>
            <w:r>
              <w:rPr>
                <w:rFonts w:hint="eastAsia" w:ascii="Times New Roman" w:hAnsi="Times New Roman" w:eastAsia="仿宋_GB2312" w:cs="Times New Roman"/>
                <w:lang w:val="en-US" w:eastAsia="zh-CN"/>
              </w:rPr>
              <w:t>稳定农民收入补贴</w:t>
            </w:r>
          </w:p>
        </w:tc>
        <w:tc>
          <w:tcPr>
            <w:tcW w:w="135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6888</w:t>
            </w:r>
          </w:p>
        </w:tc>
        <w:tc>
          <w:tcPr>
            <w:tcW w:w="15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6888</w:t>
            </w:r>
          </w:p>
        </w:tc>
        <w:tc>
          <w:tcPr>
            <w:tcW w:w="135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1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06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1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312" w:hRule="exact"/>
          <w:jc w:val="center"/>
        </w:trPr>
        <w:tc>
          <w:tcPr>
            <w:tcW w:w="13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2130121</w:t>
            </w:r>
          </w:p>
        </w:tc>
        <w:tc>
          <w:tcPr>
            <w:tcW w:w="385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left"/>
              <w:rPr>
                <w:rFonts w:ascii="Times New Roman" w:hAnsi="Times New Roman" w:eastAsia="仿宋_GB2312" w:cs="Times New Roman"/>
              </w:rPr>
            </w:pPr>
            <w:r>
              <w:rPr>
                <w:rFonts w:hint="eastAsia" w:ascii="Times New Roman" w:hAnsi="Times New Roman" w:eastAsia="仿宋_GB2312" w:cs="Times New Roman"/>
                <w:lang w:val="en-US" w:eastAsia="zh-CN"/>
              </w:rPr>
              <w:t>农业结构调整补贴</w:t>
            </w:r>
          </w:p>
        </w:tc>
        <w:tc>
          <w:tcPr>
            <w:tcW w:w="135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1655.16</w:t>
            </w:r>
          </w:p>
        </w:tc>
        <w:tc>
          <w:tcPr>
            <w:tcW w:w="15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1655.16</w:t>
            </w:r>
          </w:p>
        </w:tc>
        <w:tc>
          <w:tcPr>
            <w:tcW w:w="135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1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06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1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312" w:hRule="exact"/>
          <w:jc w:val="center"/>
        </w:trPr>
        <w:tc>
          <w:tcPr>
            <w:tcW w:w="13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2130122</w:t>
            </w:r>
          </w:p>
        </w:tc>
        <w:tc>
          <w:tcPr>
            <w:tcW w:w="385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left"/>
              <w:rPr>
                <w:rFonts w:ascii="Times New Roman" w:hAnsi="Times New Roman" w:eastAsia="仿宋_GB2312" w:cs="Times New Roman"/>
              </w:rPr>
            </w:pPr>
            <w:r>
              <w:rPr>
                <w:rFonts w:hint="eastAsia" w:ascii="Times New Roman" w:hAnsi="Times New Roman" w:eastAsia="仿宋_GB2312" w:cs="Times New Roman"/>
                <w:lang w:val="en-US" w:eastAsia="zh-CN"/>
              </w:rPr>
              <w:t>农业生产发展</w:t>
            </w:r>
          </w:p>
        </w:tc>
        <w:tc>
          <w:tcPr>
            <w:tcW w:w="135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883</w:t>
            </w:r>
          </w:p>
        </w:tc>
        <w:tc>
          <w:tcPr>
            <w:tcW w:w="15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883</w:t>
            </w:r>
          </w:p>
        </w:tc>
        <w:tc>
          <w:tcPr>
            <w:tcW w:w="135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1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06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1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312" w:hRule="exact"/>
          <w:jc w:val="center"/>
        </w:trPr>
        <w:tc>
          <w:tcPr>
            <w:tcW w:w="13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2130135</w:t>
            </w:r>
          </w:p>
        </w:tc>
        <w:tc>
          <w:tcPr>
            <w:tcW w:w="385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left"/>
              <w:rPr>
                <w:rFonts w:ascii="Times New Roman" w:hAnsi="Times New Roman" w:eastAsia="仿宋_GB2312" w:cs="Times New Roman"/>
              </w:rPr>
            </w:pPr>
            <w:r>
              <w:rPr>
                <w:rFonts w:hint="eastAsia" w:ascii="Times New Roman" w:hAnsi="Times New Roman" w:eastAsia="仿宋_GB2312" w:cs="Times New Roman"/>
                <w:lang w:val="en-US" w:eastAsia="zh-CN"/>
              </w:rPr>
              <w:t>农业生态资源保护</w:t>
            </w:r>
          </w:p>
        </w:tc>
        <w:tc>
          <w:tcPr>
            <w:tcW w:w="135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172</w:t>
            </w:r>
          </w:p>
        </w:tc>
        <w:tc>
          <w:tcPr>
            <w:tcW w:w="15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172</w:t>
            </w:r>
          </w:p>
        </w:tc>
        <w:tc>
          <w:tcPr>
            <w:tcW w:w="135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1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06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1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312" w:hRule="exact"/>
          <w:jc w:val="center"/>
        </w:trPr>
        <w:tc>
          <w:tcPr>
            <w:tcW w:w="13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2130153</w:t>
            </w:r>
          </w:p>
        </w:tc>
        <w:tc>
          <w:tcPr>
            <w:tcW w:w="385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left"/>
              <w:rPr>
                <w:rFonts w:ascii="Times New Roman" w:hAnsi="Times New Roman" w:eastAsia="仿宋_GB2312" w:cs="Times New Roman"/>
              </w:rPr>
            </w:pPr>
            <w:r>
              <w:rPr>
                <w:rFonts w:hint="eastAsia" w:ascii="Times New Roman" w:hAnsi="Times New Roman" w:eastAsia="仿宋_GB2312" w:cs="Times New Roman"/>
                <w:lang w:val="en-US" w:eastAsia="zh-CN"/>
              </w:rPr>
              <w:t>耕地建设与利用</w:t>
            </w:r>
          </w:p>
        </w:tc>
        <w:tc>
          <w:tcPr>
            <w:tcW w:w="135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6217.5</w:t>
            </w:r>
          </w:p>
        </w:tc>
        <w:tc>
          <w:tcPr>
            <w:tcW w:w="15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6217.5</w:t>
            </w:r>
          </w:p>
        </w:tc>
        <w:tc>
          <w:tcPr>
            <w:tcW w:w="135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1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06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1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312" w:hRule="exact"/>
          <w:jc w:val="center"/>
        </w:trPr>
        <w:tc>
          <w:tcPr>
            <w:tcW w:w="13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2130199</w:t>
            </w:r>
          </w:p>
        </w:tc>
        <w:tc>
          <w:tcPr>
            <w:tcW w:w="385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left"/>
              <w:rPr>
                <w:rFonts w:ascii="Times New Roman" w:hAnsi="Times New Roman" w:eastAsia="仿宋_GB2312" w:cs="Times New Roman"/>
              </w:rPr>
            </w:pPr>
            <w:r>
              <w:rPr>
                <w:rFonts w:hint="eastAsia" w:ascii="Times New Roman" w:hAnsi="Times New Roman" w:eastAsia="仿宋_GB2312" w:cs="Times New Roman"/>
                <w:lang w:val="en-US" w:eastAsia="zh-CN"/>
              </w:rPr>
              <w:t>其他农业农村支出</w:t>
            </w:r>
          </w:p>
        </w:tc>
        <w:tc>
          <w:tcPr>
            <w:tcW w:w="135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100</w:t>
            </w:r>
          </w:p>
        </w:tc>
        <w:tc>
          <w:tcPr>
            <w:tcW w:w="15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100</w:t>
            </w:r>
          </w:p>
        </w:tc>
        <w:tc>
          <w:tcPr>
            <w:tcW w:w="135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1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06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1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312" w:hRule="exact"/>
          <w:jc w:val="center"/>
        </w:trPr>
        <w:tc>
          <w:tcPr>
            <w:tcW w:w="13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2130505</w:t>
            </w:r>
          </w:p>
        </w:tc>
        <w:tc>
          <w:tcPr>
            <w:tcW w:w="385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lef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生产发展</w:t>
            </w:r>
          </w:p>
        </w:tc>
        <w:tc>
          <w:tcPr>
            <w:tcW w:w="135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6115</w:t>
            </w:r>
          </w:p>
        </w:tc>
        <w:tc>
          <w:tcPr>
            <w:tcW w:w="15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6115</w:t>
            </w:r>
          </w:p>
        </w:tc>
        <w:tc>
          <w:tcPr>
            <w:tcW w:w="135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1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06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1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312" w:hRule="exact"/>
          <w:jc w:val="center"/>
        </w:trPr>
        <w:tc>
          <w:tcPr>
            <w:tcW w:w="13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2130599</w:t>
            </w:r>
          </w:p>
        </w:tc>
        <w:tc>
          <w:tcPr>
            <w:tcW w:w="385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lef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其他巩固脱贫攻坚成果衔接乡村振兴支出</w:t>
            </w:r>
          </w:p>
        </w:tc>
        <w:tc>
          <w:tcPr>
            <w:tcW w:w="135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4102</w:t>
            </w:r>
          </w:p>
        </w:tc>
        <w:tc>
          <w:tcPr>
            <w:tcW w:w="15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4102</w:t>
            </w:r>
          </w:p>
        </w:tc>
        <w:tc>
          <w:tcPr>
            <w:tcW w:w="135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1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06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1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312" w:hRule="exact"/>
          <w:jc w:val="center"/>
        </w:trPr>
        <w:tc>
          <w:tcPr>
            <w:tcW w:w="13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2130999</w:t>
            </w:r>
          </w:p>
        </w:tc>
        <w:tc>
          <w:tcPr>
            <w:tcW w:w="385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其他目标价格补贴</w:t>
            </w:r>
          </w:p>
        </w:tc>
        <w:tc>
          <w:tcPr>
            <w:tcW w:w="135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rPr>
            </w:pPr>
            <w:r>
              <w:rPr>
                <w:rFonts w:hint="eastAsia" w:ascii="Times New Roman" w:hAnsi="Times New Roman" w:eastAsia="仿宋_GB2312" w:cs="Times New Roman"/>
                <w:lang w:val="en-US" w:eastAsia="zh-CN"/>
              </w:rPr>
              <w:t>2117.61</w:t>
            </w:r>
          </w:p>
        </w:tc>
        <w:tc>
          <w:tcPr>
            <w:tcW w:w="15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Times New Roman" w:hAnsi="Times New Roman" w:eastAsia="仿宋_GB2312" w:cs="Times New Roman"/>
                <w:lang w:val="en-US" w:eastAsia="zh-CN"/>
              </w:rPr>
              <w:t>2117.61</w:t>
            </w:r>
          </w:p>
        </w:tc>
        <w:tc>
          <w:tcPr>
            <w:tcW w:w="135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1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06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1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bookmarkEnd w:id="0"/>
    </w:tbl>
    <w:p>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bidi="ar"/>
        </w:rPr>
        <w:t>道县农业农村局</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10"/>
        <w:tblW w:w="4996" w:type="pct"/>
        <w:jc w:val="center"/>
        <w:tblLayout w:type="fixed"/>
        <w:tblCellMar>
          <w:top w:w="0" w:type="dxa"/>
          <w:left w:w="108" w:type="dxa"/>
          <w:bottom w:w="0" w:type="dxa"/>
          <w:right w:w="108" w:type="dxa"/>
        </w:tblCellMar>
      </w:tblPr>
      <w:tblGrid>
        <w:gridCol w:w="1310"/>
        <w:gridCol w:w="4252"/>
        <w:gridCol w:w="1517"/>
        <w:gridCol w:w="1382"/>
        <w:gridCol w:w="1397"/>
        <w:gridCol w:w="1397"/>
        <w:gridCol w:w="1262"/>
        <w:gridCol w:w="1714"/>
      </w:tblGrid>
      <w:tr>
        <w:tblPrEx>
          <w:tblCellMar>
            <w:top w:w="0" w:type="dxa"/>
            <w:left w:w="108" w:type="dxa"/>
            <w:bottom w:w="0" w:type="dxa"/>
            <w:right w:w="108" w:type="dxa"/>
          </w:tblCellMar>
        </w:tblPrEx>
        <w:trPr>
          <w:trHeight w:val="425" w:hRule="atLeast"/>
          <w:jc w:val="center"/>
        </w:trPr>
        <w:tc>
          <w:tcPr>
            <w:tcW w:w="1954"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533"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85"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9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49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43"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60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tblPrEx>
          <w:tblCellMar>
            <w:top w:w="0" w:type="dxa"/>
            <w:left w:w="108" w:type="dxa"/>
            <w:bottom w:w="0" w:type="dxa"/>
            <w:right w:w="108" w:type="dxa"/>
          </w:tblCellMar>
        </w:tblPrEx>
        <w:trPr>
          <w:trHeight w:val="312" w:hRule="exact"/>
          <w:jc w:val="center"/>
        </w:trPr>
        <w:tc>
          <w:tcPr>
            <w:tcW w:w="4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493" w:type="pct"/>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533"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85"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9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9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43"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60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r>
      <w:tr>
        <w:tblPrEx>
          <w:tblCellMar>
            <w:top w:w="0" w:type="dxa"/>
            <w:left w:w="108" w:type="dxa"/>
            <w:bottom w:w="0" w:type="dxa"/>
            <w:right w:w="108" w:type="dxa"/>
          </w:tblCellMar>
        </w:tblPrEx>
        <w:trPr>
          <w:trHeight w:val="595" w:hRule="atLeast"/>
          <w:jc w:val="center"/>
        </w:trPr>
        <w:tc>
          <w:tcPr>
            <w:tcW w:w="4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1493" w:type="pct"/>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533"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85"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9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9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43"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60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312" w:hRule="exact"/>
          <w:jc w:val="center"/>
        </w:trPr>
        <w:tc>
          <w:tcPr>
            <w:tcW w:w="1954"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533"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85"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90"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490"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43"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602"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tblPrEx>
          <w:tblCellMar>
            <w:top w:w="0" w:type="dxa"/>
            <w:left w:w="108" w:type="dxa"/>
            <w:bottom w:w="0" w:type="dxa"/>
            <w:right w:w="108" w:type="dxa"/>
          </w:tblCellMar>
        </w:tblPrEx>
        <w:trPr>
          <w:trHeight w:val="312" w:hRule="exact"/>
          <w:jc w:val="center"/>
        </w:trPr>
        <w:tc>
          <w:tcPr>
            <w:tcW w:w="1954"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533"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32556.25</w:t>
            </w:r>
          </w:p>
        </w:tc>
        <w:tc>
          <w:tcPr>
            <w:tcW w:w="485"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2437.12</w:t>
            </w:r>
          </w:p>
        </w:tc>
        <w:tc>
          <w:tcPr>
            <w:tcW w:w="490"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30119</w:t>
            </w:r>
            <w:r>
              <w:rPr>
                <w:rFonts w:hint="eastAsia" w:ascii="Times New Roman" w:hAnsi="Times New Roman" w:eastAsia="仿宋_GB2312" w:cs="Times New Roman"/>
                <w:kern w:val="0"/>
                <w:sz w:val="24"/>
                <w:szCs w:val="24"/>
                <w:lang w:val="en-US" w:eastAsia="zh-CN"/>
              </w:rPr>
              <w:t>.</w:t>
            </w:r>
            <w:r>
              <w:rPr>
                <w:rFonts w:hint="eastAsia" w:ascii="Times New Roman" w:hAnsi="Times New Roman" w:eastAsia="仿宋_GB2312" w:cs="Times New Roman"/>
                <w:kern w:val="0"/>
                <w:sz w:val="24"/>
                <w:szCs w:val="24"/>
              </w:rPr>
              <w:t>13.</w:t>
            </w:r>
          </w:p>
        </w:tc>
        <w:tc>
          <w:tcPr>
            <w:tcW w:w="49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43"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02"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312" w:hRule="exact"/>
          <w:jc w:val="center"/>
        </w:trPr>
        <w:tc>
          <w:tcPr>
            <w:tcW w:w="460"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left"/>
              <w:rPr>
                <w:rFonts w:ascii="Times New Roman" w:hAnsi="Times New Roman" w:eastAsia="仿宋_GB2312" w:cs="Times New Roman"/>
                <w:kern w:val="2"/>
                <w:sz w:val="24"/>
                <w:szCs w:val="24"/>
                <w:lang w:val="en-US" w:eastAsia="zh-CN" w:bidi="ar-SA"/>
              </w:rPr>
            </w:pPr>
            <w:bookmarkStart w:id="1" w:name="OLE_LINK3" w:colFirst="3" w:colLast="3"/>
            <w:r>
              <w:rPr>
                <w:rFonts w:hint="eastAsia" w:ascii="Times New Roman" w:hAnsi="Times New Roman" w:eastAsia="仿宋_GB2312" w:cs="Times New Roman"/>
              </w:rPr>
              <w:t>2080505</w:t>
            </w:r>
          </w:p>
        </w:tc>
        <w:tc>
          <w:tcPr>
            <w:tcW w:w="1493"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lef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机关事业单位基本养老保险缴费支出</w:t>
            </w:r>
          </w:p>
        </w:tc>
        <w:tc>
          <w:tcPr>
            <w:tcW w:w="533"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211.37</w:t>
            </w:r>
          </w:p>
        </w:tc>
        <w:tc>
          <w:tcPr>
            <w:tcW w:w="485"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211.37</w:t>
            </w:r>
          </w:p>
        </w:tc>
        <w:tc>
          <w:tcPr>
            <w:tcW w:w="49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49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43"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02"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312" w:hRule="exact"/>
          <w:jc w:val="center"/>
        </w:trPr>
        <w:tc>
          <w:tcPr>
            <w:tcW w:w="460"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lef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2080801</w:t>
            </w:r>
          </w:p>
        </w:tc>
        <w:tc>
          <w:tcPr>
            <w:tcW w:w="1493"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lef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死亡抚恤</w:t>
            </w:r>
          </w:p>
        </w:tc>
        <w:tc>
          <w:tcPr>
            <w:tcW w:w="533"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67.23</w:t>
            </w:r>
          </w:p>
        </w:tc>
        <w:tc>
          <w:tcPr>
            <w:tcW w:w="485"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67.23</w:t>
            </w:r>
          </w:p>
        </w:tc>
        <w:tc>
          <w:tcPr>
            <w:tcW w:w="49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49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43"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02"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312" w:hRule="exact"/>
          <w:jc w:val="center"/>
        </w:trPr>
        <w:tc>
          <w:tcPr>
            <w:tcW w:w="460"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lef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2101101</w:t>
            </w:r>
          </w:p>
        </w:tc>
        <w:tc>
          <w:tcPr>
            <w:tcW w:w="1493"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lef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行政单位医疗</w:t>
            </w:r>
          </w:p>
        </w:tc>
        <w:tc>
          <w:tcPr>
            <w:tcW w:w="533"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121.91</w:t>
            </w:r>
          </w:p>
        </w:tc>
        <w:tc>
          <w:tcPr>
            <w:tcW w:w="485"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121.91</w:t>
            </w:r>
          </w:p>
        </w:tc>
        <w:tc>
          <w:tcPr>
            <w:tcW w:w="49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49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43"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02"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312" w:hRule="exact"/>
          <w:jc w:val="center"/>
        </w:trPr>
        <w:tc>
          <w:tcPr>
            <w:tcW w:w="460"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left"/>
              <w:rPr>
                <w:rFonts w:ascii="Times New Roman" w:hAnsi="Times New Roman" w:eastAsia="仿宋_GB2312" w:cs="Times New Roman"/>
                <w:kern w:val="2"/>
                <w:sz w:val="24"/>
                <w:szCs w:val="24"/>
                <w:lang w:val="en-US" w:eastAsia="zh-CN" w:bidi="ar-SA"/>
              </w:rPr>
            </w:pPr>
            <w:bookmarkStart w:id="2" w:name="OLE_LINK2" w:colFirst="4" w:colLast="4"/>
            <w:r>
              <w:rPr>
                <w:rFonts w:hint="eastAsia" w:ascii="Times New Roman" w:hAnsi="Times New Roman" w:eastAsia="仿宋_GB2312" w:cs="Times New Roman"/>
              </w:rPr>
              <w:t>2110402</w:t>
            </w:r>
          </w:p>
        </w:tc>
        <w:tc>
          <w:tcPr>
            <w:tcW w:w="1493"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lef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农村环境保护</w:t>
            </w:r>
          </w:p>
        </w:tc>
        <w:tc>
          <w:tcPr>
            <w:tcW w:w="533"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1200</w:t>
            </w:r>
          </w:p>
        </w:tc>
        <w:tc>
          <w:tcPr>
            <w:tcW w:w="485"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2"/>
                <w:sz w:val="24"/>
                <w:szCs w:val="24"/>
                <w:lang w:val="en-US" w:eastAsia="zh-CN" w:bidi="ar-SA"/>
              </w:rPr>
            </w:pPr>
          </w:p>
        </w:tc>
        <w:tc>
          <w:tcPr>
            <w:tcW w:w="49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1200</w:t>
            </w:r>
          </w:p>
        </w:tc>
        <w:tc>
          <w:tcPr>
            <w:tcW w:w="49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43"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02"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312" w:hRule="exact"/>
          <w:jc w:val="center"/>
        </w:trPr>
        <w:tc>
          <w:tcPr>
            <w:tcW w:w="460"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lef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2130101</w:t>
            </w:r>
          </w:p>
        </w:tc>
        <w:tc>
          <w:tcPr>
            <w:tcW w:w="1493"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lef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行政运行</w:t>
            </w:r>
          </w:p>
        </w:tc>
        <w:tc>
          <w:tcPr>
            <w:tcW w:w="533"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1758.95</w:t>
            </w:r>
          </w:p>
        </w:tc>
        <w:tc>
          <w:tcPr>
            <w:tcW w:w="485"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1758.95</w:t>
            </w:r>
          </w:p>
        </w:tc>
        <w:tc>
          <w:tcPr>
            <w:tcW w:w="49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49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43"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02"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312" w:hRule="exact"/>
          <w:jc w:val="center"/>
        </w:trPr>
        <w:tc>
          <w:tcPr>
            <w:tcW w:w="460"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lef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2130104</w:t>
            </w:r>
          </w:p>
        </w:tc>
        <w:tc>
          <w:tcPr>
            <w:tcW w:w="1493"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lef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事业运行</w:t>
            </w:r>
          </w:p>
        </w:tc>
        <w:tc>
          <w:tcPr>
            <w:tcW w:w="533"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177.66</w:t>
            </w:r>
          </w:p>
        </w:tc>
        <w:tc>
          <w:tcPr>
            <w:tcW w:w="485"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177.66</w:t>
            </w:r>
          </w:p>
        </w:tc>
        <w:tc>
          <w:tcPr>
            <w:tcW w:w="49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49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43"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02"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312" w:hRule="exact"/>
          <w:jc w:val="center"/>
        </w:trPr>
        <w:tc>
          <w:tcPr>
            <w:tcW w:w="460"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lef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2130106</w:t>
            </w:r>
          </w:p>
        </w:tc>
        <w:tc>
          <w:tcPr>
            <w:tcW w:w="1493"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both"/>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科技转化与推广服务</w:t>
            </w:r>
          </w:p>
        </w:tc>
        <w:tc>
          <w:tcPr>
            <w:tcW w:w="533"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430.</w:t>
            </w:r>
          </w:p>
        </w:tc>
        <w:tc>
          <w:tcPr>
            <w:tcW w:w="485"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Times New Roman" w:hAnsi="Times New Roman" w:eastAsia="仿宋_GB2312" w:cs="Times New Roman"/>
                <w:kern w:val="2"/>
                <w:sz w:val="21"/>
                <w:szCs w:val="22"/>
                <w:lang w:val="en-US" w:eastAsia="zh-CN" w:bidi="ar-SA"/>
              </w:rPr>
            </w:pPr>
          </w:p>
        </w:tc>
        <w:tc>
          <w:tcPr>
            <w:tcW w:w="490"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430.</w:t>
            </w:r>
          </w:p>
        </w:tc>
        <w:tc>
          <w:tcPr>
            <w:tcW w:w="49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43"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602"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312" w:hRule="exact"/>
          <w:jc w:val="center"/>
        </w:trPr>
        <w:tc>
          <w:tcPr>
            <w:tcW w:w="460"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lef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2130108</w:t>
            </w:r>
          </w:p>
        </w:tc>
        <w:tc>
          <w:tcPr>
            <w:tcW w:w="1493"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both"/>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病虫害控制</w:t>
            </w:r>
          </w:p>
        </w:tc>
        <w:tc>
          <w:tcPr>
            <w:tcW w:w="533"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120.86</w:t>
            </w:r>
          </w:p>
        </w:tc>
        <w:tc>
          <w:tcPr>
            <w:tcW w:w="485"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Times New Roman" w:hAnsi="Times New Roman" w:eastAsia="仿宋_GB2312" w:cs="Times New Roman"/>
                <w:kern w:val="2"/>
                <w:sz w:val="21"/>
                <w:szCs w:val="22"/>
                <w:lang w:val="en-US" w:eastAsia="zh-CN" w:bidi="ar-SA"/>
              </w:rPr>
            </w:pPr>
          </w:p>
        </w:tc>
        <w:tc>
          <w:tcPr>
            <w:tcW w:w="490"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120.86</w:t>
            </w:r>
          </w:p>
        </w:tc>
        <w:tc>
          <w:tcPr>
            <w:tcW w:w="49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43"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602"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312" w:hRule="exact"/>
          <w:jc w:val="center"/>
        </w:trPr>
        <w:tc>
          <w:tcPr>
            <w:tcW w:w="460"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lef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2130119</w:t>
            </w:r>
          </w:p>
        </w:tc>
        <w:tc>
          <w:tcPr>
            <w:tcW w:w="1493"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both"/>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防灾救灾</w:t>
            </w:r>
          </w:p>
        </w:tc>
        <w:tc>
          <w:tcPr>
            <w:tcW w:w="533"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218</w:t>
            </w:r>
          </w:p>
        </w:tc>
        <w:tc>
          <w:tcPr>
            <w:tcW w:w="485"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Times New Roman" w:hAnsi="Times New Roman" w:eastAsia="仿宋_GB2312" w:cs="Times New Roman"/>
                <w:kern w:val="2"/>
                <w:sz w:val="21"/>
                <w:szCs w:val="22"/>
                <w:lang w:val="en-US" w:eastAsia="zh-CN" w:bidi="ar-SA"/>
              </w:rPr>
            </w:pPr>
          </w:p>
        </w:tc>
        <w:tc>
          <w:tcPr>
            <w:tcW w:w="490"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218</w:t>
            </w:r>
          </w:p>
        </w:tc>
        <w:tc>
          <w:tcPr>
            <w:tcW w:w="49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43"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602"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312" w:hRule="exact"/>
          <w:jc w:val="center"/>
        </w:trPr>
        <w:tc>
          <w:tcPr>
            <w:tcW w:w="460"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lef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2130120</w:t>
            </w:r>
          </w:p>
        </w:tc>
        <w:tc>
          <w:tcPr>
            <w:tcW w:w="1493"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both"/>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稳定农民收入补贴</w:t>
            </w:r>
          </w:p>
        </w:tc>
        <w:tc>
          <w:tcPr>
            <w:tcW w:w="533"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6888</w:t>
            </w:r>
          </w:p>
        </w:tc>
        <w:tc>
          <w:tcPr>
            <w:tcW w:w="485"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2"/>
                <w:sz w:val="21"/>
                <w:szCs w:val="22"/>
                <w:lang w:val="en-US" w:eastAsia="zh-CN" w:bidi="ar-SA"/>
              </w:rPr>
            </w:pPr>
          </w:p>
        </w:tc>
        <w:tc>
          <w:tcPr>
            <w:tcW w:w="490"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6888</w:t>
            </w:r>
          </w:p>
        </w:tc>
        <w:tc>
          <w:tcPr>
            <w:tcW w:w="49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43"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602"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312" w:hRule="exact"/>
          <w:jc w:val="center"/>
        </w:trPr>
        <w:tc>
          <w:tcPr>
            <w:tcW w:w="460"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lef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2130121</w:t>
            </w:r>
          </w:p>
        </w:tc>
        <w:tc>
          <w:tcPr>
            <w:tcW w:w="1493"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both"/>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农业结构调整补贴</w:t>
            </w:r>
          </w:p>
        </w:tc>
        <w:tc>
          <w:tcPr>
            <w:tcW w:w="533"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1655.16</w:t>
            </w:r>
          </w:p>
        </w:tc>
        <w:tc>
          <w:tcPr>
            <w:tcW w:w="485"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2"/>
                <w:sz w:val="21"/>
                <w:szCs w:val="22"/>
                <w:lang w:val="en-US" w:eastAsia="zh-CN" w:bidi="ar-SA"/>
              </w:rPr>
            </w:pPr>
          </w:p>
        </w:tc>
        <w:tc>
          <w:tcPr>
            <w:tcW w:w="490"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1655.16</w:t>
            </w:r>
          </w:p>
        </w:tc>
        <w:tc>
          <w:tcPr>
            <w:tcW w:w="49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43"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602"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312" w:hRule="exact"/>
          <w:jc w:val="center"/>
        </w:trPr>
        <w:tc>
          <w:tcPr>
            <w:tcW w:w="460"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lef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2130122</w:t>
            </w:r>
          </w:p>
        </w:tc>
        <w:tc>
          <w:tcPr>
            <w:tcW w:w="1493"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both"/>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农业生产发展</w:t>
            </w:r>
          </w:p>
        </w:tc>
        <w:tc>
          <w:tcPr>
            <w:tcW w:w="533"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883</w:t>
            </w:r>
          </w:p>
        </w:tc>
        <w:tc>
          <w:tcPr>
            <w:tcW w:w="485"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2"/>
                <w:sz w:val="21"/>
                <w:szCs w:val="22"/>
                <w:lang w:val="en-US" w:eastAsia="zh-CN" w:bidi="ar-SA"/>
              </w:rPr>
            </w:pPr>
          </w:p>
        </w:tc>
        <w:tc>
          <w:tcPr>
            <w:tcW w:w="490"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883</w:t>
            </w:r>
          </w:p>
        </w:tc>
        <w:tc>
          <w:tcPr>
            <w:tcW w:w="49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43"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602"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312" w:hRule="exact"/>
          <w:jc w:val="center"/>
        </w:trPr>
        <w:tc>
          <w:tcPr>
            <w:tcW w:w="460"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lef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2130135</w:t>
            </w:r>
          </w:p>
        </w:tc>
        <w:tc>
          <w:tcPr>
            <w:tcW w:w="1493"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both"/>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农业生态资源保护</w:t>
            </w:r>
          </w:p>
        </w:tc>
        <w:tc>
          <w:tcPr>
            <w:tcW w:w="533"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172</w:t>
            </w:r>
          </w:p>
        </w:tc>
        <w:tc>
          <w:tcPr>
            <w:tcW w:w="485"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2"/>
                <w:sz w:val="21"/>
                <w:szCs w:val="22"/>
                <w:lang w:val="en-US" w:eastAsia="zh-CN" w:bidi="ar-SA"/>
              </w:rPr>
            </w:pPr>
          </w:p>
        </w:tc>
        <w:tc>
          <w:tcPr>
            <w:tcW w:w="490"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172</w:t>
            </w:r>
          </w:p>
        </w:tc>
        <w:tc>
          <w:tcPr>
            <w:tcW w:w="49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43"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602"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312" w:hRule="exact"/>
          <w:jc w:val="center"/>
        </w:trPr>
        <w:tc>
          <w:tcPr>
            <w:tcW w:w="460"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lef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2130153</w:t>
            </w:r>
          </w:p>
        </w:tc>
        <w:tc>
          <w:tcPr>
            <w:tcW w:w="1493"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both"/>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耕地建设与利用</w:t>
            </w:r>
          </w:p>
        </w:tc>
        <w:tc>
          <w:tcPr>
            <w:tcW w:w="533"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6217.5</w:t>
            </w:r>
          </w:p>
        </w:tc>
        <w:tc>
          <w:tcPr>
            <w:tcW w:w="485"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2"/>
                <w:sz w:val="21"/>
                <w:szCs w:val="22"/>
                <w:lang w:val="en-US" w:eastAsia="zh-CN" w:bidi="ar-SA"/>
              </w:rPr>
            </w:pPr>
          </w:p>
        </w:tc>
        <w:tc>
          <w:tcPr>
            <w:tcW w:w="490"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6217.5</w:t>
            </w:r>
          </w:p>
        </w:tc>
        <w:tc>
          <w:tcPr>
            <w:tcW w:w="49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43"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602"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312" w:hRule="exact"/>
          <w:jc w:val="center"/>
        </w:trPr>
        <w:tc>
          <w:tcPr>
            <w:tcW w:w="460"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lef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2130199</w:t>
            </w:r>
          </w:p>
        </w:tc>
        <w:tc>
          <w:tcPr>
            <w:tcW w:w="1493"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both"/>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其他农业农村支出</w:t>
            </w:r>
          </w:p>
        </w:tc>
        <w:tc>
          <w:tcPr>
            <w:tcW w:w="533"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100</w:t>
            </w:r>
          </w:p>
        </w:tc>
        <w:tc>
          <w:tcPr>
            <w:tcW w:w="485"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kern w:val="2"/>
                <w:sz w:val="21"/>
                <w:szCs w:val="22"/>
                <w:lang w:val="en-US" w:eastAsia="zh-CN" w:bidi="ar-SA"/>
              </w:rPr>
              <w:t>100</w:t>
            </w:r>
          </w:p>
        </w:tc>
        <w:tc>
          <w:tcPr>
            <w:tcW w:w="490"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2"/>
                <w:sz w:val="21"/>
                <w:szCs w:val="22"/>
                <w:lang w:val="en-US" w:eastAsia="zh-CN" w:bidi="ar-SA"/>
              </w:rPr>
            </w:pPr>
          </w:p>
        </w:tc>
        <w:tc>
          <w:tcPr>
            <w:tcW w:w="49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43"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602"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bookmarkEnd w:id="1"/>
      <w:tr>
        <w:tblPrEx>
          <w:tblCellMar>
            <w:top w:w="0" w:type="dxa"/>
            <w:left w:w="108" w:type="dxa"/>
            <w:bottom w:w="0" w:type="dxa"/>
            <w:right w:w="108" w:type="dxa"/>
          </w:tblCellMar>
        </w:tblPrEx>
        <w:trPr>
          <w:trHeight w:val="312" w:hRule="exact"/>
          <w:jc w:val="center"/>
        </w:trPr>
        <w:tc>
          <w:tcPr>
            <w:tcW w:w="460"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lef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2130505</w:t>
            </w:r>
          </w:p>
        </w:tc>
        <w:tc>
          <w:tcPr>
            <w:tcW w:w="1493"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both"/>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生产发展</w:t>
            </w:r>
          </w:p>
        </w:tc>
        <w:tc>
          <w:tcPr>
            <w:tcW w:w="533"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6115</w:t>
            </w:r>
          </w:p>
        </w:tc>
        <w:tc>
          <w:tcPr>
            <w:tcW w:w="485"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Times New Roman" w:hAnsi="Times New Roman" w:eastAsia="仿宋_GB2312" w:cs="Times New Roman"/>
                <w:kern w:val="2"/>
                <w:sz w:val="21"/>
                <w:szCs w:val="22"/>
                <w:lang w:val="en-US" w:eastAsia="zh-CN" w:bidi="ar-SA"/>
              </w:rPr>
            </w:pPr>
          </w:p>
        </w:tc>
        <w:tc>
          <w:tcPr>
            <w:tcW w:w="490"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6115</w:t>
            </w:r>
          </w:p>
        </w:tc>
        <w:tc>
          <w:tcPr>
            <w:tcW w:w="49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43"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602"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312" w:hRule="exact"/>
          <w:jc w:val="center"/>
        </w:trPr>
        <w:tc>
          <w:tcPr>
            <w:tcW w:w="460"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lef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2130599</w:t>
            </w:r>
          </w:p>
        </w:tc>
        <w:tc>
          <w:tcPr>
            <w:tcW w:w="1493"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both"/>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其他巩固脱贫攻坚成果衔接乡村振兴支出</w:t>
            </w:r>
          </w:p>
        </w:tc>
        <w:tc>
          <w:tcPr>
            <w:tcW w:w="533"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4102</w:t>
            </w:r>
          </w:p>
        </w:tc>
        <w:tc>
          <w:tcPr>
            <w:tcW w:w="485"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Times New Roman" w:hAnsi="Times New Roman" w:eastAsia="仿宋_GB2312" w:cs="Times New Roman"/>
                <w:kern w:val="2"/>
                <w:sz w:val="21"/>
                <w:szCs w:val="22"/>
                <w:lang w:val="en-US" w:eastAsia="zh-CN" w:bidi="ar-SA"/>
              </w:rPr>
            </w:pPr>
          </w:p>
        </w:tc>
        <w:tc>
          <w:tcPr>
            <w:tcW w:w="490"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4102</w:t>
            </w:r>
          </w:p>
        </w:tc>
        <w:tc>
          <w:tcPr>
            <w:tcW w:w="49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43"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602"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312" w:hRule="exact"/>
          <w:jc w:val="center"/>
        </w:trPr>
        <w:tc>
          <w:tcPr>
            <w:tcW w:w="460"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lef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2130999</w:t>
            </w:r>
          </w:p>
        </w:tc>
        <w:tc>
          <w:tcPr>
            <w:tcW w:w="1493"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both"/>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其他目标价格补贴</w:t>
            </w:r>
          </w:p>
        </w:tc>
        <w:tc>
          <w:tcPr>
            <w:tcW w:w="533"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2117.61</w:t>
            </w:r>
          </w:p>
        </w:tc>
        <w:tc>
          <w:tcPr>
            <w:tcW w:w="48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p>
        </w:tc>
        <w:tc>
          <w:tcPr>
            <w:tcW w:w="49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Times New Roman" w:hAnsi="Times New Roman" w:eastAsia="仿宋_GB2312" w:cs="Times New Roman"/>
                <w:lang w:val="en-US" w:eastAsia="zh-CN"/>
              </w:rPr>
              <w:t>2117.61</w:t>
            </w:r>
          </w:p>
        </w:tc>
        <w:tc>
          <w:tcPr>
            <w:tcW w:w="49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43"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602"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bookmarkEnd w:id="2"/>
    </w:tbl>
    <w:p>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pPr>
        <w:widowControl/>
        <w:spacing w:after="156" w:afterLines="50"/>
        <w:jc w:val="center"/>
        <w:textAlignment w:val="center"/>
        <w:rPr>
          <w:rFonts w:ascii="Times New Roman" w:hAnsi="Times New Roman" w:eastAsia="黑体" w:cs="Times New Roman"/>
          <w:color w:val="000000"/>
          <w:kern w:val="0"/>
          <w:sz w:val="36"/>
          <w:szCs w:val="36"/>
          <w:lang w:bidi="ar"/>
        </w:rPr>
      </w:pPr>
      <w:bookmarkStart w:id="3" w:name="RANGE!A1:I22"/>
      <w:bookmarkEnd w:id="3"/>
      <w:bookmarkStart w:id="4" w:name="RANGE!A1:F16"/>
      <w:r>
        <w:rPr>
          <w:rFonts w:ascii="Times New Roman" w:hAnsi="Times New Roman" w:eastAsia="黑体" w:cs="Times New Roman"/>
          <w:color w:val="000000"/>
          <w:kern w:val="0"/>
          <w:sz w:val="36"/>
          <w:szCs w:val="36"/>
          <w:lang w:bidi="ar"/>
        </w:rPr>
        <w:t>财政拨款收入支出决算总表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pPr>
        <w:widowControl/>
        <w:tabs>
          <w:tab w:val="left" w:pos="3595"/>
          <w:tab w:val="left" w:pos="4031"/>
          <w:tab w:val="left" w:pos="5109"/>
          <w:tab w:val="left" w:pos="9152"/>
          <w:tab w:val="left" w:pos="9587"/>
          <w:tab w:val="left" w:pos="11160"/>
          <w:tab w:val="left" w:pos="12554"/>
          <w:tab w:val="left" w:pos="13948"/>
        </w:tabs>
        <w:jc w:val="both"/>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bidi="ar"/>
        </w:rPr>
        <w:t>道县农业农村局</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 xml:space="preserve">       </w:t>
      </w:r>
      <w:r>
        <w:rPr>
          <w:rFonts w:ascii="Times New Roman" w:hAnsi="Times New Roman" w:eastAsia="仿宋_GB2312" w:cs="Times New Roman"/>
          <w:color w:val="000000"/>
          <w:kern w:val="0"/>
          <w:sz w:val="20"/>
          <w:szCs w:val="20"/>
        </w:rPr>
        <w:t>单位：万元</w:t>
      </w:r>
    </w:p>
    <w:tbl>
      <w:tblPr>
        <w:tblStyle w:val="10"/>
        <w:tblW w:w="0" w:type="auto"/>
        <w:jc w:val="center"/>
        <w:tblLayout w:type="autofit"/>
        <w:tblCellMar>
          <w:top w:w="0" w:type="dxa"/>
          <w:left w:w="108" w:type="dxa"/>
          <w:bottom w:w="0" w:type="dxa"/>
          <w:right w:w="108" w:type="dxa"/>
        </w:tblCellMar>
      </w:tblPr>
      <w:tblGrid>
        <w:gridCol w:w="3516"/>
        <w:gridCol w:w="616"/>
        <w:gridCol w:w="1041"/>
        <w:gridCol w:w="2636"/>
        <w:gridCol w:w="616"/>
        <w:gridCol w:w="1041"/>
        <w:gridCol w:w="1678"/>
        <w:gridCol w:w="1497"/>
        <w:gridCol w:w="1601"/>
      </w:tblGrid>
      <w:tr>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32556.25</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pPr>
              <w:widowControl/>
              <w:jc w:val="both"/>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both"/>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Times New Roman" w:hAnsi="Times New Roman" w:eastAsia="仿宋_GB2312" w:cs="Times New Roman"/>
                <w:kern w:val="0"/>
                <w:sz w:val="22"/>
              </w:rPr>
            </w:pPr>
            <w:r>
              <w:rPr>
                <w:rFonts w:hint="eastAsia" w:ascii="Times New Roman" w:hAnsi="Times New Roman" w:eastAsia="仿宋_GB2312" w:cs="Times New Roman"/>
                <w:color w:val="000000"/>
                <w:kern w:val="0"/>
                <w:sz w:val="22"/>
                <w:lang w:eastAsia="zh-CN" w:bidi="ar"/>
              </w:rPr>
              <w:t>八、社会保障和就业支出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278.60</w:t>
            </w:r>
          </w:p>
        </w:tc>
        <w:tc>
          <w:tcPr>
            <w:tcW w:w="1678"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r>
              <w:rPr>
                <w:rFonts w:hint="eastAsia" w:ascii="Times New Roman" w:hAnsi="Times New Roman" w:eastAsia="仿宋_GB2312" w:cs="Times New Roman"/>
                <w:color w:val="000000"/>
                <w:sz w:val="22"/>
                <w:lang w:val="en-US" w:eastAsia="zh-CN"/>
              </w:rPr>
              <w:t>278.60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Times New Roman" w:hAnsi="Times New Roman" w:eastAsia="仿宋_GB2312" w:cs="Times New Roman"/>
                <w:kern w:val="0"/>
                <w:sz w:val="22"/>
              </w:rPr>
            </w:pPr>
            <w:r>
              <w:rPr>
                <w:rFonts w:hint="eastAsia" w:ascii="Times New Roman" w:hAnsi="Times New Roman" w:eastAsia="仿宋_GB2312" w:cs="Times New Roman"/>
                <w:color w:val="000000"/>
                <w:kern w:val="0"/>
                <w:sz w:val="24"/>
                <w:szCs w:val="24"/>
                <w:lang w:eastAsia="zh-CN" w:bidi="ar"/>
              </w:rPr>
              <w:t>九、</w:t>
            </w:r>
            <w:r>
              <w:rPr>
                <w:rFonts w:hint="eastAsia" w:ascii="Times New Roman" w:hAnsi="Times New Roman" w:eastAsia="仿宋_GB2312" w:cs="Times New Roman"/>
                <w:color w:val="000000"/>
                <w:kern w:val="0"/>
                <w:sz w:val="24"/>
                <w:szCs w:val="24"/>
                <w:lang w:bidi="ar"/>
              </w:rPr>
              <w:t>卫生健康支出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121.91</w:t>
            </w:r>
          </w:p>
        </w:tc>
        <w:tc>
          <w:tcPr>
            <w:tcW w:w="1678"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r>
              <w:rPr>
                <w:rFonts w:hint="eastAsia" w:ascii="Times New Roman" w:hAnsi="Times New Roman" w:eastAsia="仿宋_GB2312" w:cs="Times New Roman"/>
                <w:color w:val="000000"/>
                <w:sz w:val="22"/>
                <w:lang w:val="en-US" w:eastAsia="zh-CN"/>
              </w:rPr>
              <w:t>121.91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pPr>
              <w:jc w:val="left"/>
              <w:rPr>
                <w:rFonts w:ascii="Times New Roman" w:hAnsi="Times New Roman" w:eastAsia="仿宋_GB2312" w:cs="Times New Roman"/>
                <w:kern w:val="0"/>
                <w:sz w:val="24"/>
                <w:szCs w:val="24"/>
              </w:rPr>
            </w:pPr>
            <w:r>
              <w:rPr>
                <w:rFonts w:hint="eastAsia" w:ascii="Times New Roman" w:hAnsi="Times New Roman" w:eastAsia="仿宋_GB2312" w:cs="Times New Roman"/>
                <w:color w:val="000000"/>
                <w:sz w:val="22"/>
              </w:rPr>
              <w:t>十、节能环保支出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1200</w:t>
            </w:r>
          </w:p>
        </w:tc>
        <w:tc>
          <w:tcPr>
            <w:tcW w:w="1678"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r>
              <w:rPr>
                <w:rFonts w:hint="eastAsia" w:ascii="Times New Roman" w:hAnsi="Times New Roman" w:eastAsia="仿宋_GB2312" w:cs="Times New Roman"/>
                <w:color w:val="000000"/>
                <w:sz w:val="22"/>
                <w:lang w:val="en-US" w:eastAsia="zh-CN"/>
              </w:rPr>
              <w:t>1200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pPr>
              <w:jc w:val="lef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lang w:eastAsia="zh-CN"/>
              </w:rPr>
              <w:t>十二、农林水支出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hint="default" w:ascii="Times New Roman" w:hAnsi="Times New Roman" w:eastAsia="仿宋_GB2312" w:cs="Times New Roman"/>
                <w:b/>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30955.74</w:t>
            </w:r>
          </w:p>
        </w:tc>
        <w:tc>
          <w:tcPr>
            <w:tcW w:w="1678"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r>
              <w:rPr>
                <w:rFonts w:hint="eastAsia" w:ascii="Times New Roman" w:hAnsi="Times New Roman" w:eastAsia="仿宋_GB2312" w:cs="Times New Roman"/>
                <w:color w:val="000000"/>
                <w:sz w:val="22"/>
                <w:lang w:val="en-US" w:eastAsia="zh-CN"/>
              </w:rPr>
              <w:t>30955.74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32556.25</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32556.25</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32556.25</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32556.25</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32556.25</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pPr>
        <w:widowControl/>
        <w:jc w:val="left"/>
        <w:rPr>
          <w:rFonts w:ascii="Times New Roman" w:hAnsi="Times New Roman" w:eastAsia="方正小标宋_GBK" w:cs="Times New Roman"/>
          <w:kern w:val="0"/>
          <w:sz w:val="36"/>
          <w:szCs w:val="36"/>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4"/>
    </w:p>
    <w:p>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 w:val="20"/>
          <w:szCs w:val="20"/>
          <w:lang w:eastAsia="zh-CN" w:bidi="ar"/>
        </w:rPr>
        <w:t>道县农业农村局</w:t>
      </w:r>
      <w:r>
        <w:rPr>
          <w:rFonts w:ascii="Times New Roman" w:hAnsi="Times New Roman" w:eastAsia="仿宋_GB2312" w:cs="Times New Roman"/>
          <w:color w:val="000000"/>
          <w:kern w:val="0"/>
          <w:szCs w:val="21"/>
        </w:rPr>
        <w:t xml:space="preserve">                                                                                                     单位：万元</w:t>
      </w:r>
    </w:p>
    <w:tbl>
      <w:tblPr>
        <w:tblStyle w:val="10"/>
        <w:tblW w:w="14219" w:type="dxa"/>
        <w:jc w:val="center"/>
        <w:tblLayout w:type="autofit"/>
        <w:tblCellMar>
          <w:top w:w="0" w:type="dxa"/>
          <w:left w:w="108" w:type="dxa"/>
          <w:bottom w:w="0" w:type="dxa"/>
          <w:right w:w="108" w:type="dxa"/>
        </w:tblCellMar>
      </w:tblPr>
      <w:tblGrid>
        <w:gridCol w:w="1200"/>
        <w:gridCol w:w="4058"/>
        <w:gridCol w:w="2130"/>
        <w:gridCol w:w="2445"/>
        <w:gridCol w:w="4386"/>
      </w:tblGrid>
      <w:tr>
        <w:tblPrEx>
          <w:tblCellMar>
            <w:top w:w="0" w:type="dxa"/>
            <w:left w:w="108" w:type="dxa"/>
            <w:bottom w:w="0" w:type="dxa"/>
            <w:right w:w="108" w:type="dxa"/>
          </w:tblCellMar>
        </w:tblPrEx>
        <w:trPr>
          <w:trHeight w:val="431" w:hRule="atLeast"/>
          <w:jc w:val="center"/>
        </w:trPr>
        <w:tc>
          <w:tcPr>
            <w:tcW w:w="5258"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8961"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4058"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13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2445"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4386"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4058"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13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445"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4386"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4058"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13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445"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4386"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12" w:hRule="exact"/>
          <w:jc w:val="center"/>
        </w:trPr>
        <w:tc>
          <w:tcPr>
            <w:tcW w:w="5258"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213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244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4386"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312" w:hRule="exact"/>
          <w:jc w:val="center"/>
        </w:trPr>
        <w:tc>
          <w:tcPr>
            <w:tcW w:w="5258"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213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32556.25</w:t>
            </w:r>
            <w:r>
              <w:rPr>
                <w:rFonts w:ascii="Times New Roman" w:hAnsi="Times New Roman" w:eastAsia="仿宋_GB2312" w:cs="Times New Roman"/>
                <w:kern w:val="0"/>
                <w:szCs w:val="21"/>
              </w:rPr>
              <w:t>　</w:t>
            </w:r>
          </w:p>
        </w:tc>
        <w:tc>
          <w:tcPr>
            <w:tcW w:w="2445" w:type="dxa"/>
            <w:tcBorders>
              <w:top w:val="nil"/>
              <w:left w:val="nil"/>
              <w:bottom w:val="single" w:color="auto" w:sz="4" w:space="0"/>
              <w:right w:val="single" w:color="auto" w:sz="4" w:space="0"/>
            </w:tcBorders>
            <w:shd w:val="clear" w:color="auto" w:fill="auto"/>
            <w:vAlign w:val="center"/>
          </w:tcPr>
          <w:p>
            <w:pPr>
              <w:widowControl/>
              <w:tabs>
                <w:tab w:val="left" w:pos="277"/>
                <w:tab w:val="center" w:pos="1803"/>
              </w:tabs>
              <w:jc w:val="center"/>
              <w:rPr>
                <w:rFonts w:ascii="Times New Roman" w:hAnsi="Times New Roman" w:eastAsia="仿宋_GB2312" w:cs="Times New Roman"/>
                <w:kern w:val="0"/>
                <w:szCs w:val="21"/>
              </w:rPr>
            </w:pPr>
            <w:r>
              <w:rPr>
                <w:rFonts w:hint="eastAsia"/>
              </w:rPr>
              <w:t>2437.12</w:t>
            </w:r>
          </w:p>
        </w:tc>
        <w:tc>
          <w:tcPr>
            <w:tcW w:w="4386"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rPr>
              <w:t>30119.13</w:t>
            </w:r>
          </w:p>
        </w:tc>
      </w:tr>
      <w:tr>
        <w:tblPrEx>
          <w:tblCellMar>
            <w:top w:w="0" w:type="dxa"/>
            <w:left w:w="108" w:type="dxa"/>
            <w:bottom w:w="0" w:type="dxa"/>
            <w:right w:w="108" w:type="dxa"/>
          </w:tblCellMar>
        </w:tblPrEx>
        <w:trPr>
          <w:trHeight w:val="312" w:hRule="exac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jc w:val="left"/>
              <w:rPr>
                <w:rFonts w:ascii="Times New Roman" w:hAnsi="Times New Roman" w:eastAsia="仿宋_GB2312" w:cs="Times New Roman"/>
                <w:kern w:val="0"/>
                <w:szCs w:val="21"/>
              </w:rPr>
            </w:pPr>
            <w:r>
              <w:rPr>
                <w:rFonts w:hint="eastAsia" w:ascii="Times New Roman" w:hAnsi="Times New Roman" w:eastAsia="仿宋_GB2312" w:cs="Times New Roman"/>
              </w:rPr>
              <w:t>2080505</w:t>
            </w:r>
          </w:p>
        </w:tc>
        <w:tc>
          <w:tcPr>
            <w:tcW w:w="4058" w:type="dxa"/>
            <w:tcBorders>
              <w:top w:val="nil"/>
              <w:left w:val="nil"/>
              <w:bottom w:val="single" w:color="auto" w:sz="4" w:space="0"/>
              <w:right w:val="single" w:color="auto" w:sz="4" w:space="0"/>
            </w:tcBorders>
            <w:shd w:val="clear" w:color="auto" w:fill="auto"/>
            <w:vAlign w:val="center"/>
          </w:tcPr>
          <w:p>
            <w:pPr>
              <w:jc w:val="left"/>
              <w:rPr>
                <w:rFonts w:ascii="Times New Roman" w:hAnsi="Times New Roman" w:eastAsia="仿宋_GB2312" w:cs="Times New Roman"/>
                <w:kern w:val="0"/>
                <w:szCs w:val="21"/>
              </w:rPr>
            </w:pPr>
            <w:r>
              <w:rPr>
                <w:rFonts w:hint="eastAsia" w:ascii="Times New Roman" w:hAnsi="Times New Roman" w:eastAsia="仿宋_GB2312" w:cs="Times New Roman"/>
              </w:rPr>
              <w:t>机关事业单位基本养老保险缴费支出</w:t>
            </w:r>
          </w:p>
        </w:tc>
        <w:tc>
          <w:tcPr>
            <w:tcW w:w="2130"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211.37</w:t>
            </w:r>
          </w:p>
        </w:tc>
        <w:tc>
          <w:tcPr>
            <w:tcW w:w="2445"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211.37</w:t>
            </w:r>
          </w:p>
        </w:tc>
        <w:tc>
          <w:tcPr>
            <w:tcW w:w="4386"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12" w:hRule="exac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jc w:val="left"/>
              <w:rPr>
                <w:rFonts w:ascii="Times New Roman" w:hAnsi="Times New Roman" w:eastAsia="仿宋_GB2312" w:cs="Times New Roman"/>
                <w:kern w:val="0"/>
                <w:szCs w:val="21"/>
              </w:rPr>
            </w:pPr>
            <w:r>
              <w:rPr>
                <w:rFonts w:hint="eastAsia" w:ascii="Times New Roman" w:hAnsi="Times New Roman" w:eastAsia="仿宋_GB2312" w:cs="Times New Roman"/>
              </w:rPr>
              <w:t>2080801</w:t>
            </w:r>
          </w:p>
        </w:tc>
        <w:tc>
          <w:tcPr>
            <w:tcW w:w="4058" w:type="dxa"/>
            <w:tcBorders>
              <w:top w:val="nil"/>
              <w:left w:val="nil"/>
              <w:bottom w:val="single" w:color="auto" w:sz="4" w:space="0"/>
              <w:right w:val="single" w:color="auto" w:sz="4" w:space="0"/>
            </w:tcBorders>
            <w:shd w:val="clear" w:color="auto" w:fill="auto"/>
            <w:vAlign w:val="center"/>
          </w:tcPr>
          <w:p>
            <w:pPr>
              <w:jc w:val="left"/>
              <w:rPr>
                <w:rFonts w:ascii="Times New Roman" w:hAnsi="Times New Roman" w:eastAsia="仿宋_GB2312" w:cs="Times New Roman"/>
                <w:kern w:val="0"/>
                <w:szCs w:val="21"/>
              </w:rPr>
            </w:pPr>
            <w:r>
              <w:rPr>
                <w:rFonts w:hint="eastAsia" w:ascii="Times New Roman" w:hAnsi="Times New Roman" w:eastAsia="仿宋_GB2312" w:cs="Times New Roman"/>
              </w:rPr>
              <w:t>死亡抚恤</w:t>
            </w:r>
          </w:p>
        </w:tc>
        <w:tc>
          <w:tcPr>
            <w:tcW w:w="2130"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67.23</w:t>
            </w:r>
          </w:p>
        </w:tc>
        <w:tc>
          <w:tcPr>
            <w:tcW w:w="2445"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67.23</w:t>
            </w:r>
          </w:p>
        </w:tc>
        <w:tc>
          <w:tcPr>
            <w:tcW w:w="4386"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12" w:hRule="exac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jc w:val="left"/>
              <w:rPr>
                <w:rFonts w:ascii="Times New Roman" w:hAnsi="Times New Roman" w:eastAsia="仿宋_GB2312" w:cs="Times New Roman"/>
                <w:kern w:val="0"/>
                <w:szCs w:val="21"/>
              </w:rPr>
            </w:pPr>
            <w:r>
              <w:rPr>
                <w:rFonts w:hint="eastAsia" w:ascii="Times New Roman" w:hAnsi="Times New Roman" w:eastAsia="仿宋_GB2312" w:cs="Times New Roman"/>
              </w:rPr>
              <w:t>2101101</w:t>
            </w:r>
          </w:p>
        </w:tc>
        <w:tc>
          <w:tcPr>
            <w:tcW w:w="4058" w:type="dxa"/>
            <w:tcBorders>
              <w:top w:val="nil"/>
              <w:left w:val="nil"/>
              <w:bottom w:val="single" w:color="auto" w:sz="4" w:space="0"/>
              <w:right w:val="single" w:color="auto" w:sz="4" w:space="0"/>
            </w:tcBorders>
            <w:shd w:val="clear" w:color="auto" w:fill="auto"/>
            <w:vAlign w:val="center"/>
          </w:tcPr>
          <w:p>
            <w:pPr>
              <w:jc w:val="left"/>
              <w:rPr>
                <w:rFonts w:ascii="Times New Roman" w:hAnsi="Times New Roman" w:eastAsia="仿宋_GB2312" w:cs="Times New Roman"/>
                <w:kern w:val="0"/>
                <w:szCs w:val="21"/>
              </w:rPr>
            </w:pPr>
            <w:r>
              <w:rPr>
                <w:rFonts w:hint="eastAsia" w:ascii="Times New Roman" w:hAnsi="Times New Roman" w:eastAsia="仿宋_GB2312" w:cs="Times New Roman"/>
              </w:rPr>
              <w:t>行政单位医疗</w:t>
            </w:r>
          </w:p>
        </w:tc>
        <w:tc>
          <w:tcPr>
            <w:tcW w:w="2130"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121.91</w:t>
            </w:r>
          </w:p>
        </w:tc>
        <w:tc>
          <w:tcPr>
            <w:tcW w:w="2445"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121.91</w:t>
            </w:r>
          </w:p>
        </w:tc>
        <w:tc>
          <w:tcPr>
            <w:tcW w:w="4386"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12" w:hRule="exac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jc w:val="left"/>
              <w:rPr>
                <w:rFonts w:ascii="Times New Roman" w:hAnsi="Times New Roman" w:eastAsia="仿宋_GB2312" w:cs="Times New Roman"/>
                <w:kern w:val="0"/>
                <w:szCs w:val="21"/>
              </w:rPr>
            </w:pPr>
            <w:r>
              <w:rPr>
                <w:rFonts w:hint="eastAsia" w:ascii="Times New Roman" w:hAnsi="Times New Roman" w:eastAsia="仿宋_GB2312" w:cs="Times New Roman"/>
              </w:rPr>
              <w:t>2110402</w:t>
            </w:r>
          </w:p>
        </w:tc>
        <w:tc>
          <w:tcPr>
            <w:tcW w:w="4058" w:type="dxa"/>
            <w:tcBorders>
              <w:top w:val="nil"/>
              <w:left w:val="nil"/>
              <w:bottom w:val="single" w:color="auto" w:sz="4" w:space="0"/>
              <w:right w:val="single" w:color="auto" w:sz="4" w:space="0"/>
            </w:tcBorders>
            <w:shd w:val="clear" w:color="auto" w:fill="auto"/>
            <w:vAlign w:val="center"/>
          </w:tcPr>
          <w:p>
            <w:pPr>
              <w:jc w:val="left"/>
              <w:rPr>
                <w:rFonts w:ascii="Times New Roman" w:hAnsi="Times New Roman" w:eastAsia="仿宋_GB2312" w:cs="Times New Roman"/>
                <w:kern w:val="0"/>
                <w:szCs w:val="21"/>
              </w:rPr>
            </w:pPr>
            <w:r>
              <w:rPr>
                <w:rFonts w:hint="eastAsia" w:ascii="Times New Roman" w:hAnsi="Times New Roman" w:eastAsia="仿宋_GB2312" w:cs="Times New Roman"/>
              </w:rPr>
              <w:t>农村环境保护</w:t>
            </w:r>
          </w:p>
        </w:tc>
        <w:tc>
          <w:tcPr>
            <w:tcW w:w="2130"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1200</w:t>
            </w:r>
          </w:p>
        </w:tc>
        <w:tc>
          <w:tcPr>
            <w:tcW w:w="2445"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p>
        </w:tc>
        <w:tc>
          <w:tcPr>
            <w:tcW w:w="4386"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1200</w:t>
            </w:r>
          </w:p>
        </w:tc>
      </w:tr>
      <w:tr>
        <w:tblPrEx>
          <w:tblCellMar>
            <w:top w:w="0" w:type="dxa"/>
            <w:left w:w="108" w:type="dxa"/>
            <w:bottom w:w="0" w:type="dxa"/>
            <w:right w:w="108" w:type="dxa"/>
          </w:tblCellMar>
        </w:tblPrEx>
        <w:trPr>
          <w:trHeight w:val="312" w:hRule="exac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jc w:val="left"/>
              <w:rPr>
                <w:rFonts w:ascii="Times New Roman" w:hAnsi="Times New Roman" w:eastAsia="仿宋_GB2312" w:cs="Times New Roman"/>
                <w:kern w:val="0"/>
                <w:szCs w:val="21"/>
              </w:rPr>
            </w:pPr>
            <w:r>
              <w:rPr>
                <w:rFonts w:hint="eastAsia" w:ascii="Times New Roman" w:hAnsi="Times New Roman" w:eastAsia="仿宋_GB2312" w:cs="Times New Roman"/>
              </w:rPr>
              <w:t>2130101</w:t>
            </w:r>
          </w:p>
        </w:tc>
        <w:tc>
          <w:tcPr>
            <w:tcW w:w="4058"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ascii="Times New Roman" w:hAnsi="Times New Roman" w:eastAsia="仿宋_GB2312" w:cs="Times New Roman"/>
                <w:kern w:val="0"/>
                <w:szCs w:val="21"/>
              </w:rPr>
            </w:pPr>
            <w:r>
              <w:rPr>
                <w:rFonts w:hint="eastAsia" w:ascii="Times New Roman" w:hAnsi="Times New Roman" w:eastAsia="仿宋_GB2312" w:cs="Times New Roman"/>
              </w:rPr>
              <w:t>行政运行</w:t>
            </w:r>
          </w:p>
        </w:tc>
        <w:tc>
          <w:tcPr>
            <w:tcW w:w="213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1758.95</w:t>
            </w:r>
          </w:p>
        </w:tc>
        <w:tc>
          <w:tcPr>
            <w:tcW w:w="2445"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1758.95</w:t>
            </w:r>
          </w:p>
        </w:tc>
        <w:tc>
          <w:tcPr>
            <w:tcW w:w="438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12" w:hRule="exac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jc w:val="left"/>
              <w:rPr>
                <w:rFonts w:ascii="Times New Roman" w:hAnsi="Times New Roman" w:eastAsia="仿宋_GB2312" w:cs="Times New Roman"/>
                <w:kern w:val="0"/>
                <w:szCs w:val="21"/>
              </w:rPr>
            </w:pPr>
            <w:r>
              <w:rPr>
                <w:rFonts w:hint="eastAsia" w:ascii="Times New Roman" w:hAnsi="Times New Roman" w:eastAsia="仿宋_GB2312" w:cs="Times New Roman"/>
              </w:rPr>
              <w:t>2130104</w:t>
            </w:r>
          </w:p>
        </w:tc>
        <w:tc>
          <w:tcPr>
            <w:tcW w:w="4058"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ascii="Times New Roman" w:hAnsi="Times New Roman" w:eastAsia="仿宋_GB2312" w:cs="Times New Roman"/>
                <w:kern w:val="0"/>
                <w:szCs w:val="21"/>
              </w:rPr>
            </w:pPr>
            <w:r>
              <w:rPr>
                <w:rFonts w:hint="eastAsia" w:ascii="Times New Roman" w:hAnsi="Times New Roman" w:eastAsia="仿宋_GB2312" w:cs="Times New Roman"/>
              </w:rPr>
              <w:t>事业运行</w:t>
            </w:r>
          </w:p>
        </w:tc>
        <w:tc>
          <w:tcPr>
            <w:tcW w:w="213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177.66</w:t>
            </w:r>
          </w:p>
        </w:tc>
        <w:tc>
          <w:tcPr>
            <w:tcW w:w="2445"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177.66</w:t>
            </w:r>
          </w:p>
        </w:tc>
        <w:tc>
          <w:tcPr>
            <w:tcW w:w="438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12" w:hRule="exac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jc w:val="lef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2130106</w:t>
            </w:r>
          </w:p>
        </w:tc>
        <w:tc>
          <w:tcPr>
            <w:tcW w:w="4058" w:type="dxa"/>
            <w:tcBorders>
              <w:top w:val="single" w:color="auto" w:sz="4" w:space="0"/>
              <w:left w:val="single" w:color="auto" w:sz="4" w:space="0"/>
              <w:bottom w:val="single" w:color="auto" w:sz="4" w:space="0"/>
              <w:right w:val="single" w:color="auto" w:sz="4" w:space="0"/>
            </w:tcBorders>
            <w:shd w:val="clear" w:color="auto" w:fill="auto"/>
            <w:vAlign w:val="center"/>
          </w:tcPr>
          <w:p>
            <w:pPr>
              <w:jc w:val="both"/>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科技转化与推广服务</w:t>
            </w:r>
          </w:p>
        </w:tc>
        <w:tc>
          <w:tcPr>
            <w:tcW w:w="213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430.</w:t>
            </w:r>
          </w:p>
        </w:tc>
        <w:tc>
          <w:tcPr>
            <w:tcW w:w="2445"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p>
        </w:tc>
        <w:tc>
          <w:tcPr>
            <w:tcW w:w="438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430.</w:t>
            </w:r>
          </w:p>
        </w:tc>
      </w:tr>
      <w:tr>
        <w:tblPrEx>
          <w:tblCellMar>
            <w:top w:w="0" w:type="dxa"/>
            <w:left w:w="108" w:type="dxa"/>
            <w:bottom w:w="0" w:type="dxa"/>
            <w:right w:w="108" w:type="dxa"/>
          </w:tblCellMar>
        </w:tblPrEx>
        <w:trPr>
          <w:trHeight w:val="312" w:hRule="exac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jc w:val="lef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2130108</w:t>
            </w:r>
          </w:p>
        </w:tc>
        <w:tc>
          <w:tcPr>
            <w:tcW w:w="4058" w:type="dxa"/>
            <w:tcBorders>
              <w:top w:val="single" w:color="auto" w:sz="4" w:space="0"/>
              <w:left w:val="single" w:color="auto" w:sz="4" w:space="0"/>
              <w:bottom w:val="single" w:color="auto" w:sz="4" w:space="0"/>
              <w:right w:val="single" w:color="auto" w:sz="4" w:space="0"/>
            </w:tcBorders>
            <w:shd w:val="clear" w:color="auto" w:fill="auto"/>
            <w:vAlign w:val="center"/>
          </w:tcPr>
          <w:p>
            <w:pPr>
              <w:jc w:val="both"/>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病虫害控制</w:t>
            </w:r>
          </w:p>
        </w:tc>
        <w:tc>
          <w:tcPr>
            <w:tcW w:w="213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120.86</w:t>
            </w:r>
          </w:p>
        </w:tc>
        <w:tc>
          <w:tcPr>
            <w:tcW w:w="2445"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p>
        </w:tc>
        <w:tc>
          <w:tcPr>
            <w:tcW w:w="438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120.86</w:t>
            </w:r>
          </w:p>
        </w:tc>
      </w:tr>
      <w:tr>
        <w:tblPrEx>
          <w:tblCellMar>
            <w:top w:w="0" w:type="dxa"/>
            <w:left w:w="108" w:type="dxa"/>
            <w:bottom w:w="0" w:type="dxa"/>
            <w:right w:w="108" w:type="dxa"/>
          </w:tblCellMar>
        </w:tblPrEx>
        <w:trPr>
          <w:trHeight w:val="312" w:hRule="exac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jc w:val="lef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2130119</w:t>
            </w:r>
          </w:p>
        </w:tc>
        <w:tc>
          <w:tcPr>
            <w:tcW w:w="4058" w:type="dxa"/>
            <w:tcBorders>
              <w:top w:val="single" w:color="auto" w:sz="4" w:space="0"/>
              <w:left w:val="single" w:color="auto" w:sz="4" w:space="0"/>
              <w:bottom w:val="single" w:color="auto" w:sz="4" w:space="0"/>
              <w:right w:val="single" w:color="auto" w:sz="4" w:space="0"/>
            </w:tcBorders>
            <w:shd w:val="clear" w:color="auto" w:fill="auto"/>
            <w:vAlign w:val="center"/>
          </w:tcPr>
          <w:p>
            <w:pPr>
              <w:jc w:val="both"/>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防灾救灾</w:t>
            </w:r>
          </w:p>
        </w:tc>
        <w:tc>
          <w:tcPr>
            <w:tcW w:w="213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218</w:t>
            </w:r>
          </w:p>
        </w:tc>
        <w:tc>
          <w:tcPr>
            <w:tcW w:w="2445"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p>
        </w:tc>
        <w:tc>
          <w:tcPr>
            <w:tcW w:w="438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218</w:t>
            </w:r>
          </w:p>
        </w:tc>
      </w:tr>
      <w:tr>
        <w:tblPrEx>
          <w:tblCellMar>
            <w:top w:w="0" w:type="dxa"/>
            <w:left w:w="108" w:type="dxa"/>
            <w:bottom w:w="0" w:type="dxa"/>
            <w:right w:w="108" w:type="dxa"/>
          </w:tblCellMar>
        </w:tblPrEx>
        <w:trPr>
          <w:trHeight w:val="312" w:hRule="exac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jc w:val="lef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2130120</w:t>
            </w:r>
          </w:p>
        </w:tc>
        <w:tc>
          <w:tcPr>
            <w:tcW w:w="4058" w:type="dxa"/>
            <w:tcBorders>
              <w:top w:val="single" w:color="auto" w:sz="4" w:space="0"/>
              <w:left w:val="single" w:color="auto" w:sz="4" w:space="0"/>
              <w:bottom w:val="single" w:color="auto" w:sz="4" w:space="0"/>
              <w:right w:val="single" w:color="auto" w:sz="4" w:space="0"/>
            </w:tcBorders>
            <w:shd w:val="clear" w:color="auto" w:fill="auto"/>
            <w:vAlign w:val="center"/>
          </w:tcPr>
          <w:p>
            <w:pPr>
              <w:jc w:val="both"/>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稳定农民收入补贴</w:t>
            </w:r>
          </w:p>
        </w:tc>
        <w:tc>
          <w:tcPr>
            <w:tcW w:w="213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6888</w:t>
            </w:r>
          </w:p>
        </w:tc>
        <w:tc>
          <w:tcPr>
            <w:tcW w:w="2445"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p>
        </w:tc>
        <w:tc>
          <w:tcPr>
            <w:tcW w:w="438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6888</w:t>
            </w:r>
          </w:p>
        </w:tc>
      </w:tr>
      <w:tr>
        <w:tblPrEx>
          <w:tblCellMar>
            <w:top w:w="0" w:type="dxa"/>
            <w:left w:w="108" w:type="dxa"/>
            <w:bottom w:w="0" w:type="dxa"/>
            <w:right w:w="108" w:type="dxa"/>
          </w:tblCellMar>
        </w:tblPrEx>
        <w:trPr>
          <w:trHeight w:val="312" w:hRule="exac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jc w:val="lef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2130121</w:t>
            </w:r>
          </w:p>
        </w:tc>
        <w:tc>
          <w:tcPr>
            <w:tcW w:w="4058" w:type="dxa"/>
            <w:tcBorders>
              <w:top w:val="single" w:color="auto" w:sz="4" w:space="0"/>
              <w:left w:val="single" w:color="auto" w:sz="4" w:space="0"/>
              <w:bottom w:val="single" w:color="auto" w:sz="4" w:space="0"/>
              <w:right w:val="single" w:color="auto" w:sz="4" w:space="0"/>
            </w:tcBorders>
            <w:shd w:val="clear" w:color="auto" w:fill="auto"/>
            <w:vAlign w:val="center"/>
          </w:tcPr>
          <w:p>
            <w:pPr>
              <w:jc w:val="both"/>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农业结构调整补贴</w:t>
            </w:r>
          </w:p>
        </w:tc>
        <w:tc>
          <w:tcPr>
            <w:tcW w:w="213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1655.16</w:t>
            </w:r>
          </w:p>
        </w:tc>
        <w:tc>
          <w:tcPr>
            <w:tcW w:w="2445"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p>
        </w:tc>
        <w:tc>
          <w:tcPr>
            <w:tcW w:w="438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1655.16</w:t>
            </w:r>
          </w:p>
        </w:tc>
      </w:tr>
      <w:tr>
        <w:tblPrEx>
          <w:tblCellMar>
            <w:top w:w="0" w:type="dxa"/>
            <w:left w:w="108" w:type="dxa"/>
            <w:bottom w:w="0" w:type="dxa"/>
            <w:right w:w="108" w:type="dxa"/>
          </w:tblCellMar>
        </w:tblPrEx>
        <w:trPr>
          <w:trHeight w:val="312" w:hRule="exac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jc w:val="lef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2130122</w:t>
            </w:r>
          </w:p>
        </w:tc>
        <w:tc>
          <w:tcPr>
            <w:tcW w:w="4058" w:type="dxa"/>
            <w:tcBorders>
              <w:top w:val="single" w:color="auto" w:sz="4" w:space="0"/>
              <w:left w:val="single" w:color="auto" w:sz="4" w:space="0"/>
              <w:bottom w:val="single" w:color="auto" w:sz="4" w:space="0"/>
              <w:right w:val="single" w:color="auto" w:sz="4" w:space="0"/>
            </w:tcBorders>
            <w:shd w:val="clear" w:color="auto" w:fill="auto"/>
            <w:vAlign w:val="center"/>
          </w:tcPr>
          <w:p>
            <w:pPr>
              <w:jc w:val="both"/>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农业生产发展</w:t>
            </w:r>
          </w:p>
        </w:tc>
        <w:tc>
          <w:tcPr>
            <w:tcW w:w="213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883</w:t>
            </w:r>
          </w:p>
        </w:tc>
        <w:tc>
          <w:tcPr>
            <w:tcW w:w="2445"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p>
        </w:tc>
        <w:tc>
          <w:tcPr>
            <w:tcW w:w="438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883</w:t>
            </w:r>
          </w:p>
        </w:tc>
      </w:tr>
      <w:tr>
        <w:tblPrEx>
          <w:tblCellMar>
            <w:top w:w="0" w:type="dxa"/>
            <w:left w:w="108" w:type="dxa"/>
            <w:bottom w:w="0" w:type="dxa"/>
            <w:right w:w="108" w:type="dxa"/>
          </w:tblCellMar>
        </w:tblPrEx>
        <w:trPr>
          <w:trHeight w:val="312" w:hRule="exac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jc w:val="lef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2130135</w:t>
            </w:r>
          </w:p>
        </w:tc>
        <w:tc>
          <w:tcPr>
            <w:tcW w:w="4058" w:type="dxa"/>
            <w:tcBorders>
              <w:top w:val="single" w:color="auto" w:sz="4" w:space="0"/>
              <w:left w:val="single" w:color="auto" w:sz="4" w:space="0"/>
              <w:bottom w:val="single" w:color="auto" w:sz="4" w:space="0"/>
              <w:right w:val="single" w:color="auto" w:sz="4" w:space="0"/>
            </w:tcBorders>
            <w:shd w:val="clear" w:color="auto" w:fill="auto"/>
            <w:vAlign w:val="center"/>
          </w:tcPr>
          <w:p>
            <w:pPr>
              <w:jc w:val="both"/>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农业生态资源保护</w:t>
            </w:r>
          </w:p>
        </w:tc>
        <w:tc>
          <w:tcPr>
            <w:tcW w:w="213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172</w:t>
            </w:r>
          </w:p>
        </w:tc>
        <w:tc>
          <w:tcPr>
            <w:tcW w:w="2445"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p>
        </w:tc>
        <w:tc>
          <w:tcPr>
            <w:tcW w:w="438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172</w:t>
            </w:r>
          </w:p>
        </w:tc>
      </w:tr>
      <w:tr>
        <w:tblPrEx>
          <w:tblCellMar>
            <w:top w:w="0" w:type="dxa"/>
            <w:left w:w="108" w:type="dxa"/>
            <w:bottom w:w="0" w:type="dxa"/>
            <w:right w:w="108" w:type="dxa"/>
          </w:tblCellMar>
        </w:tblPrEx>
        <w:trPr>
          <w:trHeight w:val="312" w:hRule="exac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jc w:val="lef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2130153</w:t>
            </w:r>
          </w:p>
        </w:tc>
        <w:tc>
          <w:tcPr>
            <w:tcW w:w="4058" w:type="dxa"/>
            <w:tcBorders>
              <w:top w:val="single" w:color="auto" w:sz="4" w:space="0"/>
              <w:left w:val="single" w:color="auto" w:sz="4" w:space="0"/>
              <w:bottom w:val="single" w:color="auto" w:sz="4" w:space="0"/>
              <w:right w:val="single" w:color="auto" w:sz="4" w:space="0"/>
            </w:tcBorders>
            <w:shd w:val="clear" w:color="auto" w:fill="auto"/>
            <w:vAlign w:val="center"/>
          </w:tcPr>
          <w:p>
            <w:pPr>
              <w:jc w:val="both"/>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耕地建设与利用</w:t>
            </w:r>
          </w:p>
        </w:tc>
        <w:tc>
          <w:tcPr>
            <w:tcW w:w="213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6217.5</w:t>
            </w:r>
          </w:p>
        </w:tc>
        <w:tc>
          <w:tcPr>
            <w:tcW w:w="2445"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p>
        </w:tc>
        <w:tc>
          <w:tcPr>
            <w:tcW w:w="438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6217.5</w:t>
            </w:r>
          </w:p>
        </w:tc>
      </w:tr>
      <w:tr>
        <w:tblPrEx>
          <w:tblCellMar>
            <w:top w:w="0" w:type="dxa"/>
            <w:left w:w="108" w:type="dxa"/>
            <w:bottom w:w="0" w:type="dxa"/>
            <w:right w:w="108" w:type="dxa"/>
          </w:tblCellMar>
        </w:tblPrEx>
        <w:trPr>
          <w:trHeight w:val="312" w:hRule="exac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jc w:val="lef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2130199</w:t>
            </w:r>
          </w:p>
        </w:tc>
        <w:tc>
          <w:tcPr>
            <w:tcW w:w="4058" w:type="dxa"/>
            <w:tcBorders>
              <w:top w:val="single" w:color="auto" w:sz="4" w:space="0"/>
              <w:left w:val="single" w:color="auto" w:sz="4" w:space="0"/>
              <w:bottom w:val="single" w:color="auto" w:sz="4" w:space="0"/>
              <w:right w:val="single" w:color="auto" w:sz="4" w:space="0"/>
            </w:tcBorders>
            <w:shd w:val="clear" w:color="auto" w:fill="auto"/>
            <w:vAlign w:val="center"/>
          </w:tcPr>
          <w:p>
            <w:pPr>
              <w:jc w:val="both"/>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其他农业农村支出</w:t>
            </w:r>
          </w:p>
        </w:tc>
        <w:tc>
          <w:tcPr>
            <w:tcW w:w="213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100</w:t>
            </w:r>
          </w:p>
        </w:tc>
        <w:tc>
          <w:tcPr>
            <w:tcW w:w="2445"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Times New Roman" w:hAnsi="Times New Roman" w:eastAsia="仿宋_GB2312" w:cs="Times New Roman"/>
                <w:kern w:val="2"/>
                <w:sz w:val="21"/>
                <w:szCs w:val="22"/>
                <w:lang w:val="en-US" w:eastAsia="zh-CN" w:bidi="ar-SA"/>
              </w:rPr>
              <w:t>100</w:t>
            </w:r>
          </w:p>
        </w:tc>
        <w:tc>
          <w:tcPr>
            <w:tcW w:w="438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12" w:hRule="exac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jc w:val="lef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2130505</w:t>
            </w:r>
          </w:p>
        </w:tc>
        <w:tc>
          <w:tcPr>
            <w:tcW w:w="4058" w:type="dxa"/>
            <w:tcBorders>
              <w:top w:val="single" w:color="auto" w:sz="4" w:space="0"/>
              <w:left w:val="single" w:color="auto" w:sz="4" w:space="0"/>
              <w:bottom w:val="single" w:color="auto" w:sz="4" w:space="0"/>
              <w:right w:val="single" w:color="auto" w:sz="4" w:space="0"/>
            </w:tcBorders>
            <w:shd w:val="clear" w:color="auto" w:fill="auto"/>
            <w:vAlign w:val="center"/>
          </w:tcPr>
          <w:p>
            <w:pPr>
              <w:jc w:val="both"/>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生产发展</w:t>
            </w:r>
          </w:p>
        </w:tc>
        <w:tc>
          <w:tcPr>
            <w:tcW w:w="213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6115</w:t>
            </w:r>
          </w:p>
        </w:tc>
        <w:tc>
          <w:tcPr>
            <w:tcW w:w="2445"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p>
        </w:tc>
        <w:tc>
          <w:tcPr>
            <w:tcW w:w="438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6115</w:t>
            </w:r>
          </w:p>
        </w:tc>
      </w:tr>
      <w:tr>
        <w:tblPrEx>
          <w:tblCellMar>
            <w:top w:w="0" w:type="dxa"/>
            <w:left w:w="108" w:type="dxa"/>
            <w:bottom w:w="0" w:type="dxa"/>
            <w:right w:w="108" w:type="dxa"/>
          </w:tblCellMar>
        </w:tblPrEx>
        <w:trPr>
          <w:trHeight w:val="312" w:hRule="exac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jc w:val="lef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2130599</w:t>
            </w:r>
          </w:p>
        </w:tc>
        <w:tc>
          <w:tcPr>
            <w:tcW w:w="4058" w:type="dxa"/>
            <w:tcBorders>
              <w:top w:val="single" w:color="auto" w:sz="4" w:space="0"/>
              <w:left w:val="single" w:color="auto" w:sz="4" w:space="0"/>
              <w:bottom w:val="single" w:color="auto" w:sz="4" w:space="0"/>
              <w:right w:val="single" w:color="auto" w:sz="4" w:space="0"/>
            </w:tcBorders>
            <w:shd w:val="clear" w:color="auto" w:fill="auto"/>
            <w:vAlign w:val="center"/>
          </w:tcPr>
          <w:p>
            <w:pPr>
              <w:jc w:val="both"/>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其他巩固脱贫攻坚成果衔接乡村振兴支出</w:t>
            </w:r>
          </w:p>
        </w:tc>
        <w:tc>
          <w:tcPr>
            <w:tcW w:w="213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4102</w:t>
            </w:r>
          </w:p>
        </w:tc>
        <w:tc>
          <w:tcPr>
            <w:tcW w:w="2445"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p>
        </w:tc>
        <w:tc>
          <w:tcPr>
            <w:tcW w:w="438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4102</w:t>
            </w:r>
          </w:p>
        </w:tc>
      </w:tr>
      <w:tr>
        <w:tblPrEx>
          <w:tblCellMar>
            <w:top w:w="0" w:type="dxa"/>
            <w:left w:w="108" w:type="dxa"/>
            <w:bottom w:w="0" w:type="dxa"/>
            <w:right w:w="108" w:type="dxa"/>
          </w:tblCellMar>
        </w:tblPrEx>
        <w:trPr>
          <w:trHeight w:val="312" w:hRule="exac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jc w:val="lef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2130999</w:t>
            </w:r>
          </w:p>
        </w:tc>
        <w:tc>
          <w:tcPr>
            <w:tcW w:w="4058" w:type="dxa"/>
            <w:tcBorders>
              <w:top w:val="single" w:color="auto" w:sz="4" w:space="0"/>
              <w:left w:val="single" w:color="auto" w:sz="4" w:space="0"/>
              <w:bottom w:val="single" w:color="auto" w:sz="4" w:space="0"/>
              <w:right w:val="single" w:color="auto" w:sz="4" w:space="0"/>
            </w:tcBorders>
            <w:shd w:val="clear" w:color="auto" w:fill="auto"/>
            <w:vAlign w:val="center"/>
          </w:tcPr>
          <w:p>
            <w:pPr>
              <w:jc w:val="both"/>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其他目标价格补贴</w:t>
            </w:r>
          </w:p>
        </w:tc>
        <w:tc>
          <w:tcPr>
            <w:tcW w:w="21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2117.61</w:t>
            </w:r>
          </w:p>
        </w:tc>
        <w:tc>
          <w:tcPr>
            <w:tcW w:w="24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p>
        </w:tc>
        <w:tc>
          <w:tcPr>
            <w:tcW w:w="43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2117.61</w:t>
            </w:r>
          </w:p>
        </w:tc>
      </w:tr>
    </w:tbl>
    <w:p>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pPr>
        <w:keepNext w:val="0"/>
        <w:keepLines w:val="0"/>
        <w:pageBreakBefore w:val="0"/>
        <w:widowControl/>
        <w:kinsoku/>
        <w:wordWrap/>
        <w:overflowPunct/>
        <w:topLinePunct w:val="0"/>
        <w:autoSpaceDE/>
        <w:autoSpaceDN/>
        <w:bidi w:val="0"/>
        <w:adjustRightInd/>
        <w:snapToGrid/>
        <w:spacing w:after="120" w:line="400" w:lineRule="exact"/>
        <w:jc w:val="center"/>
        <w:textAlignment w:val="center"/>
        <w:rPr>
          <w:rFonts w:ascii="Times New Roman" w:hAnsi="Times New Roman" w:eastAsia="黑体" w:cs="Times New Roman"/>
          <w:color w:val="000000"/>
          <w:kern w:val="0"/>
          <w:sz w:val="36"/>
          <w:szCs w:val="36"/>
          <w:lang w:bidi="ar"/>
        </w:rPr>
      </w:pPr>
      <w:bookmarkStart w:id="5" w:name="RANGE!A1:I34"/>
      <w:r>
        <w:rPr>
          <w:rFonts w:ascii="Times New Roman" w:hAnsi="Times New Roman" w:eastAsia="黑体" w:cs="Times New Roman"/>
          <w:color w:val="000000"/>
          <w:kern w:val="0"/>
          <w:sz w:val="36"/>
          <w:szCs w:val="36"/>
          <w:lang w:bidi="ar"/>
        </w:rPr>
        <w:t>一般公共预算财政拨款基本支出决算明细表</w:t>
      </w:r>
      <w:bookmarkEnd w:id="5"/>
    </w:p>
    <w:p>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公开06表</w:t>
      </w:r>
    </w:p>
    <w:p>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lang w:eastAsia="zh-CN"/>
        </w:rPr>
        <w:t>道县农业农村局</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单位：万元</w:t>
      </w:r>
    </w:p>
    <w:tbl>
      <w:tblPr>
        <w:tblStyle w:val="10"/>
        <w:tblW w:w="14627" w:type="dxa"/>
        <w:jc w:val="center"/>
        <w:tblLayout w:type="fixed"/>
        <w:tblCellMar>
          <w:top w:w="0" w:type="dxa"/>
          <w:left w:w="108" w:type="dxa"/>
          <w:bottom w:w="0" w:type="dxa"/>
          <w:right w:w="108" w:type="dxa"/>
        </w:tblCellMar>
      </w:tblPr>
      <w:tblGrid>
        <w:gridCol w:w="1081"/>
        <w:gridCol w:w="2626"/>
        <w:gridCol w:w="1190"/>
        <w:gridCol w:w="1116"/>
        <w:gridCol w:w="2018"/>
        <w:gridCol w:w="933"/>
        <w:gridCol w:w="1217"/>
        <w:gridCol w:w="3517"/>
        <w:gridCol w:w="929"/>
      </w:tblGrid>
      <w:tr>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62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190"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62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1190"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2046.73</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626"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1190"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center"/>
              <w:textAlignment w:val="auto"/>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857.75</w:t>
            </w:r>
          </w:p>
        </w:tc>
        <w:tc>
          <w:tcPr>
            <w:tcW w:w="1116"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27</w:t>
            </w:r>
          </w:p>
        </w:tc>
        <w:tc>
          <w:tcPr>
            <w:tcW w:w="1217"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626"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xml:space="preserve">  津贴补贴</w:t>
            </w:r>
          </w:p>
        </w:tc>
        <w:tc>
          <w:tcPr>
            <w:tcW w:w="1190" w:type="dxa"/>
            <w:tcBorders>
              <w:top w:val="nil"/>
              <w:left w:val="nil"/>
              <w:bottom w:val="single" w:color="auto" w:sz="4" w:space="0"/>
              <w:right w:val="single" w:color="auto" w:sz="4" w:space="0"/>
            </w:tcBorders>
            <w:shd w:val="clear" w:color="auto" w:fill="auto"/>
            <w:noWrap/>
            <w:vAlign w:val="top"/>
          </w:tcPr>
          <w:p>
            <w:pPr>
              <w:keepNext w:val="0"/>
              <w:keepLines w:val="0"/>
              <w:pageBreakBefore w:val="0"/>
              <w:widowControl/>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313.57</w:t>
            </w: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33333333333313.57313.57</w:t>
            </w:r>
          </w:p>
        </w:tc>
        <w:tc>
          <w:tcPr>
            <w:tcW w:w="1116"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40</w:t>
            </w:r>
          </w:p>
        </w:tc>
        <w:tc>
          <w:tcPr>
            <w:tcW w:w="1217"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626"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1190" w:type="dxa"/>
            <w:tcBorders>
              <w:top w:val="single" w:color="000000" w:sz="8" w:space="0"/>
              <w:left w:val="single" w:color="000000" w:sz="8" w:space="0"/>
              <w:bottom w:val="single" w:color="000000" w:sz="8" w:space="0"/>
              <w:right w:val="single" w:color="000000" w:sz="8"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336.35</w:t>
            </w:r>
          </w:p>
        </w:tc>
        <w:tc>
          <w:tcPr>
            <w:tcW w:w="1116"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626"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1190" w:type="dxa"/>
            <w:tcBorders>
              <w:top w:val="single" w:color="000000" w:sz="8" w:space="0"/>
              <w:left w:val="single" w:color="000000" w:sz="8" w:space="0"/>
              <w:bottom w:val="single" w:color="000000" w:sz="8" w:space="0"/>
              <w:right w:val="single" w:color="000000" w:sz="8"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kern w:val="0"/>
                <w:szCs w:val="20"/>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1.5</w:t>
            </w:r>
          </w:p>
        </w:tc>
        <w:tc>
          <w:tcPr>
            <w:tcW w:w="1217"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626"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1190" w:type="dxa"/>
            <w:tcBorders>
              <w:top w:val="single" w:color="000000" w:sz="8" w:space="0"/>
              <w:left w:val="single" w:color="000000" w:sz="8" w:space="0"/>
              <w:bottom w:val="single" w:color="000000" w:sz="8" w:space="0"/>
              <w:right w:val="single" w:color="000000" w:sz="8"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106.56</w:t>
            </w: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1106.561111110106.56</w:t>
            </w:r>
          </w:p>
        </w:tc>
        <w:tc>
          <w:tcPr>
            <w:tcW w:w="1116"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5.6</w:t>
            </w:r>
          </w:p>
        </w:tc>
        <w:tc>
          <w:tcPr>
            <w:tcW w:w="1217"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626"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1190" w:type="dxa"/>
            <w:tcBorders>
              <w:top w:val="single" w:color="000000" w:sz="8" w:space="0"/>
              <w:left w:val="single" w:color="000000" w:sz="8" w:space="0"/>
              <w:bottom w:val="single" w:color="000000" w:sz="8" w:space="0"/>
              <w:right w:val="single" w:color="000000" w:sz="8"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211.37</w:t>
            </w:r>
          </w:p>
        </w:tc>
        <w:tc>
          <w:tcPr>
            <w:tcW w:w="1116"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17.8</w:t>
            </w:r>
          </w:p>
        </w:tc>
        <w:tc>
          <w:tcPr>
            <w:tcW w:w="1217"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626"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1190" w:type="dxa"/>
            <w:tcBorders>
              <w:top w:val="single" w:color="000000" w:sz="8" w:space="0"/>
              <w:left w:val="single" w:color="000000" w:sz="8" w:space="0"/>
              <w:bottom w:val="single" w:color="000000" w:sz="8" w:space="0"/>
              <w:right w:val="single" w:color="000000" w:sz="8"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jc w:val="center"/>
              <w:textAlignment w:val="auto"/>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1.3</w:t>
            </w:r>
          </w:p>
        </w:tc>
        <w:tc>
          <w:tcPr>
            <w:tcW w:w="1217"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626"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1190" w:type="dxa"/>
            <w:tcBorders>
              <w:top w:val="single" w:color="000000" w:sz="8" w:space="0"/>
              <w:left w:val="single" w:color="000000" w:sz="8" w:space="0"/>
              <w:bottom w:val="single" w:color="000000" w:sz="8" w:space="0"/>
              <w:right w:val="single" w:color="000000" w:sz="8"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121.91</w:t>
            </w:r>
          </w:p>
        </w:tc>
        <w:tc>
          <w:tcPr>
            <w:tcW w:w="1116"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626"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1190" w:type="dxa"/>
            <w:tcBorders>
              <w:top w:val="single" w:color="000000" w:sz="8" w:space="0"/>
              <w:left w:val="single" w:color="000000" w:sz="8" w:space="0"/>
              <w:bottom w:val="single" w:color="000000" w:sz="8" w:space="0"/>
              <w:right w:val="single" w:color="000000" w:sz="8"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jc w:val="center"/>
              <w:textAlignment w:val="auto"/>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626"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1190"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71.1</w:t>
            </w:r>
          </w:p>
        </w:tc>
        <w:tc>
          <w:tcPr>
            <w:tcW w:w="1116"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2.27</w:t>
            </w: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626"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1190"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center"/>
              <w:textAlignment w:val="auto"/>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626"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1190"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center"/>
              <w:textAlignment w:val="auto"/>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12.06</w:t>
            </w:r>
          </w:p>
        </w:tc>
        <w:tc>
          <w:tcPr>
            <w:tcW w:w="1217"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626"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1190"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center"/>
              <w:textAlignment w:val="auto"/>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28.12</w:t>
            </w:r>
          </w:p>
        </w:tc>
        <w:tc>
          <w:tcPr>
            <w:tcW w:w="1116"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2.34</w:t>
            </w:r>
          </w:p>
        </w:tc>
        <w:tc>
          <w:tcPr>
            <w:tcW w:w="1217"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626"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1190"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center"/>
              <w:textAlignment w:val="auto"/>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21</w:t>
            </w:r>
          </w:p>
        </w:tc>
        <w:tc>
          <w:tcPr>
            <w:tcW w:w="1217"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626"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1190"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center"/>
              <w:textAlignment w:val="auto"/>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26</w:t>
            </w:r>
          </w:p>
        </w:tc>
        <w:tc>
          <w:tcPr>
            <w:tcW w:w="1217"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626"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1190"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center"/>
              <w:textAlignment w:val="auto"/>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0.5</w:t>
            </w:r>
          </w:p>
        </w:tc>
        <w:tc>
          <w:tcPr>
            <w:tcW w:w="1217"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626"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1190"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center"/>
              <w:textAlignment w:val="auto"/>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626"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1190"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kern w:val="0"/>
                <w:szCs w:val="20"/>
                <w:lang w:val="en-US"/>
              </w:rPr>
            </w:pPr>
            <w:r>
              <w:rPr>
                <w:rFonts w:hint="eastAsia" w:ascii="Times New Roman" w:hAnsi="Times New Roman" w:eastAsia="仿宋_GB2312" w:cs="Times New Roman"/>
                <w:color w:val="000000"/>
                <w:kern w:val="0"/>
                <w:szCs w:val="20"/>
                <w:lang w:val="en-US" w:eastAsia="zh-CN"/>
              </w:rPr>
              <w:t>67.22</w:t>
            </w:r>
          </w:p>
        </w:tc>
        <w:tc>
          <w:tcPr>
            <w:tcW w:w="1116"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626"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1190"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626"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1190"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18</w:t>
            </w:r>
          </w:p>
        </w:tc>
        <w:tc>
          <w:tcPr>
            <w:tcW w:w="1217"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626"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1190"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25</w:t>
            </w:r>
          </w:p>
        </w:tc>
        <w:tc>
          <w:tcPr>
            <w:tcW w:w="1217"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626"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1190"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50</w:t>
            </w: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626"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1190"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p>
          <w:tbl>
            <w:tblPr>
              <w:tblStyle w:val="10"/>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p>
          <w:tbl>
            <w:tblPr>
              <w:tblStyle w:val="10"/>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626"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1190"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2.8</w:t>
            </w:r>
          </w:p>
        </w:tc>
        <w:tc>
          <w:tcPr>
            <w:tcW w:w="1217"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626"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1190"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70</w:t>
            </w:r>
          </w:p>
        </w:tc>
        <w:tc>
          <w:tcPr>
            <w:tcW w:w="1217"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626"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1190"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626"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90"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370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center"/>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1190"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2113.95</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center"/>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eastAsia="仿宋_GB2312" w:cs="Times New Roman"/>
                <w:color w:val="000000"/>
                <w:kern w:val="0"/>
                <w:szCs w:val="18"/>
                <w:lang w:val="en-US" w:eastAsia="zh-CN"/>
              </w:rPr>
            </w:pPr>
            <w:r>
              <w:rPr>
                <w:rFonts w:hint="eastAsia" w:ascii="Times New Roman" w:hAnsi="Times New Roman" w:eastAsia="仿宋_GB2312" w:cs="Times New Roman"/>
                <w:color w:val="000000"/>
                <w:kern w:val="0"/>
                <w:szCs w:val="18"/>
                <w:lang w:val="en-US" w:eastAsia="zh-CN"/>
              </w:rPr>
              <w:t>323.17</w:t>
            </w:r>
          </w:p>
        </w:tc>
      </w:tr>
    </w:tbl>
    <w:p>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pPr>
        <w:widowControl/>
        <w:tabs>
          <w:tab w:val="left" w:pos="920"/>
          <w:tab w:val="left" w:pos="1157"/>
          <w:tab w:val="left" w:pos="2434"/>
          <w:tab w:val="left" w:pos="4352"/>
          <w:tab w:val="left" w:pos="6295"/>
          <w:tab w:val="left" w:pos="8214"/>
          <w:tab w:val="left" w:pos="10149"/>
          <w:tab w:val="left" w:pos="12067"/>
        </w:tabs>
        <w:jc w:val="both"/>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道县农业农村局</w:t>
      </w:r>
      <w:r>
        <w:rPr>
          <w:rFonts w:hint="eastAsia" w:ascii="Times New Roman" w:hAnsi="Times New Roman" w:eastAsia="仿宋_GB2312" w:cs="Times New Roman"/>
          <w:color w:val="000000"/>
          <w:kern w:val="0"/>
          <w:sz w:val="20"/>
          <w:szCs w:val="20"/>
          <w:lang w:val="en-US" w:eastAsia="zh-CN" w:bidi="ar"/>
        </w:rPr>
        <w:t xml:space="preserve"> </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0"/>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7"/>
                <w:rFonts w:hint="default" w:ascii="Times New Roman" w:hAnsi="Times New Roman" w:eastAsia="仿宋_GB2312" w:cs="Times New Roman"/>
                <w:b/>
                <w:bCs/>
                <w:lang w:bidi="ar"/>
              </w:rPr>
              <w:t xml:space="preserve">   </w:t>
            </w:r>
            <w:r>
              <w:rPr>
                <w:rStyle w:val="18"/>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pPr>
        <w:widowControl/>
        <w:jc w:val="left"/>
        <w:textAlignment w:val="center"/>
        <w:rPr>
          <w:rFonts w:ascii="Times New Roman" w:hAnsi="Times New Roman" w:eastAsia="仿宋_GB2312"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pPr>
        <w:widowControl/>
        <w:jc w:val="center"/>
        <w:rPr>
          <w:rFonts w:ascii="Times New Roman" w:hAnsi="Times New Roman" w:eastAsia="方正小标宋_GBK" w:cs="Times New Roman"/>
          <w:color w:val="000000"/>
          <w:kern w:val="0"/>
          <w:sz w:val="36"/>
          <w:szCs w:val="36"/>
        </w:rPr>
      </w:pPr>
    </w:p>
    <w:p>
      <w:pPr>
        <w:widowControl/>
        <w:spacing w:line="400" w:lineRule="exact"/>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w:t>
      </w:r>
      <w:r>
        <w:rPr>
          <w:rFonts w:hint="eastAsia" w:ascii="Times New Roman" w:hAnsi="Times New Roman" w:eastAsia="仿宋_GB2312" w:cs="Times New Roman"/>
          <w:color w:val="000000"/>
          <w:kern w:val="0"/>
          <w:sz w:val="20"/>
          <w:szCs w:val="20"/>
          <w:lang w:val="en-US" w:eastAsia="zh-CN" w:bidi="ar"/>
        </w:rPr>
        <w:t xml:space="preserve">                    </w:t>
      </w:r>
      <w:r>
        <w:rPr>
          <w:rFonts w:ascii="Times New Roman" w:hAnsi="Times New Roman" w:eastAsia="仿宋_GB2312" w:cs="Times New Roman"/>
          <w:color w:val="000000"/>
          <w:kern w:val="0"/>
          <w:sz w:val="20"/>
          <w:szCs w:val="20"/>
          <w:lang w:bidi="ar"/>
        </w:rPr>
        <w:t>公开08表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道县农业农村局</w:t>
      </w:r>
      <w:r>
        <w:rPr>
          <w:rFonts w:hint="eastAsia" w:ascii="Times New Roman" w:hAnsi="Times New Roman" w:eastAsia="仿宋_GB2312" w:cs="Times New Roman"/>
          <w:color w:val="000000"/>
          <w:kern w:val="0"/>
          <w:sz w:val="20"/>
          <w:szCs w:val="20"/>
          <w:lang w:val="en-US" w:eastAsia="zh-CN" w:bidi="ar"/>
        </w:rPr>
        <w:t xml:space="preserve">    </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color w:val="000000"/>
          <w:kern w:val="0"/>
          <w:sz w:val="20"/>
          <w:szCs w:val="20"/>
          <w:lang w:bidi="ar"/>
        </w:rPr>
        <w:t>单位：万元</w:t>
      </w:r>
    </w:p>
    <w:tbl>
      <w:tblPr>
        <w:tblStyle w:val="10"/>
        <w:tblW w:w="4999" w:type="pct"/>
        <w:tblInd w:w="0" w:type="dxa"/>
        <w:tblLayout w:type="autofit"/>
        <w:tblCellMar>
          <w:top w:w="0" w:type="dxa"/>
          <w:left w:w="108" w:type="dxa"/>
          <w:bottom w:w="0" w:type="dxa"/>
          <w:right w:w="108" w:type="dxa"/>
        </w:tblCellMar>
      </w:tblPr>
      <w:tblGrid>
        <w:gridCol w:w="3099"/>
        <w:gridCol w:w="3102"/>
        <w:gridCol w:w="1834"/>
        <w:gridCol w:w="3102"/>
        <w:gridCol w:w="3102"/>
      </w:tblGrid>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9"/>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pPr>
        <w:widowControl/>
        <w:jc w:val="center"/>
        <w:rPr>
          <w:rFonts w:ascii="Times New Roman" w:hAnsi="Times New Roman" w:eastAsia="方正小标宋_GBK" w:cs="Times New Roman"/>
          <w:color w:val="000000"/>
          <w:kern w:val="0"/>
          <w:sz w:val="36"/>
          <w:szCs w:val="36"/>
        </w:rPr>
      </w:pPr>
    </w:p>
    <w:p>
      <w:pPr>
        <w:pStyle w:val="9"/>
        <w:spacing w:line="400" w:lineRule="exact"/>
        <w:rPr>
          <w:rFonts w:ascii="Times New Roman" w:hAnsi="Times New Roman" w:eastAsia="华文中宋"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both"/>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楷体_GB2312" w:cs="Times New Roman"/>
          <w:color w:val="000000"/>
          <w:kern w:val="0"/>
          <w:sz w:val="20"/>
          <w:szCs w:val="20"/>
          <w:lang w:eastAsia="zh-CN" w:bidi="ar"/>
        </w:rPr>
        <w:t>道县农业农村局</w:t>
      </w:r>
      <w:r>
        <w:rPr>
          <w:rFonts w:ascii="Times New Roman" w:hAnsi="Times New Roman" w:eastAsia="楷体_GB2312" w:cs="Times New Roman"/>
          <w:color w:val="000000"/>
          <w:sz w:val="20"/>
          <w:szCs w:val="20"/>
        </w:rPr>
        <w:tab/>
      </w:r>
      <w:r>
        <w:rPr>
          <w:rFonts w:hint="eastAsia" w:ascii="Times New Roman" w:hAnsi="Times New Roman" w:eastAsia="楷体_GB2312" w:cs="Times New Roman"/>
          <w:color w:val="000000"/>
          <w:sz w:val="20"/>
          <w:szCs w:val="20"/>
          <w:lang w:val="en-US" w:eastAsia="zh-CN"/>
        </w:rPr>
        <w:t xml:space="preserve"> </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hint="eastAsia" w:ascii="Times New Roman" w:hAnsi="Times New Roman" w:eastAsia="楷体_GB2312" w:cs="Times New Roman"/>
          <w:color w:val="000000"/>
          <w:sz w:val="20"/>
          <w:szCs w:val="20"/>
          <w:lang w:val="en-US" w:eastAsia="zh-CN"/>
        </w:rPr>
        <w:t xml:space="preserve">    </w:t>
      </w:r>
      <w:r>
        <w:rPr>
          <w:rFonts w:ascii="Times New Roman" w:hAnsi="Times New Roman" w:eastAsia="楷体_GB2312" w:cs="Times New Roman"/>
          <w:color w:val="000000"/>
          <w:kern w:val="0"/>
          <w:sz w:val="20"/>
          <w:szCs w:val="20"/>
          <w:lang w:bidi="ar"/>
        </w:rPr>
        <w:t>单位：万元</w:t>
      </w:r>
    </w:p>
    <w:tbl>
      <w:tblPr>
        <w:tblStyle w:val="10"/>
        <w:tblW w:w="5114" w:type="pct"/>
        <w:jc w:val="center"/>
        <w:tblLayout w:type="autofit"/>
        <w:tblCellMar>
          <w:top w:w="0" w:type="dxa"/>
          <w:left w:w="108" w:type="dxa"/>
          <w:bottom w:w="0" w:type="dxa"/>
          <w:right w:w="108" w:type="dxa"/>
        </w:tblCellMar>
      </w:tblPr>
      <w:tblGrid>
        <w:gridCol w:w="935"/>
        <w:gridCol w:w="1229"/>
        <w:gridCol w:w="1087"/>
        <w:gridCol w:w="1189"/>
        <w:gridCol w:w="1428"/>
        <w:gridCol w:w="1381"/>
        <w:gridCol w:w="1052"/>
        <w:gridCol w:w="1168"/>
        <w:gridCol w:w="1168"/>
        <w:gridCol w:w="1168"/>
        <w:gridCol w:w="1361"/>
        <w:gridCol w:w="1401"/>
      </w:tblGrid>
      <w:tr>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23</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20</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3.3</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3.3</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2"/>
                <w:lang w:val="en-US" w:eastAsia="zh-CN"/>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2.8</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0.5</w:t>
            </w:r>
          </w:p>
        </w:tc>
      </w:tr>
    </w:tbl>
    <w:p>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widowControl/>
        <w:rPr>
          <w:rFonts w:ascii="Times New Roman" w:hAnsi="Times New Roman" w:cs="Times New Roman"/>
          <w:sz w:val="72"/>
          <w:szCs w:val="72"/>
        </w:rPr>
        <w:sectPr>
          <w:pgSz w:w="16838" w:h="11906" w:orient="landscape"/>
          <w:pgMar w:top="1100" w:right="1406" w:bottom="1100" w:left="1406" w:header="851" w:footer="992" w:gutter="0"/>
          <w:cols w:space="425" w:num="1"/>
          <w:docGrid w:type="lines" w:linePitch="312" w:charSpace="0"/>
        </w:sectPr>
      </w:pPr>
      <w:r>
        <w:rPr>
          <w:rFonts w:ascii="Times New Roman" w:hAnsi="Times New Roman" w:eastAsia="黑体" w:cs="Times New Roman"/>
          <w:szCs w:val="21"/>
        </w:rPr>
        <w:br w:type="page"/>
      </w:r>
    </w:p>
    <w:p>
      <w:pPr>
        <w:pStyle w:val="14"/>
        <w:rPr>
          <w:rFonts w:ascii="Times New Roman" w:hAnsi="Times New Roman" w:cs="Times New Roman"/>
          <w:sz w:val="72"/>
          <w:szCs w:val="72"/>
        </w:rPr>
      </w:pPr>
    </w:p>
    <w:p>
      <w:pPr>
        <w:pStyle w:val="14"/>
        <w:rPr>
          <w:rFonts w:ascii="Times New Roman" w:hAnsi="Times New Roman" w:cs="Times New Roman"/>
          <w:sz w:val="72"/>
          <w:szCs w:val="72"/>
        </w:rPr>
      </w:pPr>
    </w:p>
    <w:p>
      <w:pPr>
        <w:pStyle w:val="14"/>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eastAsia="方正小标宋_GBK" w:cs="Times New Roman"/>
          <w:sz w:val="72"/>
          <w:szCs w:val="72"/>
        </w:rPr>
      </w:pPr>
    </w:p>
    <w:p>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仿宋_GB2312" w:hAnsi="仿宋_GB2312" w:eastAsia="仿宋_GB2312" w:cs="仿宋_GB2312"/>
          <w:sz w:val="32"/>
          <w:szCs w:val="32"/>
          <w:highlight w:val="none"/>
          <w:lang w:val="en-US" w:eastAsia="zh-CN"/>
        </w:rPr>
        <w:t>32556.25</w:t>
      </w:r>
      <w:r>
        <w:rPr>
          <w:rFonts w:ascii="Times New Roman" w:hAnsi="Times New Roman" w:eastAsia="仿宋_GB2312" w:cs="Times New Roman"/>
          <w:sz w:val="32"/>
          <w:szCs w:val="32"/>
        </w:rPr>
        <w:t>万元。与上年相比，</w:t>
      </w:r>
      <w:r>
        <w:rPr>
          <w:rFonts w:ascii="仿宋_GB2312" w:eastAsia="仿宋_GB2312" w:cs="仿宋_GB2312"/>
          <w:sz w:val="32"/>
          <w:szCs w:val="32"/>
          <w:highlight w:val="none"/>
          <w:lang w:val="en-US" w:eastAsia="zh-CN" w:bidi="ar"/>
        </w:rPr>
        <w:t>增加</w:t>
      </w:r>
      <w:r>
        <w:rPr>
          <w:rFonts w:hint="eastAsia" w:ascii="仿宋_GB2312" w:eastAsia="仿宋_GB2312" w:cs="仿宋_GB2312"/>
          <w:sz w:val="32"/>
          <w:szCs w:val="32"/>
          <w:highlight w:val="none"/>
          <w:lang w:val="en-US" w:eastAsia="zh-CN" w:bidi="ar"/>
        </w:rPr>
        <w:t>3194.6万元</w:t>
      </w:r>
      <w:r>
        <w:rPr>
          <w:rFonts w:ascii="Times New Roman" w:hAnsi="Times New Roman" w:eastAsia="仿宋_GB2312" w:cs="Times New Roman"/>
          <w:sz w:val="32"/>
          <w:szCs w:val="32"/>
        </w:rPr>
        <w:t>，增长</w:t>
      </w:r>
      <w:r>
        <w:rPr>
          <w:rFonts w:hint="eastAsia" w:ascii="Times New Roman" w:hAnsi="Times New Roman" w:eastAsia="仿宋_GB2312" w:cs="Times New Roman"/>
          <w:sz w:val="32"/>
          <w:szCs w:val="32"/>
          <w:lang w:val="en-US" w:eastAsia="zh-CN"/>
        </w:rPr>
        <w:t>10.88</w:t>
      </w:r>
      <w:r>
        <w:rPr>
          <w:rFonts w:ascii="Times New Roman" w:hAnsi="Times New Roman" w:eastAsia="仿宋_GB2312" w:cs="Times New Roman"/>
          <w:sz w:val="32"/>
          <w:szCs w:val="32"/>
        </w:rPr>
        <w:t>%，主要是因为</w:t>
      </w:r>
      <w:r>
        <w:rPr>
          <w:rFonts w:hint="eastAsia" w:ascii="仿宋_GB2312" w:eastAsia="仿宋_GB2312" w:cs="仿宋_GB2312"/>
          <w:sz w:val="32"/>
          <w:szCs w:val="32"/>
          <w:highlight w:val="none"/>
          <w:lang w:val="en-US" w:eastAsia="zh-CN" w:bidi="ar"/>
        </w:rPr>
        <w:t>上级项目资金增加。</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惠农补贴、产业发展等重点支出，体现在有关支出科目中。</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仿宋_GB2312" w:hAnsi="仿宋_GB2312" w:eastAsia="仿宋_GB2312" w:cs="仿宋_GB2312"/>
          <w:sz w:val="32"/>
          <w:szCs w:val="32"/>
          <w:highlight w:val="none"/>
          <w:lang w:val="en-US" w:eastAsia="zh-CN"/>
        </w:rPr>
        <w:t>32556.25</w:t>
      </w:r>
      <w:r>
        <w:rPr>
          <w:rFonts w:ascii="Times New Roman" w:hAnsi="Times New Roman" w:eastAsia="仿宋_GB2312" w:cs="Times New Roman"/>
          <w:sz w:val="32"/>
          <w:szCs w:val="32"/>
        </w:rPr>
        <w:t>万元，其中：财政拨款收入</w:t>
      </w:r>
      <w:r>
        <w:rPr>
          <w:rFonts w:hint="eastAsia" w:ascii="仿宋_GB2312" w:hAnsi="仿宋_GB2312" w:eastAsia="仿宋_GB2312" w:cs="仿宋_GB2312"/>
          <w:sz w:val="32"/>
          <w:szCs w:val="32"/>
          <w:highlight w:val="none"/>
          <w:lang w:val="en-US" w:eastAsia="zh-CN"/>
        </w:rPr>
        <w:t>32556.25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仿宋_GB2312" w:hAnsi="仿宋_GB2312" w:eastAsia="仿宋_GB2312" w:cs="仿宋_GB2312"/>
          <w:sz w:val="32"/>
          <w:szCs w:val="32"/>
          <w:highlight w:val="none"/>
          <w:lang w:val="en-US" w:eastAsia="zh-CN"/>
        </w:rPr>
        <w:t>32556.25</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2437.12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7.49</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30119.13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92.51</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pPr>
        <w:pStyle w:val="14"/>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仿宋_GB2312" w:hAnsi="仿宋_GB2312" w:eastAsia="仿宋_GB2312" w:cs="仿宋_GB2312"/>
          <w:sz w:val="32"/>
          <w:szCs w:val="32"/>
          <w:highlight w:val="none"/>
          <w:lang w:val="en-US" w:eastAsia="zh-CN"/>
        </w:rPr>
        <w:t>32556.25</w:t>
      </w:r>
      <w:r>
        <w:rPr>
          <w:rFonts w:ascii="Times New Roman" w:hAnsi="Times New Roman" w:eastAsia="仿宋_GB2312" w:cs="Times New Roman"/>
          <w:sz w:val="32"/>
          <w:szCs w:val="32"/>
        </w:rPr>
        <w:t>万元，与上年相比，</w:t>
      </w:r>
      <w:r>
        <w:rPr>
          <w:rFonts w:hint="eastAsia" w:ascii="仿宋_GB2312" w:eastAsia="仿宋_GB2312" w:cs="仿宋_GB2312"/>
          <w:sz w:val="32"/>
          <w:szCs w:val="32"/>
          <w:highlight w:val="none"/>
          <w:lang w:val="en-US" w:eastAsia="zh-CN" w:bidi="ar"/>
        </w:rPr>
        <w:t>减少了890.4万元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减少</w:t>
      </w:r>
      <w:r>
        <w:rPr>
          <w:rFonts w:hint="eastAsia" w:ascii="Times New Roman" w:hAnsi="Times New Roman" w:eastAsia="仿宋_GB2312" w:cs="Times New Roman"/>
          <w:sz w:val="32"/>
          <w:szCs w:val="32"/>
          <w:lang w:val="en-US" w:eastAsia="zh-CN"/>
        </w:rPr>
        <w:t>2.66</w:t>
      </w:r>
      <w:r>
        <w:rPr>
          <w:rFonts w:ascii="Times New Roman" w:hAnsi="Times New Roman" w:eastAsia="仿宋_GB2312" w:cs="Times New Roman"/>
          <w:sz w:val="32"/>
          <w:szCs w:val="32"/>
        </w:rPr>
        <w:t>%，主要是因为</w:t>
      </w:r>
      <w:r>
        <w:rPr>
          <w:rFonts w:hint="eastAsia" w:ascii="仿宋_GB2312" w:eastAsia="仿宋_GB2312" w:cs="仿宋_GB2312"/>
          <w:sz w:val="32"/>
          <w:szCs w:val="32"/>
          <w:highlight w:val="none"/>
          <w:lang w:val="en-US" w:eastAsia="zh-CN" w:bidi="ar"/>
        </w:rPr>
        <w:t>上级项目资金减少。</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仿宋_GB2312" w:hAnsi="仿宋_GB2312" w:eastAsia="仿宋_GB2312" w:cs="仿宋_GB2312"/>
          <w:sz w:val="32"/>
          <w:szCs w:val="32"/>
          <w:highlight w:val="none"/>
          <w:lang w:val="en-US" w:eastAsia="zh-CN"/>
        </w:rPr>
        <w:t>32556.25</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3194.6</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10.898</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预算内项目资金增加。</w:t>
      </w:r>
    </w:p>
    <w:p>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仿宋_GB2312" w:hAnsi="仿宋_GB2312" w:eastAsia="仿宋_GB2312" w:cs="仿宋_GB2312"/>
          <w:sz w:val="32"/>
          <w:szCs w:val="32"/>
          <w:highlight w:val="none"/>
          <w:lang w:val="en-US" w:eastAsia="zh-CN"/>
        </w:rPr>
        <w:t>32556.25</w:t>
      </w:r>
      <w:r>
        <w:rPr>
          <w:rFonts w:ascii="Times New Roman" w:hAnsi="Times New Roman" w:eastAsia="仿宋_GB2312" w:cs="Times New Roman"/>
          <w:sz w:val="32"/>
          <w:szCs w:val="32"/>
        </w:rPr>
        <w:t>万元，主要用于以下方面：</w:t>
      </w:r>
      <w:r>
        <w:rPr>
          <w:rFonts w:hint="eastAsia" w:ascii="Times New Roman" w:hAnsi="Times New Roman" w:eastAsia="仿宋_GB2312" w:cs="Times New Roman"/>
          <w:sz w:val="32"/>
          <w:szCs w:val="32"/>
        </w:rPr>
        <w:t>社会保障和就业</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278.6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0.86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121.91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0.37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节能环保</w:t>
      </w:r>
      <w:r>
        <w:rPr>
          <w:rFonts w:hint="eastAsia" w:ascii="Times New Roman" w:hAnsi="Times New Roman" w:eastAsia="仿宋_GB2312" w:cs="Times New Roman"/>
          <w:sz w:val="32"/>
          <w:szCs w:val="32"/>
          <w:lang w:eastAsia="zh-CN"/>
        </w:rPr>
        <w:t>（类）</w:t>
      </w:r>
      <w:r>
        <w:rPr>
          <w:rFonts w:hint="eastAsia" w:ascii="Times New Roman" w:hAnsi="Times New Roman" w:eastAsia="仿宋_GB2312" w:cs="Times New Roman"/>
          <w:sz w:val="32"/>
          <w:szCs w:val="32"/>
        </w:rPr>
        <w:t>支出</w:t>
      </w:r>
      <w:r>
        <w:rPr>
          <w:rFonts w:hint="eastAsia" w:ascii="Times New Roman" w:hAnsi="Times New Roman" w:eastAsia="仿宋_GB2312" w:cs="Times New Roman"/>
          <w:sz w:val="32"/>
          <w:szCs w:val="32"/>
          <w:lang w:val="en-US" w:eastAsia="zh-CN"/>
        </w:rPr>
        <w:t>1200万元，</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3.69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农林水</w:t>
      </w:r>
      <w:r>
        <w:rPr>
          <w:rFonts w:hint="eastAsia" w:ascii="Times New Roman" w:hAnsi="Times New Roman" w:eastAsia="仿宋_GB2312" w:cs="Times New Roman"/>
          <w:sz w:val="32"/>
          <w:szCs w:val="32"/>
          <w:lang w:eastAsia="zh-CN"/>
        </w:rPr>
        <w:t>（类）</w:t>
      </w:r>
      <w:r>
        <w:rPr>
          <w:rFonts w:hint="eastAsia" w:ascii="Times New Roman" w:hAnsi="Times New Roman" w:eastAsia="仿宋_GB2312" w:cs="Times New Roman"/>
          <w:sz w:val="32"/>
          <w:szCs w:val="32"/>
        </w:rPr>
        <w:t>支出</w:t>
      </w:r>
      <w:r>
        <w:rPr>
          <w:rFonts w:hint="eastAsia" w:ascii="Times New Roman" w:hAnsi="Times New Roman" w:eastAsia="仿宋_GB2312" w:cs="Times New Roman"/>
          <w:sz w:val="32"/>
          <w:szCs w:val="32"/>
          <w:lang w:val="en-US" w:eastAsia="zh-CN"/>
        </w:rPr>
        <w:t>30955.75万元，</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95.08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31365.63</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32556.25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103.8</w:t>
      </w:r>
      <w:r>
        <w:rPr>
          <w:rFonts w:ascii="Times New Roman" w:hAnsi="Times New Roman" w:eastAsia="仿宋_GB2312" w:cs="Times New Roman"/>
          <w:sz w:val="32"/>
          <w:szCs w:val="32"/>
        </w:rPr>
        <w:t>%，其中：</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机关事业单位基本养老保险缴费支出</w:t>
      </w:r>
      <w:r>
        <w:rPr>
          <w:rFonts w:ascii="Times New Roman" w:hAnsi="Times New Roman" w:eastAsia="仿宋_GB2312" w:cs="Times New Roman"/>
          <w:sz w:val="32"/>
          <w:szCs w:val="32"/>
        </w:rPr>
        <w:t>（项）。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278.6</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eastAsia="zh-CN"/>
        </w:rPr>
        <w:t>年初预算把该项支出列入到农林水支出。</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卫生健康支出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行政事业单位医疗</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行政事业单位医疗</w:t>
      </w:r>
      <w:r>
        <w:rPr>
          <w:rFonts w:hint="eastAsia" w:ascii="Times New Roman" w:hAnsi="Times New Roman" w:eastAsia="仿宋_GB2312" w:cs="Times New Roman"/>
          <w:sz w:val="32"/>
          <w:szCs w:val="32"/>
          <w:lang w:eastAsia="zh-CN"/>
        </w:rPr>
        <w:t>保险缴费支出</w:t>
      </w:r>
      <w:r>
        <w:rPr>
          <w:rFonts w:ascii="Times New Roman" w:hAnsi="Times New Roman" w:eastAsia="仿宋_GB2312" w:cs="Times New Roman"/>
          <w:sz w:val="32"/>
          <w:szCs w:val="32"/>
        </w:rPr>
        <w:t>（项）。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121.91</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eastAsia="zh-CN"/>
        </w:rPr>
        <w:t>年初预算把该项支出列入到农林水支出</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节能环保支出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自然生态保护</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农村环境保护</w:t>
      </w:r>
      <w:r>
        <w:rPr>
          <w:rFonts w:ascii="Times New Roman" w:hAnsi="Times New Roman" w:eastAsia="仿宋_GB2312" w:cs="Times New Roman"/>
          <w:sz w:val="32"/>
          <w:szCs w:val="32"/>
        </w:rPr>
        <w:t>（项）。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1200</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eastAsia="zh-CN"/>
        </w:rPr>
        <w:t>年初预算未把该项支出列入预算。</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农林水支出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农业农村</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行政运行</w:t>
      </w:r>
      <w:r>
        <w:rPr>
          <w:rFonts w:ascii="Times New Roman" w:hAnsi="Times New Roman" w:eastAsia="仿宋_GB2312" w:cs="Times New Roman"/>
          <w:sz w:val="32"/>
          <w:szCs w:val="32"/>
        </w:rPr>
        <w:t>（项）。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1200</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eastAsia="zh-CN"/>
        </w:rPr>
        <w:t>年初预算未把该项支出列入预算。</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农林水支出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农业农村</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事业运行</w:t>
      </w:r>
      <w:r>
        <w:rPr>
          <w:rFonts w:ascii="Times New Roman" w:hAnsi="Times New Roman" w:eastAsia="仿宋_GB2312" w:cs="Times New Roman"/>
          <w:sz w:val="32"/>
          <w:szCs w:val="32"/>
        </w:rPr>
        <w:t>（项）。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1200</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eastAsia="zh-CN"/>
        </w:rPr>
        <w:t>年初预算未把该项支出列入预算。</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农林水支出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农业农村</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科技转化与推广服务</w:t>
      </w:r>
      <w:r>
        <w:rPr>
          <w:rFonts w:ascii="Times New Roman" w:hAnsi="Times New Roman" w:eastAsia="仿宋_GB2312" w:cs="Times New Roman"/>
          <w:sz w:val="32"/>
          <w:szCs w:val="32"/>
        </w:rPr>
        <w:t>（项）。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430</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eastAsia="zh-CN"/>
        </w:rPr>
        <w:t>年初预算未把该项支出列入预算。</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农林水支出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农业农村</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病虫害控制</w:t>
      </w:r>
      <w:r>
        <w:rPr>
          <w:rFonts w:ascii="Times New Roman" w:hAnsi="Times New Roman" w:eastAsia="仿宋_GB2312" w:cs="Times New Roman"/>
          <w:sz w:val="32"/>
          <w:szCs w:val="32"/>
        </w:rPr>
        <w:t>（项）。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120.86</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eastAsia="zh-CN"/>
        </w:rPr>
        <w:t>年初预算未把该项支出列入预算。</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农林水支出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农业农村</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防灾救灾</w:t>
      </w:r>
      <w:r>
        <w:rPr>
          <w:rFonts w:ascii="Times New Roman" w:hAnsi="Times New Roman" w:eastAsia="仿宋_GB2312" w:cs="Times New Roman"/>
          <w:sz w:val="32"/>
          <w:szCs w:val="32"/>
        </w:rPr>
        <w:t>（项）。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218</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eastAsia="zh-CN"/>
        </w:rPr>
        <w:t>年初预算未把该项支出列入预算。</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农林水支出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农业农村</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稳定农民收入补贴</w:t>
      </w:r>
      <w:r>
        <w:rPr>
          <w:rFonts w:ascii="Times New Roman" w:hAnsi="Times New Roman" w:eastAsia="仿宋_GB2312" w:cs="Times New Roman"/>
          <w:sz w:val="32"/>
          <w:szCs w:val="32"/>
        </w:rPr>
        <w:t>（项）。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6888</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eastAsia="zh-CN"/>
        </w:rPr>
        <w:t>年初预算未把该项支出列入预算。</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农林水支出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农业农村</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农业结构调整补贴</w:t>
      </w:r>
      <w:r>
        <w:rPr>
          <w:rFonts w:ascii="Times New Roman" w:hAnsi="Times New Roman" w:eastAsia="仿宋_GB2312" w:cs="Times New Roman"/>
          <w:sz w:val="32"/>
          <w:szCs w:val="32"/>
        </w:rPr>
        <w:t>（项）。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1655.16</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eastAsia="zh-CN"/>
        </w:rPr>
        <w:t>年初预算未把该项支出列入预算。</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农林水支出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农业农村</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农业生产发展</w:t>
      </w:r>
      <w:r>
        <w:rPr>
          <w:rFonts w:ascii="Times New Roman" w:hAnsi="Times New Roman" w:eastAsia="仿宋_GB2312" w:cs="Times New Roman"/>
          <w:sz w:val="32"/>
          <w:szCs w:val="32"/>
        </w:rPr>
        <w:t>（项）。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883</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eastAsia="zh-CN"/>
        </w:rPr>
        <w:t>年初预算未把该项支出列入预算。</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农林水支出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农业农村</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农业生态资源保护</w:t>
      </w:r>
      <w:r>
        <w:rPr>
          <w:rFonts w:ascii="Times New Roman" w:hAnsi="Times New Roman" w:eastAsia="仿宋_GB2312" w:cs="Times New Roman"/>
          <w:sz w:val="32"/>
          <w:szCs w:val="32"/>
        </w:rPr>
        <w:t>（项）。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172</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eastAsia="zh-CN"/>
        </w:rPr>
        <w:t>年初预算未把该项支出列入预算。</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农林水支出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农业农村</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耕地建设与利用</w:t>
      </w:r>
      <w:r>
        <w:rPr>
          <w:rFonts w:ascii="Times New Roman" w:hAnsi="Times New Roman" w:eastAsia="仿宋_GB2312" w:cs="Times New Roman"/>
          <w:sz w:val="32"/>
          <w:szCs w:val="32"/>
        </w:rPr>
        <w:t>（项）。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6217.5</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eastAsia="zh-CN"/>
        </w:rPr>
        <w:t>年初预算未把该项支出列入预算。</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农林水支出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农业农村</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其他农业农村支出</w:t>
      </w:r>
      <w:r>
        <w:rPr>
          <w:rFonts w:ascii="Times New Roman" w:hAnsi="Times New Roman" w:eastAsia="仿宋_GB2312" w:cs="Times New Roman"/>
          <w:sz w:val="32"/>
          <w:szCs w:val="32"/>
        </w:rPr>
        <w:t>（项）。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eastAsia="zh-CN"/>
        </w:rPr>
        <w:t>年初预算未把该项支出列入预算。</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农林水支出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巩固脱贫攻坚成果衔接乡村振兴</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生产发展</w:t>
      </w:r>
      <w:r>
        <w:rPr>
          <w:rFonts w:ascii="Times New Roman" w:hAnsi="Times New Roman" w:eastAsia="仿宋_GB2312" w:cs="Times New Roman"/>
          <w:sz w:val="32"/>
          <w:szCs w:val="32"/>
        </w:rPr>
        <w:t>（项）。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6115</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eastAsia="zh-CN"/>
        </w:rPr>
        <w:t>年初预算未把该项支出列入预算。</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农林水支出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巩固脱贫攻坚成果衔接乡村振兴</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其他巩固脱贫攻坚成果衔接乡村振兴支出</w:t>
      </w:r>
      <w:r>
        <w:rPr>
          <w:rFonts w:ascii="Times New Roman" w:hAnsi="Times New Roman" w:eastAsia="仿宋_GB2312" w:cs="Times New Roman"/>
          <w:sz w:val="32"/>
          <w:szCs w:val="32"/>
        </w:rPr>
        <w:t>（项）。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4102</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eastAsia="zh-CN"/>
        </w:rPr>
        <w:t>年初预算未把该项支出列入预算。</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农林水支出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目标价格补贴</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其他目标价格补贴</w:t>
      </w:r>
      <w:r>
        <w:rPr>
          <w:rFonts w:ascii="Times New Roman" w:hAnsi="Times New Roman" w:eastAsia="仿宋_GB2312" w:cs="Times New Roman"/>
          <w:sz w:val="32"/>
          <w:szCs w:val="32"/>
        </w:rPr>
        <w:t>（项）。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2117.61</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eastAsia="zh-CN"/>
        </w:rPr>
        <w:t>年初预算未把该项支出列入预算</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2437.12</w:t>
      </w:r>
      <w:r>
        <w:rPr>
          <w:rFonts w:ascii="Times New Roman" w:hAnsi="Times New Roman" w:eastAsia="仿宋_GB2312" w:cs="Times New Roman"/>
          <w:sz w:val="32"/>
          <w:szCs w:val="32"/>
        </w:rPr>
        <w:t>万元，其中：</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color w:val="000000"/>
          <w:kern w:val="2"/>
          <w:sz w:val="32"/>
          <w:szCs w:val="32"/>
          <w:shd w:val="clear" w:color="auto" w:fill="FFFFFF"/>
          <w:lang w:val="en-US" w:eastAsia="zh-CN" w:bidi="ar-SA"/>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2113.96</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86.74</w:t>
      </w:r>
      <w:r>
        <w:rPr>
          <w:rFonts w:ascii="Times New Roman" w:hAnsi="Times New Roman" w:eastAsia="仿宋_GB2312" w:cs="Times New Roman"/>
          <w:sz w:val="32"/>
          <w:szCs w:val="32"/>
        </w:rPr>
        <w:t>%,主要包括基本</w:t>
      </w:r>
      <w:r>
        <w:rPr>
          <w:rFonts w:hint="eastAsia" w:ascii="仿宋" w:hAnsi="仿宋" w:eastAsia="仿宋" w:cs="仿宋"/>
          <w:color w:val="000000"/>
          <w:kern w:val="2"/>
          <w:sz w:val="32"/>
          <w:szCs w:val="32"/>
          <w:shd w:val="clear" w:color="auto" w:fill="FFFFFF"/>
          <w:lang w:val="en-US" w:eastAsia="zh-CN" w:bidi="ar-SA"/>
        </w:rPr>
        <w:t>基本工资857.75万元、津贴补贴313.57万元、奖金336.35万元、绩效工资106.56万元、机关事业单位基本养老保险缴费211.37万元、职工基本医疗保险缴费121.91万元、其他社会保障缴费71.1万元、其他福利费28.12万元、抚恤金67.23万元。</w:t>
      </w:r>
    </w:p>
    <w:p>
      <w:pPr>
        <w:pStyle w:val="14"/>
        <w:overflowPunct w:val="0"/>
        <w:autoSpaceDE/>
        <w:autoSpaceDN/>
        <w:spacing w:line="600" w:lineRule="exact"/>
        <w:ind w:firstLine="640" w:firstLineChars="200"/>
        <w:jc w:val="both"/>
        <w:rPr>
          <w:rFonts w:hint="eastAsia" w:ascii="仿宋" w:hAnsi="仿宋" w:eastAsia="仿宋" w:cs="仿宋"/>
          <w:color w:val="000000"/>
          <w:kern w:val="2"/>
          <w:sz w:val="32"/>
          <w:szCs w:val="32"/>
          <w:shd w:val="clear" w:color="auto" w:fill="FFFFFF"/>
          <w:lang w:val="en-US" w:eastAsia="zh-CN" w:bidi="ar-SA"/>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323.16</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13.26</w:t>
      </w:r>
      <w:r>
        <w:rPr>
          <w:rFonts w:ascii="Times New Roman" w:hAnsi="Times New Roman" w:eastAsia="仿宋_GB2312" w:cs="Times New Roman"/>
          <w:sz w:val="32"/>
          <w:szCs w:val="32"/>
        </w:rPr>
        <w:t>%，主要包括</w:t>
      </w:r>
      <w:r>
        <w:rPr>
          <w:rFonts w:hint="eastAsia" w:ascii="仿宋" w:hAnsi="仿宋" w:eastAsia="仿宋" w:cs="仿宋"/>
          <w:color w:val="000000"/>
          <w:kern w:val="2"/>
          <w:sz w:val="32"/>
          <w:szCs w:val="32"/>
          <w:shd w:val="clear" w:color="auto" w:fill="FFFFFF"/>
          <w:lang w:val="en-US" w:eastAsia="zh-CN" w:bidi="ar-SA"/>
        </w:rPr>
        <w:t>办公费27万元、印刷费40万元、手续费1.5万元、水费5.6万元、电费17.8万元、邮电费1.3万元、差旅费2.26万元、维修（护）费12.06万元、租赁费2.34万元、会议费21万元、培训费26万元、公务接待费0.5万元、劳务费18万元、委托业务费25万元、工会经费50万元、公务用车运行维护费2.8万元、其他交通费70万元。</w:t>
      </w:r>
    </w:p>
    <w:p>
      <w:pPr>
        <w:pStyle w:val="14"/>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r>
        <w:rPr>
          <w:rFonts w:ascii="Times New Roman" w:hAnsi="Times New Roman" w:eastAsia="楷体_GB2312" w:cs="Times New Roman"/>
          <w:b/>
          <w:bCs/>
          <w:i/>
          <w:color w:val="auto"/>
          <w:sz w:val="32"/>
          <w:szCs w:val="32"/>
        </w:rPr>
        <w:t>（注意：“三公”经费不再是一般公共预算财政拨款口径，而是财政拨款口径）</w:t>
      </w:r>
    </w:p>
    <w:p>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23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14.35</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21.86</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86.88</w:t>
      </w:r>
      <w:r>
        <w:rPr>
          <w:rFonts w:ascii="Times New Roman" w:hAnsi="Times New Roman" w:eastAsia="仿宋_GB2312" w:cs="Times New Roman"/>
          <w:sz w:val="32"/>
          <w:szCs w:val="32"/>
        </w:rPr>
        <w:t>%。决算数小于预算数的主要原因是</w:t>
      </w:r>
      <w:r>
        <w:rPr>
          <w:rFonts w:hint="eastAsia" w:ascii="仿宋_GB2312" w:hAnsi="仿宋_GB2312" w:eastAsia="仿宋_GB2312"/>
          <w:sz w:val="32"/>
          <w:lang w:val="en-US" w:eastAsia="zh-CN" w:bidi="ar"/>
        </w:rPr>
        <w:t>严格贯彻落实厉行节约反对浪费精神，加强公务接待管理，严格控制相关费用，支出相应减少</w:t>
      </w:r>
      <w:r>
        <w:rPr>
          <w:rFonts w:ascii="Times New Roman" w:hAnsi="Times New Roman" w:eastAsia="仿宋_GB2312" w:cs="Times New Roman"/>
          <w:sz w:val="32"/>
          <w:szCs w:val="32"/>
        </w:rPr>
        <w:t>。决算数大于（小于）上年数的主要原因是</w:t>
      </w:r>
      <w:r>
        <w:rPr>
          <w:rFonts w:hint="eastAsia" w:ascii="仿宋_GB2312" w:hAnsi="仿宋_GB2312" w:eastAsia="仿宋_GB2312"/>
          <w:sz w:val="32"/>
          <w:lang w:val="en-US" w:eastAsia="zh-CN" w:bidi="ar"/>
        </w:rPr>
        <w:t>严格贯彻落实厉行节约反对浪费精神，加强公务接待管理，严格控制相关费用，支出相应减少</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pPr>
        <w:pStyle w:val="14"/>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持平。</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2.8</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93.33</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1.2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30</w:t>
      </w:r>
      <w:r>
        <w:rPr>
          <w:rFonts w:ascii="Times New Roman" w:hAnsi="Times New Roman" w:eastAsia="仿宋_GB2312" w:cs="Times New Roman"/>
          <w:sz w:val="32"/>
          <w:szCs w:val="32"/>
        </w:rPr>
        <w:t>%。其中：</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持平。</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2.8</w:t>
      </w:r>
      <w:r>
        <w:rPr>
          <w:rFonts w:ascii="Times New Roman" w:hAnsi="Times New Roman" w:eastAsia="仿宋_GB2312" w:cs="Times New Roman"/>
          <w:sz w:val="32"/>
          <w:szCs w:val="32"/>
        </w:rPr>
        <w:t>万元，</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lang w:eastAsia="zh-CN"/>
        </w:rPr>
        <w:t>公务车购买保险、油费、维修等</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93.33</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1.2</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减少</w:t>
      </w:r>
      <w:r>
        <w:rPr>
          <w:rFonts w:hint="eastAsia" w:ascii="Times New Roman" w:hAnsi="Times New Roman" w:eastAsia="仿宋_GB2312" w:cs="Times New Roman"/>
          <w:sz w:val="32"/>
          <w:szCs w:val="32"/>
          <w:lang w:val="en-US" w:eastAsia="zh-CN"/>
        </w:rPr>
        <w:t>30</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eastAsia="zh-CN"/>
        </w:rPr>
        <w:t>压缩公务车开支</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eastAsia="zh-CN"/>
        </w:rPr>
        <w:t>压缩公务车开支</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辆。</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20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2.5</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24.66</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降</w:t>
      </w:r>
      <w:r>
        <w:rPr>
          <w:rFonts w:ascii="Times New Roman" w:hAnsi="Times New Roman" w:eastAsia="仿宋_GB2312" w:cs="Times New Roman"/>
          <w:sz w:val="32"/>
          <w:szCs w:val="32"/>
        </w:rPr>
        <w:t>低</w:t>
      </w:r>
      <w:r>
        <w:rPr>
          <w:rFonts w:hint="eastAsia" w:ascii="Times New Roman" w:hAnsi="Times New Roman" w:eastAsia="仿宋_GB2312" w:cs="Times New Roman"/>
          <w:sz w:val="32"/>
          <w:szCs w:val="32"/>
          <w:lang w:val="en-US" w:eastAsia="zh-CN"/>
        </w:rPr>
        <w:t>98.01</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eastAsia="zh-CN"/>
        </w:rPr>
        <w:t>全面压缩公务接待支出</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eastAsia="zh-CN"/>
        </w:rPr>
        <w:t>全面压缩公务接待支出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w:t>
      </w:r>
      <w:r>
        <w:rPr>
          <w:rFonts w:hint="eastAsia" w:ascii="仿宋_GB2312" w:eastAsia="仿宋_GB2312" w:cs="仿宋_GB2312"/>
          <w:sz w:val="32"/>
          <w:szCs w:val="32"/>
          <w:lang w:val="en-US" w:eastAsia="zh-CN" w:bidi="ar"/>
        </w:rPr>
        <w:t>17</w:t>
      </w:r>
      <w:r>
        <w:rPr>
          <w:rFonts w:hint="eastAsia" w:ascii="仿宋_GB2312" w:hAnsi="仿宋_GB2312" w:eastAsia="仿宋_GB2312"/>
          <w:sz w:val="32"/>
          <w:lang w:val="en-US" w:eastAsia="zh-CN" w:bidi="ar"/>
        </w:rPr>
        <w:t>批次、</w:t>
      </w:r>
      <w:r>
        <w:rPr>
          <w:rFonts w:hint="eastAsia" w:ascii="仿宋_GB2312" w:eastAsia="仿宋_GB2312" w:cs="仿宋_GB2312"/>
          <w:sz w:val="32"/>
          <w:szCs w:val="32"/>
          <w:lang w:val="en-US" w:eastAsia="zh-CN" w:bidi="ar"/>
        </w:rPr>
        <w:t>48</w:t>
      </w:r>
      <w:r>
        <w:rPr>
          <w:rFonts w:hint="eastAsia" w:ascii="仿宋_GB2312" w:hAnsi="仿宋_GB2312" w:eastAsia="仿宋_GB2312"/>
          <w:sz w:val="32"/>
          <w:lang w:val="en-US" w:eastAsia="zh-CN" w:bidi="ar"/>
        </w:rPr>
        <w:t>人次，人均</w:t>
      </w:r>
      <w:r>
        <w:rPr>
          <w:rFonts w:hint="eastAsia" w:ascii="仿宋_GB2312" w:eastAsia="仿宋_GB2312" w:cs="仿宋_GB2312"/>
          <w:sz w:val="32"/>
          <w:szCs w:val="32"/>
          <w:lang w:val="en-US" w:eastAsia="zh-CN" w:bidi="ar"/>
        </w:rPr>
        <w:t>103.23</w:t>
      </w:r>
      <w:r>
        <w:rPr>
          <w:rFonts w:hint="eastAsia" w:ascii="仿宋_GB2312" w:hAnsi="仿宋_GB2312" w:eastAsia="仿宋_GB2312"/>
          <w:sz w:val="32"/>
          <w:lang w:val="en-US" w:eastAsia="zh-CN" w:bidi="ar"/>
        </w:rPr>
        <w:t>元/次</w:t>
      </w: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lang w:eastAsia="zh-CN"/>
        </w:rPr>
        <w:t>上级部门来我县检查工作等</w:t>
      </w:r>
      <w:r>
        <w:rPr>
          <w:rFonts w:ascii="Times New Roman" w:hAnsi="Times New Roman" w:eastAsia="仿宋_GB2312" w:cs="Times New Roman"/>
          <w:sz w:val="32"/>
          <w:szCs w:val="32"/>
        </w:rPr>
        <w:t>发生的接待支出。</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lang w:val="en-US" w:eastAsia="zh-CN"/>
        </w:rPr>
        <w:t>本单位无政府性基金收支。</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323.16</w:t>
      </w:r>
      <w:r>
        <w:rPr>
          <w:rFonts w:ascii="Times New Roman" w:hAnsi="Times New Roman" w:eastAsia="仿宋_GB2312" w:cs="Times New Roman"/>
          <w:sz w:val="32"/>
          <w:szCs w:val="32"/>
        </w:rPr>
        <w:t>万元，比年初预算数增加</w:t>
      </w:r>
      <w:r>
        <w:rPr>
          <w:rFonts w:hint="eastAsia" w:ascii="Times New Roman" w:hAnsi="Times New Roman" w:eastAsia="仿宋_GB2312" w:cs="Times New Roman"/>
          <w:sz w:val="32"/>
          <w:szCs w:val="32"/>
          <w:lang w:val="en-US" w:eastAsia="zh-CN"/>
        </w:rPr>
        <w:t>37.67</w:t>
      </w:r>
      <w:r>
        <w:rPr>
          <w:rFonts w:ascii="Times New Roman" w:hAnsi="Times New Roman" w:eastAsia="仿宋_GB2312" w:cs="Times New Roman"/>
          <w:sz w:val="32"/>
          <w:szCs w:val="32"/>
        </w:rPr>
        <w:t xml:space="preserve"> 万元，增长</w:t>
      </w:r>
      <w:r>
        <w:rPr>
          <w:rFonts w:hint="eastAsia" w:ascii="Times New Roman" w:hAnsi="Times New Roman" w:eastAsia="仿宋_GB2312" w:cs="Times New Roman"/>
          <w:sz w:val="32"/>
          <w:szCs w:val="32"/>
          <w:lang w:val="en-US" w:eastAsia="zh-CN"/>
        </w:rPr>
        <w:t>13.19</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eastAsia="zh-CN"/>
        </w:rPr>
        <w:t>农业农村专项经费增加。</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21</w:t>
      </w:r>
      <w:r>
        <w:rPr>
          <w:rFonts w:ascii="Times New Roman" w:hAnsi="Times New Roman" w:eastAsia="仿宋_GB2312" w:cs="Times New Roman"/>
          <w:sz w:val="32"/>
          <w:szCs w:val="32"/>
        </w:rPr>
        <w:t>万元，用于召开</w:t>
      </w:r>
      <w:r>
        <w:rPr>
          <w:rFonts w:hint="eastAsia" w:ascii="Times New Roman" w:hAnsi="Times New Roman" w:eastAsia="仿宋_GB2312" w:cs="Times New Roman"/>
          <w:sz w:val="32"/>
          <w:szCs w:val="32"/>
          <w:lang w:eastAsia="zh-CN"/>
        </w:rPr>
        <w:t>粮食生产、乡村振兴以及农业农村工作等</w:t>
      </w:r>
      <w:r>
        <w:rPr>
          <w:rFonts w:ascii="Times New Roman" w:hAnsi="Times New Roman" w:eastAsia="仿宋_GB2312" w:cs="Times New Roman"/>
          <w:sz w:val="32"/>
          <w:szCs w:val="32"/>
        </w:rPr>
        <w:t>会议，人数</w:t>
      </w:r>
      <w:r>
        <w:rPr>
          <w:rFonts w:hint="eastAsia" w:ascii="Times New Roman" w:hAnsi="Times New Roman" w:eastAsia="仿宋_GB2312" w:cs="Times New Roman"/>
          <w:sz w:val="32"/>
          <w:szCs w:val="32"/>
          <w:lang w:val="en-US" w:eastAsia="zh-CN"/>
        </w:rPr>
        <w:t>1680</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eastAsia="zh-CN"/>
        </w:rPr>
        <w:t>粮食生产、乡村振兴以及农业农村等工作安排部署</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26</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lang w:eastAsia="zh-CN"/>
        </w:rPr>
        <w:t>高素质农民培训、农业新技术等培训</w:t>
      </w:r>
      <w:r>
        <w:rPr>
          <w:rFonts w:ascii="Times New Roman" w:hAnsi="Times New Roman" w:eastAsia="仿宋_GB2312" w:cs="Times New Roman"/>
          <w:sz w:val="32"/>
          <w:szCs w:val="32"/>
        </w:rPr>
        <w:t>，人数</w:t>
      </w:r>
      <w:r>
        <w:rPr>
          <w:rFonts w:hint="eastAsia" w:ascii="Times New Roman" w:hAnsi="Times New Roman" w:eastAsia="仿宋_GB2312" w:cs="Times New Roman"/>
          <w:sz w:val="32"/>
          <w:szCs w:val="32"/>
          <w:lang w:val="en-US" w:eastAsia="zh-CN"/>
        </w:rPr>
        <w:t>1820</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eastAsia="zh-CN"/>
        </w:rPr>
        <w:t>：举办高素质农民专项技术培训、组织农民开展农业各新技术推广应用培训等</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pPr>
        <w:pStyle w:val="14"/>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605.9</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258.97</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224</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122</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605.9</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17</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2.8</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42.74</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37.12</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20.14</w:t>
      </w:r>
      <w:r>
        <w:rPr>
          <w:rFonts w:ascii="Times New Roman" w:hAnsi="Times New Roman" w:eastAsia="仿宋_GB2312" w:cs="Times New Roman"/>
          <w:color w:val="auto"/>
          <w:sz w:val="32"/>
          <w:szCs w:val="32"/>
        </w:rPr>
        <w:t>%。</w:t>
      </w:r>
    </w:p>
    <w:p>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23</w:t>
      </w:r>
      <w:r>
        <w:rPr>
          <w:rFonts w:ascii="Times New Roman" w:hAnsi="Times New Roman" w:eastAsia="仿宋_GB2312" w:cs="Times New Roman"/>
          <w:kern w:val="0"/>
          <w:sz w:val="32"/>
          <w:szCs w:val="32"/>
        </w:rPr>
        <w:t xml:space="preserve"> 个，共涉及资金</w:t>
      </w:r>
      <w:r>
        <w:rPr>
          <w:rFonts w:hint="eastAsia" w:ascii="Times New Roman" w:hAnsi="Times New Roman" w:eastAsia="仿宋_GB2312" w:cs="Times New Roman"/>
          <w:kern w:val="0"/>
          <w:sz w:val="32"/>
          <w:szCs w:val="32"/>
          <w:lang w:val="en-US" w:eastAsia="zh-CN"/>
        </w:rPr>
        <w:t>30119.13</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23</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30119.13</w:t>
      </w:r>
      <w:r>
        <w:rPr>
          <w:rFonts w:ascii="Times New Roman" w:hAnsi="Times New Roman" w:eastAsia="仿宋_GB2312" w:cs="Times New Roman"/>
          <w:kern w:val="0"/>
          <w:sz w:val="32"/>
          <w:szCs w:val="32"/>
        </w:rPr>
        <w:t xml:space="preserve"> 万元，占一般公共预算支出总额的</w:t>
      </w:r>
      <w:r>
        <w:rPr>
          <w:rFonts w:hint="eastAsia" w:ascii="Times New Roman" w:hAnsi="Times New Roman" w:eastAsia="仿宋_GB2312" w:cs="Times New Roman"/>
          <w:kern w:val="0"/>
          <w:sz w:val="32"/>
          <w:szCs w:val="32"/>
          <w:lang w:val="en-US" w:eastAsia="zh-CN"/>
        </w:rPr>
        <w:t>92.51</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二是部门评价开展情况。</w:t>
      </w:r>
      <w:r>
        <w:rPr>
          <w:rFonts w:hint="eastAsia" w:ascii="Times New Roman" w:hAnsi="Times New Roman" w:eastAsia="仿宋_GB2312" w:cs="Times New Roman"/>
          <w:b/>
          <w:bCs/>
          <w:kern w:val="0"/>
          <w:sz w:val="32"/>
          <w:szCs w:val="32"/>
          <w:lang w:eastAsia="zh-CN"/>
        </w:rPr>
        <w:t>无</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三是事前绩效评估开展情况。</w:t>
      </w:r>
      <w:r>
        <w:rPr>
          <w:rFonts w:hint="eastAsia" w:ascii="Times New Roman" w:hAnsi="Times New Roman" w:eastAsia="仿宋_GB2312" w:cs="Times New Roman"/>
          <w:kern w:val="0"/>
          <w:sz w:val="32"/>
          <w:szCs w:val="32"/>
          <w:lang w:eastAsia="zh-CN"/>
        </w:rPr>
        <w:t>无</w:t>
      </w:r>
      <w:r>
        <w:rPr>
          <w:rFonts w:ascii="Times New Roman" w:hAnsi="Times New Roman" w:eastAsia="仿宋_GB2312" w:cs="Times New Roman"/>
          <w:kern w:val="0"/>
          <w:sz w:val="32"/>
          <w:szCs w:val="32"/>
        </w:rPr>
        <w:t>。</w:t>
      </w:r>
    </w:p>
    <w:p>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31365.63</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32556.26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103.80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”。绩效目标完成情况：一是</w:t>
      </w:r>
      <w:r>
        <w:rPr>
          <w:rFonts w:hint="eastAsia" w:ascii="Times New Roman" w:hAnsi="Times New Roman" w:eastAsia="仿宋_GB2312" w:cs="Times New Roman"/>
          <w:b/>
          <w:bCs/>
          <w:color w:val="auto"/>
          <w:spacing w:val="0"/>
          <w:kern w:val="2"/>
          <w:sz w:val="32"/>
          <w:szCs w:val="32"/>
          <w:lang w:val="en-US" w:eastAsia="zh-CN" w:bidi="ar-SA"/>
        </w:rPr>
        <w:t>抓好粮食生产</w:t>
      </w:r>
      <w:r>
        <w:rPr>
          <w:rFonts w:ascii="Times New Roman" w:hAnsi="Times New Roman" w:eastAsia="仿宋_GB2312" w:cs="Times New Roman"/>
          <w:sz w:val="32"/>
          <w:szCs w:val="32"/>
        </w:rPr>
        <w:t>；二是</w:t>
      </w:r>
      <w:r>
        <w:rPr>
          <w:rFonts w:hint="eastAsia" w:ascii="Times New Roman" w:hAnsi="Times New Roman" w:eastAsia="仿宋_GB2312" w:cs="Times New Roman"/>
          <w:b/>
          <w:bCs/>
          <w:color w:val="auto"/>
          <w:spacing w:val="0"/>
          <w:kern w:val="2"/>
          <w:sz w:val="32"/>
          <w:szCs w:val="32"/>
          <w:lang w:val="en-US" w:eastAsia="zh-CN" w:bidi="ar-SA"/>
        </w:rPr>
        <w:t>抓好有效衔接；三是抓好脐橙产业；四是抓好极端天气应对；五是抓好土地二轮延包；六是抓好农业安全生产。</w:t>
      </w:r>
      <w:r>
        <w:rPr>
          <w:rFonts w:ascii="Times New Roman" w:hAnsi="Times New Roman" w:eastAsia="仿宋_GB2312" w:cs="Times New Roman"/>
          <w:sz w:val="32"/>
          <w:szCs w:val="32"/>
        </w:rPr>
        <w:t>发现的主要问题及原因：一是</w:t>
      </w:r>
      <w:r>
        <w:rPr>
          <w:rFonts w:hint="eastAsia" w:ascii="仿宋" w:hAnsi="仿宋" w:eastAsia="仿宋" w:cs="仿宋"/>
          <w:kern w:val="0"/>
          <w:sz w:val="32"/>
          <w:szCs w:val="32"/>
        </w:rPr>
        <w:t>超预算支出</w:t>
      </w:r>
      <w:r>
        <w:rPr>
          <w:rFonts w:ascii="Times New Roman" w:hAnsi="Times New Roman" w:eastAsia="仿宋_GB2312" w:cs="Times New Roman"/>
          <w:sz w:val="32"/>
          <w:szCs w:val="32"/>
        </w:rPr>
        <w:t>；二是</w:t>
      </w:r>
      <w:r>
        <w:rPr>
          <w:rFonts w:hint="eastAsia" w:ascii="仿宋_GB2312" w:eastAsia="仿宋_GB2312"/>
          <w:kern w:val="0"/>
          <w:sz w:val="32"/>
          <w:szCs w:val="32"/>
        </w:rPr>
        <w:t>专项资金使用上存在挤占现象</w:t>
      </w:r>
      <w:r>
        <w:rPr>
          <w:rFonts w:hint="eastAsia" w:ascii="仿宋_GB2312" w:eastAsia="仿宋_GB2312"/>
          <w:kern w:val="0"/>
          <w:sz w:val="32"/>
          <w:szCs w:val="32"/>
          <w:lang w:eastAsia="zh-CN"/>
        </w:rPr>
        <w:t>；</w:t>
      </w:r>
      <w:r>
        <w:rPr>
          <w:rFonts w:hint="eastAsia" w:ascii="仿宋_GB2312" w:eastAsia="仿宋_GB2312"/>
          <w:kern w:val="0"/>
          <w:sz w:val="32"/>
          <w:szCs w:val="32"/>
        </w:rPr>
        <w:t>资产管理方面对历年呆账的清理不及时、彻底</w:t>
      </w:r>
      <w:r>
        <w:rPr>
          <w:rFonts w:ascii="Times New Roman" w:hAnsi="Times New Roman" w:eastAsia="仿宋_GB2312" w:cs="Times New Roman"/>
          <w:sz w:val="32"/>
          <w:szCs w:val="32"/>
        </w:rPr>
        <w:t>。下一步改进措施：一是</w:t>
      </w:r>
      <w:r>
        <w:rPr>
          <w:rFonts w:hint="eastAsia" w:ascii="Times New Roman" w:hAnsi="Times New Roman" w:eastAsia="仿宋_GB2312" w:cs="Times New Roman"/>
          <w:sz w:val="32"/>
          <w:szCs w:val="32"/>
          <w:lang w:eastAsia="zh-CN"/>
        </w:rPr>
        <w:t>建议</w:t>
      </w:r>
      <w:r>
        <w:rPr>
          <w:rFonts w:hint="eastAsia" w:ascii="仿宋_GB2312" w:eastAsia="仿宋_GB2312"/>
          <w:kern w:val="0"/>
          <w:sz w:val="32"/>
          <w:szCs w:val="32"/>
        </w:rPr>
        <w:t>财政调增人员基本支出的预算安排</w:t>
      </w:r>
      <w:r>
        <w:rPr>
          <w:rFonts w:ascii="Times New Roman" w:hAnsi="Times New Roman" w:eastAsia="仿宋_GB2312" w:cs="Times New Roman"/>
          <w:sz w:val="32"/>
          <w:szCs w:val="32"/>
        </w:rPr>
        <w:t>；二是</w:t>
      </w:r>
      <w:r>
        <w:rPr>
          <w:rFonts w:hint="eastAsia" w:ascii="仿宋_GB2312" w:eastAsia="仿宋_GB2312"/>
          <w:kern w:val="0"/>
          <w:sz w:val="32"/>
          <w:szCs w:val="32"/>
        </w:rPr>
        <w:t>历年应收、应付呆账、资产等进行清理、处置，调整账务</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eastAsia="仿宋_GB2312" w:cs="Times New Roman"/>
          <w:color w:val="auto"/>
          <w:sz w:val="72"/>
          <w:szCs w:val="72"/>
        </w:rPr>
      </w:pPr>
      <w:r>
        <w:rPr>
          <w:rFonts w:ascii="Times New Roman" w:hAnsi="Times New Roman" w:eastAsia="楷体_GB2312" w:cs="Times New Roman"/>
          <w:b/>
          <w:bCs/>
          <w:color w:val="auto"/>
          <w:kern w:val="2"/>
          <w:sz w:val="32"/>
          <w:szCs w:val="32"/>
        </w:rPr>
        <w:t>（三）评价结果应用情况。</w:t>
      </w:r>
      <w:r>
        <w:rPr>
          <w:rFonts w:ascii="Times New Roman" w:hAnsi="Times New Roman" w:eastAsia="仿宋_GB2312" w:cs="Times New Roman"/>
          <w:color w:val="auto"/>
          <w:sz w:val="32"/>
          <w:szCs w:val="32"/>
        </w:rPr>
        <w:t>请根据202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年度绩效自评结果、部门评价结果、财政评价结果对本部门2025年度预算安排，支出结构调整，资金管理，制度建设等方面结果运用进行简要说明。</w:t>
      </w: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pPr>
        <w:widowControl/>
        <w:jc w:val="left"/>
        <w:rPr>
          <w:rFonts w:ascii="Times New Roman" w:hAnsi="Times New Roman" w:cs="Times New Roman"/>
          <w:color w:val="000000"/>
          <w:kern w:val="0"/>
          <w:sz w:val="32"/>
          <w:szCs w:val="32"/>
        </w:rPr>
      </w:pPr>
    </w:p>
    <w:p>
      <w:pPr>
        <w:tabs>
          <w:tab w:val="left" w:pos="360"/>
        </w:tabs>
        <w:spacing w:line="360" w:lineRule="auto"/>
        <w:ind w:left="420" w:leftChars="200" w:firstLine="675" w:firstLineChars="211"/>
        <w:rPr>
          <w:rFonts w:hint="eastAsia" w:ascii="仿宋" w:hAnsi="仿宋" w:eastAsia="仿宋" w:cs="仿宋"/>
          <w:color w:val="000000"/>
          <w:sz w:val="32"/>
          <w:szCs w:val="32"/>
          <w:shd w:val="clear" w:color="auto" w:fill="FFFFFF"/>
        </w:rPr>
      </w:pPr>
      <w:r>
        <w:rPr>
          <w:rFonts w:hint="eastAsia" w:ascii="仿宋" w:hAnsi="仿宋" w:eastAsia="仿宋" w:cs="仿宋"/>
          <w:b/>
          <w:bCs/>
          <w:color w:val="000000"/>
          <w:sz w:val="32"/>
          <w:szCs w:val="32"/>
          <w:shd w:val="clear" w:color="auto" w:fill="FFFFFF"/>
          <w:lang w:eastAsia="zh-CN"/>
        </w:rPr>
        <w:t>一、</w:t>
      </w:r>
      <w:r>
        <w:rPr>
          <w:rFonts w:hint="eastAsia" w:ascii="仿宋" w:hAnsi="仿宋" w:eastAsia="仿宋" w:cs="仿宋"/>
          <w:b/>
          <w:bCs/>
          <w:color w:val="000000"/>
          <w:sz w:val="32"/>
          <w:szCs w:val="32"/>
          <w:shd w:val="clear" w:color="auto" w:fill="FFFFFF"/>
        </w:rPr>
        <w:t>财政拨款收入：</w:t>
      </w:r>
      <w:r>
        <w:rPr>
          <w:rFonts w:hint="eastAsia" w:ascii="仿宋" w:hAnsi="仿宋" w:eastAsia="仿宋" w:cs="仿宋"/>
          <w:color w:val="000000"/>
          <w:sz w:val="32"/>
          <w:szCs w:val="32"/>
          <w:shd w:val="clear" w:color="auto" w:fill="FFFFFF"/>
        </w:rPr>
        <w:t>指单位本年度从同级财政部门取得的各类财政拨款。</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b/>
          <w:bCs/>
          <w:color w:val="000000"/>
          <w:sz w:val="32"/>
          <w:szCs w:val="32"/>
          <w:shd w:val="clear" w:color="auto" w:fill="FFFFFF"/>
          <w:lang w:eastAsia="zh-CN"/>
        </w:rPr>
        <w:t>二、</w:t>
      </w:r>
      <w:r>
        <w:rPr>
          <w:rFonts w:hint="eastAsia" w:ascii="仿宋" w:hAnsi="仿宋" w:eastAsia="仿宋" w:cs="仿宋"/>
          <w:b/>
          <w:bCs/>
          <w:color w:val="000000"/>
          <w:sz w:val="32"/>
          <w:szCs w:val="32"/>
          <w:shd w:val="clear" w:color="auto" w:fill="FFFFFF"/>
        </w:rPr>
        <w:t>上级补助收入</w:t>
      </w:r>
      <w:r>
        <w:rPr>
          <w:rFonts w:hint="eastAsia" w:ascii="仿宋" w:hAnsi="仿宋" w:eastAsia="仿宋" w:cs="仿宋"/>
          <w:color w:val="000000"/>
          <w:sz w:val="32"/>
          <w:szCs w:val="32"/>
          <w:shd w:val="clear" w:color="auto" w:fill="FFFFFF"/>
        </w:rPr>
        <w:t>：指事业单位从主管部门和上级单位取得的非财政补助收入。</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b/>
          <w:bCs/>
          <w:color w:val="000000"/>
          <w:sz w:val="32"/>
          <w:szCs w:val="32"/>
          <w:shd w:val="clear" w:color="auto" w:fill="FFFFFF"/>
        </w:rPr>
        <w:tab/>
      </w:r>
      <w:r>
        <w:rPr>
          <w:rFonts w:hint="eastAsia" w:ascii="仿宋" w:hAnsi="仿宋" w:eastAsia="仿宋" w:cs="仿宋"/>
          <w:b/>
          <w:bCs/>
          <w:color w:val="000000"/>
          <w:sz w:val="32"/>
          <w:szCs w:val="32"/>
          <w:shd w:val="clear" w:color="auto" w:fill="FFFFFF"/>
          <w:lang w:eastAsia="zh-CN"/>
        </w:rPr>
        <w:t>三、</w:t>
      </w:r>
      <w:r>
        <w:rPr>
          <w:rFonts w:hint="eastAsia" w:ascii="仿宋" w:hAnsi="仿宋" w:eastAsia="仿宋" w:cs="仿宋"/>
          <w:b/>
          <w:bCs/>
          <w:color w:val="000000"/>
          <w:sz w:val="32"/>
          <w:szCs w:val="32"/>
          <w:shd w:val="clear" w:color="auto" w:fill="FFFFFF"/>
        </w:rPr>
        <w:t>机关运行经费</w:t>
      </w:r>
      <w:r>
        <w:rPr>
          <w:rFonts w:hint="eastAsia" w:ascii="仿宋" w:hAnsi="仿宋" w:eastAsia="仿宋" w:cs="仿宋"/>
          <w:color w:val="000000"/>
          <w:sz w:val="32"/>
          <w:szCs w:val="32"/>
          <w:shd w:val="clear" w:color="auto" w:fill="FFFFFF"/>
        </w:rPr>
        <w:t>：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b/>
          <w:bCs/>
          <w:color w:val="000000"/>
          <w:sz w:val="32"/>
          <w:szCs w:val="32"/>
          <w:shd w:val="clear" w:color="auto" w:fill="FFFFFF"/>
        </w:rPr>
        <w:tab/>
      </w:r>
      <w:r>
        <w:rPr>
          <w:rFonts w:hint="eastAsia" w:ascii="仿宋" w:hAnsi="仿宋" w:eastAsia="仿宋" w:cs="仿宋"/>
          <w:b/>
          <w:bCs/>
          <w:color w:val="000000"/>
          <w:sz w:val="32"/>
          <w:szCs w:val="32"/>
          <w:shd w:val="clear" w:color="auto" w:fill="FFFFFF"/>
          <w:lang w:eastAsia="zh-CN"/>
        </w:rPr>
        <w:t>四、</w:t>
      </w:r>
      <w:r>
        <w:rPr>
          <w:rFonts w:hint="eastAsia" w:ascii="仿宋" w:hAnsi="仿宋" w:eastAsia="仿宋" w:cs="仿宋"/>
          <w:b/>
          <w:bCs/>
          <w:color w:val="000000"/>
          <w:sz w:val="32"/>
          <w:szCs w:val="32"/>
          <w:shd w:val="clear" w:color="auto" w:fill="FFFFFF"/>
        </w:rPr>
        <w:t>事业收入：</w:t>
      </w:r>
      <w:r>
        <w:rPr>
          <w:rFonts w:hint="eastAsia" w:ascii="仿宋" w:hAnsi="仿宋" w:eastAsia="仿宋" w:cs="仿宋"/>
          <w:color w:val="000000"/>
          <w:sz w:val="32"/>
          <w:szCs w:val="32"/>
          <w:shd w:val="clear" w:color="auto" w:fill="FFFFFF"/>
        </w:rPr>
        <w:t>指事业单位开展专业业务活动及其辅助活动取得的收入，事业单位收到的财政专户实际核拨的教育收费等资金在此反映。</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b/>
          <w:bCs/>
          <w:color w:val="000000"/>
          <w:sz w:val="32"/>
          <w:szCs w:val="32"/>
          <w:shd w:val="clear" w:color="auto" w:fill="FFFFFF"/>
        </w:rPr>
        <w:tab/>
      </w:r>
      <w:r>
        <w:rPr>
          <w:rFonts w:hint="eastAsia" w:ascii="仿宋" w:hAnsi="仿宋" w:eastAsia="仿宋" w:cs="仿宋"/>
          <w:b/>
          <w:bCs/>
          <w:color w:val="000000"/>
          <w:sz w:val="32"/>
          <w:szCs w:val="32"/>
          <w:shd w:val="clear" w:color="auto" w:fill="FFFFFF"/>
        </w:rPr>
        <w:tab/>
      </w:r>
      <w:r>
        <w:rPr>
          <w:rFonts w:hint="eastAsia" w:ascii="仿宋" w:hAnsi="仿宋" w:eastAsia="仿宋" w:cs="仿宋"/>
          <w:b/>
          <w:bCs/>
          <w:color w:val="000000"/>
          <w:sz w:val="32"/>
          <w:szCs w:val="32"/>
          <w:shd w:val="clear" w:color="auto" w:fill="FFFFFF"/>
          <w:lang w:eastAsia="zh-CN"/>
        </w:rPr>
        <w:t>五、</w:t>
      </w:r>
      <w:r>
        <w:rPr>
          <w:rFonts w:hint="eastAsia" w:ascii="仿宋" w:hAnsi="仿宋" w:eastAsia="仿宋" w:cs="仿宋"/>
          <w:b/>
          <w:bCs/>
          <w:color w:val="000000"/>
          <w:sz w:val="32"/>
          <w:szCs w:val="32"/>
          <w:shd w:val="clear" w:color="auto" w:fill="FFFFFF"/>
        </w:rPr>
        <w:t>经营收入：</w:t>
      </w:r>
      <w:r>
        <w:rPr>
          <w:rFonts w:hint="eastAsia" w:ascii="仿宋" w:hAnsi="仿宋" w:eastAsia="仿宋" w:cs="仿宋"/>
          <w:color w:val="000000"/>
          <w:sz w:val="32"/>
          <w:szCs w:val="32"/>
          <w:shd w:val="clear" w:color="auto" w:fill="FFFFFF"/>
        </w:rPr>
        <w:t>指事业单位在专业业务活动及其辅助活动之外开展非独立核算经营活动取得的收入。</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b/>
          <w:bCs/>
          <w:color w:val="000000"/>
          <w:sz w:val="32"/>
          <w:szCs w:val="32"/>
          <w:shd w:val="clear" w:color="auto" w:fill="FFFFFF"/>
        </w:rPr>
        <w:tab/>
      </w:r>
      <w:r>
        <w:rPr>
          <w:rFonts w:hint="eastAsia" w:ascii="仿宋" w:hAnsi="仿宋" w:eastAsia="仿宋" w:cs="仿宋"/>
          <w:b/>
          <w:bCs/>
          <w:color w:val="000000"/>
          <w:sz w:val="32"/>
          <w:szCs w:val="32"/>
          <w:shd w:val="clear" w:color="auto" w:fill="FFFFFF"/>
          <w:lang w:eastAsia="zh-CN"/>
        </w:rPr>
        <w:t>六、</w:t>
      </w:r>
      <w:r>
        <w:rPr>
          <w:rFonts w:hint="eastAsia" w:ascii="仿宋" w:hAnsi="仿宋" w:eastAsia="仿宋" w:cs="仿宋"/>
          <w:b/>
          <w:bCs/>
          <w:color w:val="000000"/>
          <w:sz w:val="32"/>
          <w:szCs w:val="32"/>
          <w:shd w:val="clear" w:color="auto" w:fill="FFFFFF"/>
        </w:rPr>
        <w:t>附属单位上缴收入：</w:t>
      </w:r>
      <w:r>
        <w:rPr>
          <w:rFonts w:hint="eastAsia" w:ascii="仿宋" w:hAnsi="仿宋" w:eastAsia="仿宋" w:cs="仿宋"/>
          <w:color w:val="000000"/>
          <w:sz w:val="32"/>
          <w:szCs w:val="32"/>
          <w:shd w:val="clear" w:color="auto" w:fill="FFFFFF"/>
        </w:rPr>
        <w:t>指事业单位附属独立核算单位按照有关规定上缴的收入。</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b/>
          <w:bCs/>
          <w:color w:val="000000"/>
          <w:sz w:val="32"/>
          <w:szCs w:val="32"/>
          <w:shd w:val="clear" w:color="auto" w:fill="FFFFFF"/>
        </w:rPr>
        <w:tab/>
      </w:r>
      <w:r>
        <w:rPr>
          <w:rFonts w:hint="eastAsia" w:ascii="仿宋" w:hAnsi="仿宋" w:eastAsia="仿宋" w:cs="仿宋"/>
          <w:b/>
          <w:bCs/>
          <w:color w:val="000000"/>
          <w:sz w:val="32"/>
          <w:szCs w:val="32"/>
          <w:shd w:val="clear" w:color="auto" w:fill="FFFFFF"/>
          <w:lang w:eastAsia="zh-CN"/>
        </w:rPr>
        <w:t>七、</w:t>
      </w:r>
      <w:r>
        <w:rPr>
          <w:rFonts w:hint="eastAsia" w:ascii="仿宋" w:hAnsi="仿宋" w:eastAsia="仿宋" w:cs="仿宋"/>
          <w:b/>
          <w:bCs/>
          <w:color w:val="000000"/>
          <w:sz w:val="32"/>
          <w:szCs w:val="32"/>
          <w:shd w:val="clear" w:color="auto" w:fill="FFFFFF"/>
        </w:rPr>
        <w:t>其他收入：</w:t>
      </w:r>
      <w:r>
        <w:rPr>
          <w:rFonts w:hint="eastAsia" w:ascii="仿宋" w:hAnsi="仿宋" w:eastAsia="仿宋" w:cs="仿宋"/>
          <w:color w:val="000000"/>
          <w:sz w:val="32"/>
          <w:szCs w:val="32"/>
          <w:shd w:val="clear" w:color="auto" w:fill="FFFFFF"/>
        </w:rPr>
        <w:t>指单位取得的除上述“财政拨款收入”、“事业收入”、“经营收入”等以外的各项收入。</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b/>
          <w:bCs/>
          <w:color w:val="000000"/>
          <w:sz w:val="32"/>
          <w:szCs w:val="32"/>
          <w:shd w:val="clear" w:color="auto" w:fill="FFFFFF"/>
          <w:lang w:eastAsia="zh-CN"/>
        </w:rPr>
        <w:t>八、</w:t>
      </w:r>
      <w:r>
        <w:rPr>
          <w:rFonts w:hint="eastAsia" w:ascii="仿宋" w:hAnsi="仿宋" w:eastAsia="仿宋" w:cs="仿宋"/>
          <w:b/>
          <w:bCs/>
          <w:color w:val="000000"/>
          <w:sz w:val="32"/>
          <w:szCs w:val="32"/>
          <w:shd w:val="clear" w:color="auto" w:fill="FFFFFF"/>
        </w:rPr>
        <w:t>使用非财政拨款结余：</w:t>
      </w:r>
      <w:r>
        <w:rPr>
          <w:rFonts w:hint="eastAsia" w:ascii="仿宋" w:hAnsi="仿宋" w:eastAsia="仿宋" w:cs="仿宋"/>
          <w:color w:val="000000"/>
          <w:sz w:val="32"/>
          <w:szCs w:val="32"/>
          <w:shd w:val="clear" w:color="auto" w:fill="FFFFFF"/>
        </w:rPr>
        <w:t>指事业单位使用非财政拨款结余（原事业基金）弥补当年收支差额的数额。</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b/>
          <w:bCs/>
          <w:color w:val="000000"/>
          <w:sz w:val="32"/>
          <w:szCs w:val="32"/>
          <w:shd w:val="clear" w:color="auto" w:fill="FFFFFF"/>
          <w:lang w:eastAsia="zh-CN"/>
        </w:rPr>
        <w:t>九、</w:t>
      </w:r>
      <w:r>
        <w:rPr>
          <w:rFonts w:hint="eastAsia" w:ascii="仿宋" w:hAnsi="仿宋" w:eastAsia="仿宋" w:cs="仿宋"/>
          <w:b/>
          <w:bCs/>
          <w:color w:val="000000"/>
          <w:sz w:val="32"/>
          <w:szCs w:val="32"/>
          <w:shd w:val="clear" w:color="auto" w:fill="FFFFFF"/>
        </w:rPr>
        <w:t>年初结转和结余：</w:t>
      </w:r>
      <w:r>
        <w:rPr>
          <w:rFonts w:hint="eastAsia" w:ascii="仿宋" w:hAnsi="仿宋" w:eastAsia="仿宋" w:cs="仿宋"/>
          <w:color w:val="000000"/>
          <w:sz w:val="32"/>
          <w:szCs w:val="32"/>
          <w:shd w:val="clear" w:color="auto" w:fill="FFFFFF"/>
        </w:rPr>
        <w:t>指单位上年结转本年使用的基本支出结转、项目支出结转和结余和经营结余。</w:t>
      </w:r>
    </w:p>
    <w:p>
      <w:pPr>
        <w:pStyle w:val="14"/>
        <w:jc w:val="center"/>
        <w:rPr>
          <w:sz w:val="72"/>
          <w:szCs w:val="72"/>
        </w:rPr>
      </w:pPr>
    </w:p>
    <w:p>
      <w:pPr>
        <w:pStyle w:val="14"/>
        <w:jc w:val="center"/>
        <w:rPr>
          <w:rFonts w:ascii="Times New Roman" w:hAnsi="Times New Roman" w:cs="Times New Roman"/>
          <w:sz w:val="72"/>
          <w:szCs w:val="72"/>
        </w:rPr>
      </w:pPr>
    </w:p>
    <w:p>
      <w:pPr>
        <w:pStyle w:val="14"/>
        <w:spacing w:line="360" w:lineRule="auto"/>
        <w:jc w:val="center"/>
        <w:rPr>
          <w:rFonts w:ascii="Times New Roman" w:hAnsi="Times New Roman" w:eastAsia="方正小标宋_GBK" w:cs="Times New Roman"/>
          <w:sz w:val="52"/>
          <w:szCs w:val="52"/>
        </w:rPr>
      </w:pPr>
    </w:p>
    <w:p>
      <w:pPr>
        <w:pStyle w:val="14"/>
        <w:spacing w:line="360" w:lineRule="auto"/>
        <w:jc w:val="center"/>
        <w:rPr>
          <w:rFonts w:ascii="Times New Roman" w:hAnsi="Times New Roman" w:eastAsia="方正小标宋_GBK" w:cs="Times New Roman"/>
          <w:sz w:val="52"/>
          <w:szCs w:val="52"/>
        </w:rPr>
      </w:pPr>
    </w:p>
    <w:p>
      <w:pPr>
        <w:pStyle w:val="14"/>
        <w:spacing w:line="360" w:lineRule="auto"/>
        <w:jc w:val="center"/>
        <w:rPr>
          <w:rFonts w:ascii="Times New Roman" w:hAnsi="Times New Roman" w:eastAsia="方正小标宋_GBK" w:cs="Times New Roman"/>
          <w:sz w:val="52"/>
          <w:szCs w:val="52"/>
        </w:rPr>
      </w:pPr>
    </w:p>
    <w:p>
      <w:pPr>
        <w:pStyle w:val="14"/>
        <w:spacing w:line="360" w:lineRule="auto"/>
        <w:jc w:val="center"/>
        <w:rPr>
          <w:rFonts w:ascii="Times New Roman" w:hAnsi="Times New Roman" w:eastAsia="方正小标宋_GBK" w:cs="Times New Roman"/>
          <w:sz w:val="52"/>
          <w:szCs w:val="52"/>
        </w:rPr>
      </w:pPr>
    </w:p>
    <w:p>
      <w:pPr>
        <w:pStyle w:val="14"/>
        <w:spacing w:line="360" w:lineRule="auto"/>
        <w:jc w:val="center"/>
        <w:rPr>
          <w:rFonts w:ascii="Times New Roman" w:hAnsi="Times New Roman" w:eastAsia="方正小标宋_GBK" w:cs="Times New Roman"/>
          <w:sz w:val="52"/>
          <w:szCs w:val="52"/>
        </w:rPr>
      </w:pPr>
    </w:p>
    <w:p>
      <w:pPr>
        <w:pStyle w:val="14"/>
        <w:spacing w:line="360" w:lineRule="auto"/>
        <w:jc w:val="center"/>
        <w:rPr>
          <w:rFonts w:ascii="Times New Roman" w:hAnsi="Times New Roman" w:eastAsia="方正小标宋_GBK" w:cs="Times New Roman"/>
          <w:sz w:val="52"/>
          <w:szCs w:val="52"/>
        </w:rPr>
      </w:pPr>
    </w:p>
    <w:p>
      <w:pPr>
        <w:pStyle w:val="14"/>
        <w:spacing w:line="360" w:lineRule="auto"/>
        <w:jc w:val="center"/>
        <w:rPr>
          <w:rFonts w:ascii="Times New Roman" w:hAnsi="Times New Roman" w:eastAsia="方正小标宋_GBK" w:cs="Times New Roman"/>
          <w:sz w:val="52"/>
          <w:szCs w:val="52"/>
        </w:rPr>
      </w:pPr>
    </w:p>
    <w:p>
      <w:pPr>
        <w:pStyle w:val="14"/>
        <w:spacing w:line="360" w:lineRule="auto"/>
        <w:jc w:val="center"/>
        <w:rPr>
          <w:rFonts w:ascii="Times New Roman" w:hAnsi="Times New Roman" w:eastAsia="方正小标宋_GBK" w:cs="Times New Roman"/>
          <w:sz w:val="52"/>
          <w:szCs w:val="52"/>
        </w:rPr>
      </w:pPr>
    </w:p>
    <w:p>
      <w:pPr>
        <w:pStyle w:val="14"/>
        <w:spacing w:line="360" w:lineRule="auto"/>
        <w:jc w:val="center"/>
        <w:rPr>
          <w:rFonts w:ascii="Times New Roman" w:hAnsi="Times New Roman" w:eastAsia="方正小标宋_GBK" w:cs="Times New Roman"/>
          <w:sz w:val="52"/>
          <w:szCs w:val="52"/>
        </w:rPr>
      </w:pPr>
    </w:p>
    <w:p>
      <w:pPr>
        <w:pStyle w:val="14"/>
        <w:spacing w:line="360" w:lineRule="auto"/>
        <w:jc w:val="center"/>
        <w:rPr>
          <w:rFonts w:ascii="Times New Roman" w:hAnsi="Times New Roman" w:eastAsia="方正小标宋_GBK" w:cs="Times New Roman"/>
          <w:sz w:val="52"/>
          <w:szCs w:val="52"/>
        </w:rPr>
      </w:pPr>
    </w:p>
    <w:p>
      <w:pPr>
        <w:pStyle w:val="14"/>
        <w:spacing w:line="360" w:lineRule="auto"/>
        <w:jc w:val="center"/>
        <w:rPr>
          <w:rFonts w:ascii="Times New Roman" w:hAnsi="Times New Roman" w:eastAsia="方正小标宋_GBK" w:cs="Times New Roman"/>
          <w:sz w:val="52"/>
          <w:szCs w:val="52"/>
        </w:rPr>
      </w:pPr>
    </w:p>
    <w:p>
      <w:pPr>
        <w:pStyle w:val="14"/>
        <w:spacing w:line="360" w:lineRule="auto"/>
        <w:jc w:val="center"/>
        <w:rPr>
          <w:rFonts w:ascii="Times New Roman" w:hAnsi="Times New Roman" w:eastAsia="方正小标宋_GBK" w:cs="Times New Roman"/>
          <w:sz w:val="52"/>
          <w:szCs w:val="52"/>
        </w:rPr>
      </w:pPr>
    </w:p>
    <w:p>
      <w:pPr>
        <w:pStyle w:val="14"/>
        <w:spacing w:line="360" w:lineRule="auto"/>
        <w:jc w:val="center"/>
        <w:rPr>
          <w:rFonts w:ascii="Times New Roman" w:hAnsi="Times New Roman" w:eastAsia="方正小标宋_GBK" w:cs="Times New Roman"/>
          <w:sz w:val="52"/>
          <w:szCs w:val="52"/>
        </w:rPr>
      </w:pPr>
    </w:p>
    <w:p>
      <w:pPr>
        <w:pStyle w:val="14"/>
        <w:spacing w:line="360" w:lineRule="auto"/>
        <w:jc w:val="center"/>
        <w:rPr>
          <w:rFonts w:ascii="Times New Roman" w:hAnsi="Times New Roman" w:eastAsia="方正小标宋_GBK" w:cs="Times New Roman"/>
          <w:sz w:val="52"/>
          <w:szCs w:val="52"/>
        </w:rPr>
      </w:pPr>
    </w:p>
    <w:p>
      <w:pPr>
        <w:pStyle w:val="14"/>
        <w:spacing w:line="360" w:lineRule="auto"/>
        <w:jc w:val="center"/>
        <w:rPr>
          <w:rFonts w:ascii="Times New Roman" w:hAnsi="Times New Roman" w:eastAsia="方正小标宋_GBK" w:cs="Times New Roman"/>
          <w:sz w:val="52"/>
          <w:szCs w:val="52"/>
        </w:rPr>
      </w:pPr>
    </w:p>
    <w:p>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pPr>
        <w:pStyle w:val="14"/>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年度部门(单位)整体支出绩效自评报告。</w:t>
      </w:r>
    </w:p>
    <w:p>
      <w:pPr>
        <w:pStyle w:val="20"/>
        <w:spacing w:line="600" w:lineRule="exact"/>
        <w:ind w:firstLine="640" w:firstLineChars="200"/>
        <w:rPr>
          <w:rFonts w:hint="eastAsia" w:ascii="仿宋_GB2312" w:eastAsia="仿宋_GB2312"/>
          <w:kern w:val="0"/>
          <w:sz w:val="32"/>
          <w:szCs w:val="32"/>
        </w:rPr>
      </w:pPr>
      <w:r>
        <w:rPr>
          <w:rFonts w:hint="eastAsia" w:ascii="仿宋_GB2312" w:hAnsi="仿宋" w:eastAsia="仿宋_GB2312"/>
          <w:sz w:val="32"/>
          <w:szCs w:val="32"/>
        </w:rPr>
        <w:t>为了强化部门支出责任，推进单位财务管理科学化精细化，提</w:t>
      </w:r>
      <w:r>
        <w:rPr>
          <w:rFonts w:hint="eastAsia" w:ascii="仿宋_GB2312" w:eastAsia="仿宋_GB2312"/>
          <w:kern w:val="0"/>
          <w:sz w:val="32"/>
          <w:szCs w:val="32"/>
        </w:rPr>
        <w:t>高财政资金管理使用效益，提升管理水平，根据</w:t>
      </w:r>
      <w:r>
        <w:rPr>
          <w:rFonts w:hint="eastAsia" w:ascii="仿宋_GB2312" w:eastAsia="仿宋_GB2312"/>
          <w:kern w:val="0"/>
          <w:sz w:val="32"/>
          <w:szCs w:val="32"/>
          <w:lang w:eastAsia="zh-CN"/>
        </w:rPr>
        <w:t>《中共中央</w:t>
      </w:r>
      <w:r>
        <w:rPr>
          <w:rFonts w:hint="eastAsia" w:ascii="仿宋_GB2312" w:eastAsia="仿宋_GB2312"/>
          <w:kern w:val="0"/>
          <w:sz w:val="32"/>
          <w:szCs w:val="32"/>
          <w:lang w:val="en-US" w:eastAsia="zh-CN"/>
        </w:rPr>
        <w:t xml:space="preserve"> 国务院关于全面实施预算绩效管理的意见</w:t>
      </w:r>
      <w:r>
        <w:rPr>
          <w:rFonts w:hint="eastAsia" w:ascii="仿宋_GB2312" w:eastAsia="仿宋_GB2312"/>
          <w:kern w:val="0"/>
          <w:sz w:val="32"/>
          <w:szCs w:val="32"/>
        </w:rPr>
        <w:t>》(</w:t>
      </w:r>
      <w:r>
        <w:rPr>
          <w:rFonts w:hint="eastAsia" w:ascii="仿宋_GB2312" w:eastAsia="仿宋_GB2312"/>
          <w:kern w:val="0"/>
          <w:sz w:val="32"/>
          <w:szCs w:val="32"/>
          <w:lang w:eastAsia="zh-CN"/>
        </w:rPr>
        <w:t>中发</w:t>
      </w:r>
      <w:r>
        <w:rPr>
          <w:rFonts w:hint="eastAsia" w:ascii="仿宋_GB2312" w:eastAsia="仿宋_GB2312"/>
          <w:kern w:val="0"/>
          <w:sz w:val="32"/>
          <w:szCs w:val="32"/>
        </w:rPr>
        <w:t>[201</w:t>
      </w:r>
      <w:r>
        <w:rPr>
          <w:rFonts w:hint="eastAsia" w:ascii="仿宋_GB2312" w:eastAsia="仿宋_GB2312"/>
          <w:kern w:val="0"/>
          <w:sz w:val="32"/>
          <w:szCs w:val="32"/>
          <w:lang w:val="en-US" w:eastAsia="zh-CN"/>
        </w:rPr>
        <w:t>8</w:t>
      </w:r>
      <w:r>
        <w:rPr>
          <w:rFonts w:hint="eastAsia" w:ascii="仿宋_GB2312" w:eastAsia="仿宋_GB2312"/>
          <w:kern w:val="0"/>
          <w:sz w:val="32"/>
          <w:szCs w:val="32"/>
        </w:rPr>
        <w:t>]</w:t>
      </w:r>
      <w:r>
        <w:rPr>
          <w:rFonts w:hint="eastAsia" w:ascii="仿宋_GB2312" w:eastAsia="仿宋_GB2312"/>
          <w:kern w:val="0"/>
          <w:sz w:val="32"/>
          <w:szCs w:val="32"/>
          <w:lang w:val="en-US" w:eastAsia="zh-CN"/>
        </w:rPr>
        <w:t>34</w:t>
      </w:r>
      <w:r>
        <w:rPr>
          <w:rFonts w:hint="eastAsia" w:ascii="仿宋_GB2312" w:eastAsia="仿宋_GB2312"/>
          <w:kern w:val="0"/>
          <w:sz w:val="32"/>
          <w:szCs w:val="32"/>
        </w:rPr>
        <w:t>号</w:t>
      </w:r>
      <w:r>
        <w:rPr>
          <w:rFonts w:hint="eastAsia" w:ascii="仿宋_GB2312" w:eastAsia="仿宋_GB2312"/>
          <w:kern w:val="0"/>
          <w:sz w:val="32"/>
          <w:szCs w:val="32"/>
          <w:lang w:eastAsia="zh-CN"/>
        </w:rPr>
        <w:t>）、</w:t>
      </w:r>
      <w:r>
        <w:rPr>
          <w:rFonts w:hint="eastAsia" w:ascii="仿宋_GB2312" w:eastAsia="仿宋_GB2312"/>
          <w:kern w:val="0"/>
          <w:sz w:val="32"/>
          <w:szCs w:val="32"/>
        </w:rPr>
        <w:t>《预算绩效管理工作考核办法》(湘财绩[2015]15号)、《永州市人民政府关于全面推进预算绩效管理的实施意见》（永政发〔2013〕24号）、《永州市预算绩效管理操作办法》、《道县人民政府关于全面推进预算绩效管理的意见》（道政发[2014]10号）要求，我</w:t>
      </w:r>
      <w:r>
        <w:rPr>
          <w:rFonts w:hint="eastAsia" w:ascii="仿宋_GB2312" w:eastAsia="仿宋_GB2312"/>
          <w:kern w:val="0"/>
          <w:sz w:val="32"/>
          <w:szCs w:val="32"/>
          <w:lang w:eastAsia="zh-CN"/>
        </w:rPr>
        <w:t>局</w:t>
      </w:r>
      <w:r>
        <w:rPr>
          <w:rFonts w:hint="eastAsia" w:ascii="仿宋_GB2312" w:eastAsia="仿宋_GB2312"/>
          <w:kern w:val="0"/>
          <w:sz w:val="32"/>
          <w:szCs w:val="32"/>
        </w:rPr>
        <w:t>领导高度重视，成立了评价</w:t>
      </w:r>
      <w:r>
        <w:rPr>
          <w:rFonts w:hint="eastAsia" w:ascii="仿宋_GB2312" w:eastAsia="仿宋_GB2312"/>
          <w:kern w:val="0"/>
          <w:sz w:val="32"/>
          <w:szCs w:val="32"/>
          <w:lang w:val="en-US" w:eastAsia="zh-CN"/>
        </w:rPr>
        <w:t>工作</w:t>
      </w:r>
      <w:r>
        <w:rPr>
          <w:rFonts w:hint="eastAsia" w:ascii="仿宋_GB2312" w:eastAsia="仿宋_GB2312"/>
          <w:kern w:val="0"/>
          <w:sz w:val="32"/>
          <w:szCs w:val="32"/>
        </w:rPr>
        <w:t>小组，对20</w:t>
      </w:r>
      <w:r>
        <w:rPr>
          <w:rFonts w:hint="eastAsia" w:ascii="仿宋_GB2312" w:eastAsia="仿宋_GB2312"/>
          <w:kern w:val="0"/>
          <w:sz w:val="32"/>
          <w:szCs w:val="32"/>
          <w:lang w:val="en-US" w:eastAsia="zh-CN"/>
        </w:rPr>
        <w:t>24</w:t>
      </w:r>
      <w:r>
        <w:rPr>
          <w:rFonts w:hint="eastAsia" w:ascii="仿宋_GB2312" w:eastAsia="仿宋_GB2312"/>
          <w:kern w:val="0"/>
          <w:sz w:val="32"/>
          <w:szCs w:val="32"/>
        </w:rPr>
        <w:t>年</w:t>
      </w:r>
      <w:r>
        <w:rPr>
          <w:rFonts w:hint="eastAsia" w:ascii="仿宋_GB2312" w:eastAsia="仿宋_GB2312"/>
          <w:kern w:val="0"/>
          <w:sz w:val="32"/>
          <w:szCs w:val="32"/>
          <w:lang w:eastAsia="zh-CN"/>
        </w:rPr>
        <w:t>度</w:t>
      </w:r>
      <w:r>
        <w:rPr>
          <w:rFonts w:hint="eastAsia" w:ascii="仿宋_GB2312" w:eastAsia="仿宋_GB2312"/>
          <w:kern w:val="0"/>
          <w:sz w:val="32"/>
          <w:szCs w:val="32"/>
        </w:rPr>
        <w:t>部门整体支出</w:t>
      </w:r>
      <w:r>
        <w:rPr>
          <w:rFonts w:hint="eastAsia" w:ascii="仿宋_GB2312" w:hAnsi="仿宋" w:eastAsia="仿宋_GB2312"/>
          <w:color w:val="010101"/>
          <w:kern w:val="0"/>
          <w:sz w:val="32"/>
          <w:szCs w:val="32"/>
        </w:rPr>
        <w:t>本着客观、公正、科学的原则进行了绩效评价。现将绩效评价情况及评价结果报告如下：</w:t>
      </w:r>
    </w:p>
    <w:p>
      <w:pPr>
        <w:pStyle w:val="20"/>
        <w:spacing w:line="600" w:lineRule="exact"/>
        <w:ind w:firstLine="640" w:firstLineChars="200"/>
        <w:rPr>
          <w:rFonts w:hint="eastAsia" w:ascii="黑体" w:hAnsi="黑体" w:eastAsia="黑体" w:cs="黑体"/>
          <w:b/>
          <w:kern w:val="0"/>
          <w:sz w:val="32"/>
          <w:szCs w:val="32"/>
          <w:lang w:val="en-US" w:eastAsia="zh-CN"/>
        </w:rPr>
      </w:pPr>
      <w:r>
        <w:rPr>
          <w:rFonts w:hint="eastAsia" w:ascii="黑体" w:hAnsi="黑体" w:eastAsia="黑体" w:cs="黑体"/>
          <w:b/>
          <w:color w:val="010101"/>
          <w:kern w:val="0"/>
          <w:sz w:val="32"/>
          <w:szCs w:val="32"/>
        </w:rPr>
        <w:t>一、</w:t>
      </w:r>
      <w:r>
        <w:rPr>
          <w:rFonts w:hint="eastAsia" w:ascii="黑体" w:hAnsi="黑体" w:eastAsia="黑体" w:cs="黑体"/>
          <w:b/>
          <w:color w:val="010101"/>
          <w:kern w:val="0"/>
          <w:sz w:val="32"/>
          <w:szCs w:val="32"/>
          <w:lang w:eastAsia="zh-CN"/>
        </w:rPr>
        <w:t>基本情况</w:t>
      </w:r>
    </w:p>
    <w:p>
      <w:pPr>
        <w:spacing w:line="600" w:lineRule="exact"/>
        <w:ind w:firstLine="640" w:firstLineChars="200"/>
        <w:rPr>
          <w:rFonts w:hint="eastAsia" w:ascii="宋体" w:hAnsi="宋体" w:eastAsia="宋体" w:cs="宋体"/>
          <w:b/>
          <w:bCs/>
          <w:kern w:val="2"/>
          <w:sz w:val="32"/>
          <w:szCs w:val="32"/>
          <w:lang w:val="en-US" w:eastAsia="zh-CN" w:bidi="ar-SA"/>
        </w:rPr>
      </w:pPr>
      <w:r>
        <w:rPr>
          <w:rFonts w:hint="eastAsia" w:ascii="宋体" w:hAnsi="宋体" w:eastAsia="宋体" w:cs="宋体"/>
          <w:b/>
          <w:bCs/>
          <w:kern w:val="2"/>
          <w:sz w:val="32"/>
          <w:szCs w:val="32"/>
          <w:lang w:val="en-US" w:eastAsia="zh-CN" w:bidi="ar-SA"/>
        </w:rPr>
        <w:t>(一)部门基本情况</w:t>
      </w:r>
    </w:p>
    <w:p>
      <w:pPr>
        <w:spacing w:line="600" w:lineRule="exact"/>
        <w:ind w:firstLine="640" w:firstLineChars="200"/>
        <w:rPr>
          <w:rFonts w:hint="eastAsia" w:ascii="宋体" w:hAnsi="宋体" w:eastAsia="宋体" w:cs="宋体"/>
          <w:b/>
          <w:bCs/>
          <w:kern w:val="2"/>
          <w:sz w:val="32"/>
          <w:szCs w:val="32"/>
          <w:lang w:val="en-US" w:eastAsia="zh-CN" w:bidi="ar-SA"/>
        </w:rPr>
      </w:pPr>
      <w:r>
        <w:rPr>
          <w:rFonts w:hint="eastAsia" w:ascii="宋体" w:hAnsi="宋体" w:eastAsia="宋体" w:cs="宋体"/>
          <w:b/>
          <w:bCs/>
          <w:kern w:val="2"/>
          <w:sz w:val="32"/>
          <w:szCs w:val="32"/>
          <w:lang w:val="en-US" w:eastAsia="zh-CN" w:bidi="ar-SA"/>
        </w:rPr>
        <w:t>1、主要工作职责</w:t>
      </w:r>
    </w:p>
    <w:p>
      <w:pPr>
        <w:spacing w:line="600" w:lineRule="exact"/>
        <w:ind w:firstLine="640" w:firstLineChars="200"/>
        <w:rPr>
          <w:rFonts w:hint="eastAsia" w:ascii="仿宋_GB2312" w:hAnsi="仿宋" w:eastAsia="仿宋_GB2312"/>
          <w:kern w:val="2"/>
          <w:sz w:val="32"/>
          <w:szCs w:val="32"/>
          <w:lang w:val="en-US" w:eastAsia="zh-CN" w:bidi="ar-SA"/>
        </w:rPr>
      </w:pPr>
      <w:r>
        <w:rPr>
          <w:rFonts w:hint="eastAsia" w:ascii="仿宋_GB2312" w:hAnsi="仿宋" w:eastAsia="仿宋_GB2312"/>
          <w:kern w:val="2"/>
          <w:sz w:val="32"/>
          <w:szCs w:val="32"/>
          <w:lang w:val="en-US" w:eastAsia="zh-CN" w:bidi="ar-SA"/>
        </w:rPr>
        <w:t>根据《中共道县县委办公室文件》（道办发[2019]43号）规定，本单位主要工作职责是：</w:t>
      </w:r>
    </w:p>
    <w:p>
      <w:pPr>
        <w:spacing w:line="560" w:lineRule="exact"/>
        <w:ind w:firstLine="640" w:firstLineChars="200"/>
        <w:rPr>
          <w:rFonts w:hint="eastAsia" w:ascii="仿宋_GB2312" w:hAnsi="仿宋" w:eastAsia="仿宋_GB2312"/>
          <w:kern w:val="2"/>
          <w:sz w:val="32"/>
          <w:szCs w:val="32"/>
          <w:lang w:val="en-US" w:eastAsia="zh-CN" w:bidi="ar-SA"/>
        </w:rPr>
      </w:pPr>
      <w:r>
        <w:rPr>
          <w:rFonts w:hint="eastAsia" w:ascii="仿宋_GB2312" w:hAnsi="仿宋" w:eastAsia="仿宋_GB2312"/>
          <w:kern w:val="2"/>
          <w:sz w:val="32"/>
          <w:szCs w:val="32"/>
          <w:lang w:val="en-US" w:eastAsia="zh-CN" w:bidi="ar-SA"/>
        </w:rPr>
        <w:t xml:space="preserve"> （1）统筹研究和组织实施“三农”工作的发展中长期规划、重大政策。组织起草农业农村有关规范性文件草案，指导农业综合执法。参与涉农财税、价格、收储、金融保险、进出口等政策制定。</w:t>
      </w:r>
    </w:p>
    <w:p>
      <w:pPr>
        <w:spacing w:line="560" w:lineRule="exact"/>
        <w:ind w:firstLine="640" w:firstLineChars="200"/>
        <w:rPr>
          <w:rFonts w:hint="eastAsia" w:ascii="仿宋_GB2312" w:hAnsi="仿宋" w:eastAsia="仿宋_GB2312"/>
          <w:kern w:val="2"/>
          <w:sz w:val="32"/>
          <w:szCs w:val="32"/>
          <w:lang w:val="en-US" w:eastAsia="zh-CN" w:bidi="ar-SA"/>
        </w:rPr>
      </w:pPr>
      <w:r>
        <w:rPr>
          <w:rFonts w:hint="eastAsia" w:ascii="仿宋_GB2312" w:hAnsi="仿宋" w:eastAsia="仿宋_GB2312"/>
          <w:kern w:val="2"/>
          <w:sz w:val="32"/>
          <w:szCs w:val="32"/>
          <w:lang w:val="en-US" w:eastAsia="zh-CN" w:bidi="ar-SA"/>
        </w:rPr>
        <w:t>（2）统筹推进发展农村社会事业、农村公共服务、农村文化、农村基础设施和乡村治理。牵头组织改善农村人居环境和“厕所革命”。指导农村精神文明和优秀农耕文化建设。指导农业行业安全生产工作。</w:t>
      </w:r>
    </w:p>
    <w:p>
      <w:pPr>
        <w:spacing w:line="560" w:lineRule="exact"/>
        <w:ind w:firstLine="640" w:firstLineChars="200"/>
        <w:rPr>
          <w:rFonts w:hint="eastAsia" w:ascii="仿宋_GB2312" w:hAnsi="仿宋" w:eastAsia="仿宋_GB2312"/>
          <w:kern w:val="2"/>
          <w:sz w:val="32"/>
          <w:szCs w:val="32"/>
          <w:lang w:val="en-US" w:eastAsia="zh-CN" w:bidi="ar-SA"/>
        </w:rPr>
      </w:pPr>
      <w:r>
        <w:rPr>
          <w:rFonts w:hint="eastAsia" w:ascii="仿宋_GB2312" w:hAnsi="仿宋" w:eastAsia="仿宋_GB2312"/>
          <w:kern w:val="2"/>
          <w:sz w:val="32"/>
          <w:szCs w:val="32"/>
          <w:lang w:val="en-US" w:eastAsia="zh-CN" w:bidi="ar-SA"/>
        </w:rPr>
        <w:t>（3）研究提出深化农村经济体制改革和巩固完善农村基本经营制度的政策建议。负责参与农民承包地、农村宅基地改革和管理有关工作。负责农村集体产权制度改革，指导农村集体经济组织发展主集体资产管理工作。指导农民合作经济组织、农业社会化服务体系、新型农业经营主体建设和发展。</w:t>
      </w:r>
    </w:p>
    <w:p>
      <w:pPr>
        <w:spacing w:line="560" w:lineRule="exact"/>
        <w:ind w:firstLine="640" w:firstLineChars="200"/>
        <w:rPr>
          <w:rFonts w:hint="eastAsia" w:ascii="仿宋_GB2312" w:hAnsi="仿宋" w:eastAsia="仿宋_GB2312"/>
          <w:kern w:val="2"/>
          <w:sz w:val="32"/>
          <w:szCs w:val="32"/>
          <w:lang w:val="en-US" w:eastAsia="zh-CN" w:bidi="ar-SA"/>
        </w:rPr>
      </w:pPr>
      <w:r>
        <w:rPr>
          <w:rFonts w:hint="eastAsia" w:ascii="仿宋_GB2312" w:hAnsi="仿宋" w:eastAsia="仿宋_GB2312"/>
          <w:kern w:val="2"/>
          <w:sz w:val="32"/>
          <w:szCs w:val="32"/>
          <w:lang w:val="en-US" w:eastAsia="zh-CN" w:bidi="ar-SA"/>
        </w:rPr>
        <w:t>（4）指导乡村特色产业农产品加工业、休闲农业和乡镇企业发展工作。提出促进大宗农产品流通的建议，培育、保护农业品牌。发布农业经济信息，监测分析农业农村经济运行。承担农业统计和农业农村信息化有关工作。</w:t>
      </w:r>
    </w:p>
    <w:p>
      <w:pPr>
        <w:spacing w:line="560" w:lineRule="exact"/>
        <w:ind w:firstLine="640" w:firstLineChars="200"/>
        <w:rPr>
          <w:rFonts w:hint="eastAsia" w:ascii="仿宋_GB2312" w:hAnsi="仿宋" w:eastAsia="仿宋_GB2312"/>
          <w:kern w:val="2"/>
          <w:sz w:val="32"/>
          <w:szCs w:val="32"/>
          <w:lang w:val="en-US" w:eastAsia="zh-CN" w:bidi="ar-SA"/>
        </w:rPr>
      </w:pPr>
      <w:r>
        <w:rPr>
          <w:rFonts w:hint="eastAsia" w:ascii="仿宋_GB2312" w:hAnsi="仿宋" w:eastAsia="仿宋_GB2312"/>
          <w:kern w:val="2"/>
          <w:sz w:val="32"/>
          <w:szCs w:val="32"/>
          <w:lang w:val="en-US" w:eastAsia="zh-CN" w:bidi="ar-SA"/>
        </w:rPr>
        <w:t>（5）负责种植业、畜牧业、渔业、农垦、农业机械化等农业各产业的监督管理。指导粮食等农产品生产。组织构建现代化农业产业体系、生产体系经营体系，指导农业标准化生产。负责渔政渔港监督管理。</w:t>
      </w:r>
    </w:p>
    <w:p>
      <w:pPr>
        <w:spacing w:line="560" w:lineRule="exact"/>
        <w:ind w:firstLine="640" w:firstLineChars="200"/>
        <w:rPr>
          <w:rFonts w:hint="eastAsia" w:ascii="仿宋_GB2312" w:hAnsi="仿宋" w:eastAsia="仿宋_GB2312"/>
          <w:kern w:val="2"/>
          <w:sz w:val="32"/>
          <w:szCs w:val="32"/>
          <w:lang w:val="en-US" w:eastAsia="zh-CN" w:bidi="ar-SA"/>
        </w:rPr>
      </w:pPr>
      <w:r>
        <w:rPr>
          <w:rFonts w:hint="eastAsia" w:ascii="仿宋_GB2312" w:hAnsi="仿宋" w:eastAsia="仿宋_GB2312"/>
          <w:kern w:val="2"/>
          <w:sz w:val="32"/>
          <w:szCs w:val="32"/>
          <w:lang w:val="en-US" w:eastAsia="zh-CN" w:bidi="ar-SA"/>
        </w:rPr>
        <w:t>（6）负责农产品质量安全管理。组织开展农产品质量安全监测、追溯、风险评估。贯彻执行农产品质量安全国家标准，参与制定农产品质量安全地方标准并会同有关部门组织实施。指导农业检验检测体系建设。</w:t>
      </w:r>
    </w:p>
    <w:p>
      <w:pPr>
        <w:spacing w:line="560" w:lineRule="exact"/>
        <w:ind w:firstLine="640" w:firstLineChars="200"/>
        <w:rPr>
          <w:rFonts w:hint="eastAsia" w:ascii="仿宋_GB2312" w:hAnsi="仿宋" w:eastAsia="仿宋_GB2312"/>
          <w:kern w:val="2"/>
          <w:sz w:val="32"/>
          <w:szCs w:val="32"/>
          <w:lang w:val="en-US" w:eastAsia="zh-CN" w:bidi="ar-SA"/>
        </w:rPr>
      </w:pPr>
      <w:r>
        <w:rPr>
          <w:rFonts w:hint="eastAsia" w:ascii="仿宋_GB2312" w:hAnsi="仿宋" w:eastAsia="仿宋_GB2312"/>
          <w:kern w:val="2"/>
          <w:sz w:val="32"/>
          <w:szCs w:val="32"/>
          <w:lang w:val="en-US" w:eastAsia="zh-CN" w:bidi="ar-SA"/>
        </w:rPr>
        <w:t>（7）组织农业资源区划工作。指导农用地、渔业水域以及农业生物物种资源的保护与管理，负责水生野生动物保护、耕地及永久基本农田质量保护工作。指导农产品产地环境管理和农业清洁生产。指导设施农业、生态循环农业、节水农业发展以及农村可再生能源综合开发利用、农业生物产业发展。牵头管理外来物种。</w:t>
      </w:r>
    </w:p>
    <w:p>
      <w:pPr>
        <w:spacing w:line="560" w:lineRule="exact"/>
        <w:ind w:firstLine="640" w:firstLineChars="200"/>
        <w:rPr>
          <w:rFonts w:hint="eastAsia" w:ascii="仿宋_GB2312" w:hAnsi="仿宋" w:eastAsia="仿宋_GB2312"/>
          <w:kern w:val="2"/>
          <w:sz w:val="32"/>
          <w:szCs w:val="32"/>
          <w:lang w:val="en-US" w:eastAsia="zh-CN" w:bidi="ar-SA"/>
        </w:rPr>
      </w:pPr>
      <w:r>
        <w:rPr>
          <w:rFonts w:hint="eastAsia" w:ascii="仿宋_GB2312" w:hAnsi="仿宋" w:eastAsia="仿宋_GB2312"/>
          <w:kern w:val="2"/>
          <w:sz w:val="32"/>
          <w:szCs w:val="32"/>
          <w:lang w:val="en-US" w:eastAsia="zh-CN" w:bidi="ar-SA"/>
        </w:rPr>
        <w:t>（8）负责有关农业生命资料和农业投入品的监管管理。组织农业生产资料市场体系建设。贯彻执行农业生产资料、兽药质量、兽药残留限量和残留检测方法国家标准并监督实施。组织兽医医政、兽药药政药检工作，负责执业兽医和禽屠宰行业管理。</w:t>
      </w:r>
    </w:p>
    <w:p>
      <w:pPr>
        <w:spacing w:line="560" w:lineRule="exact"/>
        <w:ind w:firstLine="640" w:firstLineChars="200"/>
        <w:rPr>
          <w:rFonts w:hint="eastAsia" w:ascii="仿宋_GB2312" w:hAnsi="仿宋" w:eastAsia="仿宋_GB2312"/>
          <w:kern w:val="2"/>
          <w:sz w:val="32"/>
          <w:szCs w:val="32"/>
          <w:lang w:val="en-US" w:eastAsia="zh-CN" w:bidi="ar-SA"/>
        </w:rPr>
      </w:pPr>
      <w:r>
        <w:rPr>
          <w:rFonts w:hint="eastAsia" w:ascii="仿宋_GB2312" w:hAnsi="仿宋" w:eastAsia="仿宋_GB2312"/>
          <w:kern w:val="2"/>
          <w:sz w:val="32"/>
          <w:szCs w:val="32"/>
          <w:lang w:val="en-US" w:eastAsia="zh-CN" w:bidi="ar-SA"/>
        </w:rPr>
        <w:t>（9）负责农业防灾减灾、农作物重大病虫害防治工作。指导植物防疫检疫体系建设，组织、监督市场动植物防疫检疫工作，发布疫情并组织扑灭。配合有关部门制定血吸虫病防治工作计划并组织实施。</w:t>
      </w:r>
    </w:p>
    <w:p>
      <w:pPr>
        <w:spacing w:line="560" w:lineRule="exact"/>
        <w:ind w:firstLine="640" w:firstLineChars="200"/>
        <w:rPr>
          <w:rFonts w:hint="eastAsia" w:ascii="仿宋_GB2312" w:hAnsi="仿宋" w:eastAsia="仿宋_GB2312"/>
          <w:kern w:val="2"/>
          <w:sz w:val="32"/>
          <w:szCs w:val="32"/>
          <w:lang w:val="en-US" w:eastAsia="zh-CN" w:bidi="ar-SA"/>
        </w:rPr>
      </w:pPr>
      <w:r>
        <w:rPr>
          <w:rFonts w:hint="eastAsia" w:ascii="仿宋_GB2312" w:hAnsi="仿宋" w:eastAsia="仿宋_GB2312"/>
          <w:kern w:val="2"/>
          <w:sz w:val="32"/>
          <w:szCs w:val="32"/>
          <w:lang w:val="en-US" w:eastAsia="zh-CN" w:bidi="ar-SA"/>
        </w:rPr>
        <w:t>（10）负责农业投资管理。编制农业投资项目建设规划，提出农业投资规模和方向、扶持农业农村发展财政项目的建议，按规定权限审批农业投资项目，负责农业投资项目资金安排和监督管理。</w:t>
      </w:r>
    </w:p>
    <w:p>
      <w:pPr>
        <w:spacing w:line="560" w:lineRule="exact"/>
        <w:ind w:firstLine="640" w:firstLineChars="200"/>
        <w:rPr>
          <w:rFonts w:hint="eastAsia" w:ascii="仿宋_GB2312" w:hAnsi="仿宋" w:eastAsia="仿宋_GB2312"/>
          <w:kern w:val="2"/>
          <w:sz w:val="32"/>
          <w:szCs w:val="32"/>
          <w:lang w:val="en-US" w:eastAsia="zh-CN" w:bidi="ar-SA"/>
        </w:rPr>
      </w:pPr>
      <w:r>
        <w:rPr>
          <w:rFonts w:hint="eastAsia" w:ascii="仿宋_GB2312" w:hAnsi="仿宋" w:eastAsia="仿宋_GB2312"/>
          <w:kern w:val="2"/>
          <w:sz w:val="32"/>
          <w:szCs w:val="32"/>
          <w:lang w:val="en-US" w:eastAsia="zh-CN" w:bidi="ar-SA"/>
        </w:rPr>
        <w:t>（11）推动农业科技体系改革和农业科技创新体系建设。指导农业产业技术体系和农技推广体系建设，组织开展农业领域的高新技术和应用技术研究、科技成果转化和技术推广。负责农业转基因生物安全监督管理和农业植物新品种保护。</w:t>
      </w:r>
    </w:p>
    <w:p>
      <w:pPr>
        <w:spacing w:line="560" w:lineRule="exact"/>
        <w:ind w:firstLine="640" w:firstLineChars="200"/>
        <w:rPr>
          <w:rFonts w:hint="eastAsia" w:ascii="仿宋_GB2312" w:hAnsi="仿宋" w:eastAsia="仿宋_GB2312"/>
          <w:kern w:val="2"/>
          <w:sz w:val="32"/>
          <w:szCs w:val="32"/>
          <w:lang w:val="en-US" w:eastAsia="zh-CN" w:bidi="ar-SA"/>
        </w:rPr>
      </w:pPr>
      <w:r>
        <w:rPr>
          <w:rFonts w:hint="eastAsia" w:ascii="仿宋_GB2312" w:hAnsi="仿宋" w:eastAsia="仿宋_GB2312"/>
          <w:kern w:val="2"/>
          <w:sz w:val="32"/>
          <w:szCs w:val="32"/>
          <w:lang w:val="en-US" w:eastAsia="zh-CN" w:bidi="ar-SA"/>
        </w:rPr>
        <w:t>（12）指导农业农村人才工作。拟定农业农村人才队伍建设规计并组织实施，指导农业教育和农业职业技能开发，指导新型职业农民培育、农业科技人才培养和农村实用人才培训工作。</w:t>
      </w:r>
    </w:p>
    <w:p>
      <w:pPr>
        <w:spacing w:line="560" w:lineRule="exact"/>
        <w:ind w:firstLine="640" w:firstLineChars="200"/>
        <w:rPr>
          <w:rFonts w:hint="eastAsia" w:ascii="仿宋_GB2312" w:hAnsi="仿宋" w:eastAsia="仿宋_GB2312"/>
          <w:kern w:val="2"/>
          <w:sz w:val="32"/>
          <w:szCs w:val="32"/>
          <w:lang w:val="en-US" w:eastAsia="zh-CN" w:bidi="ar-SA"/>
        </w:rPr>
      </w:pPr>
      <w:r>
        <w:rPr>
          <w:rFonts w:hint="eastAsia" w:ascii="仿宋_GB2312" w:hAnsi="仿宋" w:eastAsia="仿宋_GB2312"/>
          <w:kern w:val="2"/>
          <w:sz w:val="32"/>
          <w:szCs w:val="32"/>
          <w:lang w:val="en-US" w:eastAsia="zh-CN" w:bidi="ar-SA"/>
        </w:rPr>
        <w:t>（13）组织参与农业对外合作工作。承办有关农业涉外事务，组织开展农业贸易促进有关对外交流合作，具体执行有关农业援外项目。</w:t>
      </w:r>
    </w:p>
    <w:p>
      <w:pPr>
        <w:spacing w:line="560" w:lineRule="exact"/>
        <w:ind w:firstLine="640" w:firstLineChars="200"/>
        <w:rPr>
          <w:rFonts w:hint="eastAsia" w:ascii="仿宋_GB2312" w:hAnsi="仿宋" w:eastAsia="仿宋_GB2312"/>
          <w:kern w:val="2"/>
          <w:sz w:val="32"/>
          <w:szCs w:val="32"/>
          <w:lang w:val="en-US" w:eastAsia="zh-CN" w:bidi="ar-SA"/>
        </w:rPr>
      </w:pPr>
      <w:r>
        <w:rPr>
          <w:rFonts w:hint="eastAsia" w:ascii="仿宋_GB2312" w:hAnsi="仿宋" w:eastAsia="仿宋_GB2312"/>
          <w:kern w:val="2"/>
          <w:sz w:val="32"/>
          <w:szCs w:val="32"/>
          <w:lang w:val="en-US" w:eastAsia="zh-CN" w:bidi="ar-SA"/>
        </w:rPr>
        <w:t>（14）完成县委、县人民政府县委农村工作领导小组交办的其他任务。</w:t>
      </w:r>
    </w:p>
    <w:p>
      <w:pPr>
        <w:spacing w:line="600" w:lineRule="exact"/>
        <w:ind w:firstLine="640" w:firstLineChars="200"/>
        <w:rPr>
          <w:rFonts w:hint="eastAsia" w:ascii="宋体" w:hAnsi="宋体" w:eastAsia="宋体" w:cs="宋体"/>
          <w:b/>
          <w:bCs/>
          <w:kern w:val="2"/>
          <w:sz w:val="32"/>
          <w:szCs w:val="32"/>
          <w:lang w:val="en-US" w:eastAsia="zh-CN" w:bidi="ar-SA"/>
        </w:rPr>
      </w:pPr>
      <w:r>
        <w:rPr>
          <w:rFonts w:hint="eastAsia" w:ascii="宋体" w:hAnsi="宋体" w:eastAsia="宋体" w:cs="宋体"/>
          <w:b/>
          <w:bCs/>
          <w:kern w:val="2"/>
          <w:sz w:val="32"/>
          <w:szCs w:val="32"/>
          <w:lang w:val="en-US" w:eastAsia="zh-CN" w:bidi="ar-SA"/>
        </w:rPr>
        <w:t>2、机构设置情况</w:t>
      </w:r>
    </w:p>
    <w:p>
      <w:pPr>
        <w:spacing w:line="600" w:lineRule="exact"/>
        <w:ind w:firstLine="640" w:firstLineChars="200"/>
        <w:rPr>
          <w:rFonts w:hint="eastAsia" w:ascii="仿宋_GB2312" w:hAnsi="仿宋" w:eastAsia="仿宋_GB2312"/>
          <w:kern w:val="2"/>
          <w:sz w:val="32"/>
          <w:szCs w:val="32"/>
          <w:lang w:val="en-US" w:eastAsia="zh-CN" w:bidi="ar-SA"/>
        </w:rPr>
      </w:pPr>
      <w:r>
        <w:rPr>
          <w:rFonts w:hint="eastAsia" w:ascii="仿宋_GB2312" w:hAnsi="仿宋" w:eastAsia="仿宋_GB2312"/>
          <w:kern w:val="2"/>
          <w:sz w:val="32"/>
          <w:szCs w:val="32"/>
          <w:lang w:val="en-US" w:eastAsia="zh-CN" w:bidi="ar-SA"/>
        </w:rPr>
        <w:t>农业农村局内设办公室、政工股、行政审批股（法规股）、政策与改革股、发展规划股、计划财务股、乡村产业发展股、农村社会事业促进股、农村合作经济指导股、市场与信息化股、科技教育股、农业资源保护与利用股、农产品质量安全监管股、种植业管理股、畜牧水产股、种业管理股、农业机械化管理股、农田建设与农垦股。共18个股室4个归口下属单位（国营道县水稻原种场、国营道县旱粮原种场、道县柑桔研究所、国营道县园艺示范场）。编制人数328人</w:t>
      </w:r>
      <w:r>
        <w:rPr>
          <w:rFonts w:hint="eastAsia" w:ascii="仿宋_GB2312" w:hAnsi="仿宋" w:eastAsia="仿宋_GB2312" w:cs="Times New Roman"/>
          <w:kern w:val="2"/>
          <w:sz w:val="32"/>
          <w:szCs w:val="32"/>
          <w:lang w:val="en-US" w:eastAsia="zh-CN" w:bidi="ar-SA"/>
        </w:rPr>
        <w:t>；</w:t>
      </w:r>
      <w:r>
        <w:rPr>
          <w:rFonts w:hint="eastAsia" w:ascii="仿宋_GB2312" w:hAnsi="仿宋" w:eastAsia="仿宋_GB2312"/>
          <w:sz w:val="32"/>
          <w:szCs w:val="32"/>
          <w:highlight w:val="none"/>
          <w:lang w:val="en-US" w:eastAsia="zh-CN"/>
        </w:rPr>
        <w:t>2025年年初在职172人，招考及选调7人，退休11人，调出2人，年末在职人员166人</w:t>
      </w:r>
      <w:r>
        <w:rPr>
          <w:rFonts w:hint="eastAsia" w:ascii="仿宋_GB2312" w:hAnsi="仿宋" w:eastAsia="仿宋_GB2312"/>
          <w:kern w:val="2"/>
          <w:sz w:val="32"/>
          <w:szCs w:val="32"/>
          <w:lang w:val="en-US" w:eastAsia="zh-CN" w:bidi="ar-SA"/>
        </w:rPr>
        <w:t>，公务车辆1台。</w:t>
      </w:r>
    </w:p>
    <w:p>
      <w:pPr>
        <w:pStyle w:val="20"/>
        <w:numPr>
          <w:ilvl w:val="0"/>
          <w:numId w:val="1"/>
        </w:numPr>
        <w:spacing w:line="600" w:lineRule="exact"/>
        <w:ind w:firstLine="640" w:firstLineChars="200"/>
        <w:rPr>
          <w:rFonts w:hint="eastAsia" w:ascii="宋体" w:hAnsi="宋体" w:eastAsia="宋体" w:cs="宋体"/>
          <w:b/>
          <w:bCs/>
          <w:sz w:val="32"/>
          <w:szCs w:val="32"/>
          <w:lang w:eastAsia="zh-CN"/>
        </w:rPr>
      </w:pPr>
      <w:r>
        <w:rPr>
          <w:rFonts w:hint="eastAsia" w:ascii="宋体" w:hAnsi="宋体" w:eastAsia="宋体" w:cs="宋体"/>
          <w:b/>
          <w:bCs/>
          <w:sz w:val="32"/>
          <w:szCs w:val="32"/>
          <w:lang w:eastAsia="zh-CN"/>
        </w:rPr>
        <w:t>部门年度整体支出绩效目标</w:t>
      </w:r>
    </w:p>
    <w:p>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color w:val="auto"/>
          <w:spacing w:val="0"/>
          <w:kern w:val="2"/>
          <w:sz w:val="32"/>
          <w:szCs w:val="32"/>
          <w:lang w:val="en-US" w:eastAsia="zh-CN" w:bidi="ar-SA"/>
        </w:rPr>
      </w:pPr>
      <w:r>
        <w:rPr>
          <w:rFonts w:hint="eastAsia" w:ascii="Times New Roman" w:hAnsi="Times New Roman" w:eastAsia="仿宋_GB2312" w:cs="Times New Roman"/>
          <w:b/>
          <w:bCs/>
          <w:color w:val="auto"/>
          <w:spacing w:val="0"/>
          <w:kern w:val="2"/>
          <w:sz w:val="32"/>
          <w:szCs w:val="32"/>
          <w:lang w:val="en-US" w:eastAsia="zh-CN" w:bidi="ar-SA"/>
        </w:rPr>
        <w:t>一是抓好粮食生产</w:t>
      </w:r>
      <w:r>
        <w:rPr>
          <w:rFonts w:hint="eastAsia" w:ascii="Times New Roman" w:hAnsi="Times New Roman" w:eastAsia="仿宋_GB2312" w:cs="Times New Roman"/>
          <w:color w:val="auto"/>
          <w:spacing w:val="0"/>
          <w:kern w:val="2"/>
          <w:sz w:val="32"/>
          <w:szCs w:val="32"/>
          <w:lang w:val="en-US" w:eastAsia="zh-CN" w:bidi="ar-SA"/>
        </w:rPr>
        <w:t>。要加紧把粮食生产任务分解落实到乡镇、到村组、到田块，推动任务落地。要抓好早稻集中育秧，多育机插机抛秧，确保完成机插机抛任务。要备足备齐种子、化肥、农药等各类农资，加强农资市场监管，严厉打击制假售假、哄抬物价等坑农害农行为。要加快完成2024年度高标准农田建设任务和去冬今春水利工程的扫尾工作，推进涔天河道县灌区田间工程配套建设，确保修得好、用得了，并提前谋划灌区内双季稻种植，全力推动“单改双”。</w:t>
      </w:r>
      <w:r>
        <w:rPr>
          <w:rFonts w:hint="eastAsia" w:ascii="Times New Roman" w:hAnsi="Times New Roman" w:eastAsia="仿宋_GB2312" w:cs="Times New Roman"/>
          <w:b/>
          <w:bCs/>
          <w:color w:val="auto"/>
          <w:spacing w:val="0"/>
          <w:kern w:val="2"/>
          <w:sz w:val="32"/>
          <w:szCs w:val="32"/>
          <w:lang w:val="en-US" w:eastAsia="zh-CN" w:bidi="ar-SA"/>
        </w:rPr>
        <w:t>二是抓好有效衔接。</w:t>
      </w:r>
      <w:r>
        <w:rPr>
          <w:rFonts w:hint="eastAsia" w:ascii="Times New Roman" w:hAnsi="Times New Roman" w:eastAsia="仿宋_GB2312" w:cs="Times New Roman"/>
          <w:color w:val="auto"/>
          <w:spacing w:val="0"/>
          <w:kern w:val="2"/>
          <w:sz w:val="32"/>
          <w:szCs w:val="32"/>
          <w:lang w:val="en-US" w:eastAsia="zh-CN" w:bidi="ar-SA"/>
        </w:rPr>
        <w:t>今年是巩固拓展脱贫攻坚成果与乡村振兴有效衔接收官之年，中央将对5年来的有效衔接工作情况进行全面评估，各级各部门务必集中人力、物力、财力切实有效地抓好驻村帮扶和结对帮扶工作，多措并举增加脱贫户收入。各乡镇（街道）要对未派驻县级以上工作队的脱贫人口100人以上面上村、乡村振兴示范创建村和重点帮扶村进行认真研究，选派党政领导或优秀干部带队驻村，全面推进乡村振兴。</w:t>
      </w:r>
      <w:r>
        <w:rPr>
          <w:rFonts w:hint="eastAsia" w:ascii="Times New Roman" w:hAnsi="Times New Roman" w:eastAsia="仿宋_GB2312" w:cs="Times New Roman"/>
          <w:b/>
          <w:bCs/>
          <w:color w:val="auto"/>
          <w:spacing w:val="0"/>
          <w:kern w:val="2"/>
          <w:sz w:val="32"/>
          <w:szCs w:val="32"/>
          <w:lang w:val="en-US" w:eastAsia="zh-CN" w:bidi="ar-SA"/>
        </w:rPr>
        <w:t>三是抓好脐橙产业。</w:t>
      </w:r>
      <w:r>
        <w:rPr>
          <w:rFonts w:hint="eastAsia" w:ascii="Times New Roman" w:hAnsi="Times New Roman" w:eastAsia="仿宋_GB2312" w:cs="Times New Roman"/>
          <w:color w:val="auto"/>
          <w:spacing w:val="0"/>
          <w:kern w:val="2"/>
          <w:sz w:val="32"/>
          <w:szCs w:val="32"/>
          <w:lang w:val="en-US" w:eastAsia="zh-CN" w:bidi="ar-SA"/>
        </w:rPr>
        <w:t>各乡镇、街道（濂溪、西洲街道，横岭、洪塘营乡除外）要新建1个100亩以上的脐橙标准园示范基地，按计划任务完成脐橙标准园提质改造。要大力宣传种苗补贴、项目支持、金融信贷等利好政策措施，扎实推进脐橙标准园建设，加强柑橘黄龙病防控，促进脐橙产业高质量发展。</w:t>
      </w:r>
      <w:r>
        <w:rPr>
          <w:rFonts w:hint="eastAsia" w:ascii="Times New Roman" w:hAnsi="Times New Roman" w:eastAsia="仿宋_GB2312" w:cs="Times New Roman"/>
          <w:b/>
          <w:bCs/>
          <w:color w:val="auto"/>
          <w:spacing w:val="0"/>
          <w:kern w:val="2"/>
          <w:sz w:val="32"/>
          <w:szCs w:val="32"/>
          <w:lang w:val="en-US" w:eastAsia="zh-CN" w:bidi="ar-SA"/>
        </w:rPr>
        <w:t>四是抓好极端天气应对。</w:t>
      </w:r>
      <w:r>
        <w:rPr>
          <w:rFonts w:hint="eastAsia" w:ascii="Times New Roman" w:hAnsi="Times New Roman" w:eastAsia="仿宋_GB2312" w:cs="Times New Roman"/>
          <w:color w:val="auto"/>
          <w:spacing w:val="0"/>
          <w:kern w:val="2"/>
          <w:sz w:val="32"/>
          <w:szCs w:val="32"/>
          <w:lang w:val="en-US" w:eastAsia="zh-CN" w:bidi="ar-SA"/>
        </w:rPr>
        <w:t>切实抓好油菜、蔬菜等农作物田间培管，积极做好冰冻雨雪、倒春寒、春旱等极端灾害天气防范应对，科学制定完善农业防灾减灾应急预案，落实落细各项防范应对措施，切实减少农业生产损失，最大限度维护农民利益。</w:t>
      </w:r>
      <w:r>
        <w:rPr>
          <w:rFonts w:hint="eastAsia" w:ascii="Times New Roman" w:hAnsi="Times New Roman" w:eastAsia="仿宋_GB2312" w:cs="Times New Roman"/>
          <w:b/>
          <w:bCs/>
          <w:color w:val="auto"/>
          <w:spacing w:val="0"/>
          <w:kern w:val="2"/>
          <w:sz w:val="32"/>
          <w:szCs w:val="32"/>
          <w:lang w:val="en-US" w:eastAsia="zh-CN" w:bidi="ar-SA"/>
        </w:rPr>
        <w:t>五是抓好土地二轮延包</w:t>
      </w:r>
      <w:r>
        <w:rPr>
          <w:rFonts w:hint="eastAsia" w:ascii="Times New Roman" w:hAnsi="Times New Roman" w:eastAsia="仿宋_GB2312" w:cs="Times New Roman"/>
          <w:color w:val="auto"/>
          <w:spacing w:val="0"/>
          <w:kern w:val="2"/>
          <w:sz w:val="32"/>
          <w:szCs w:val="32"/>
          <w:lang w:val="en-US" w:eastAsia="zh-CN" w:bidi="ar-SA"/>
        </w:rPr>
        <w:t>。各乡镇（街道）要加强宣传动员，按照时间节点完成摸底调查、资料审核公示、承包合同网签等工作。要按照省市要求，在保证质量的同时，加快工作进度，边调查摸底核实，边审核边公示，公示无异议后即时组织网签。</w:t>
      </w:r>
      <w:r>
        <w:rPr>
          <w:rFonts w:hint="eastAsia" w:ascii="Times New Roman" w:hAnsi="Times New Roman" w:eastAsia="仿宋_GB2312" w:cs="Times New Roman"/>
          <w:b/>
          <w:bCs/>
          <w:color w:val="auto"/>
          <w:spacing w:val="0"/>
          <w:kern w:val="2"/>
          <w:sz w:val="32"/>
          <w:szCs w:val="32"/>
          <w:lang w:val="en-US" w:eastAsia="zh-CN" w:bidi="ar-SA"/>
        </w:rPr>
        <w:t>六是抓好农业安全生产。</w:t>
      </w:r>
      <w:r>
        <w:rPr>
          <w:rFonts w:hint="eastAsia" w:ascii="Times New Roman" w:hAnsi="Times New Roman" w:eastAsia="仿宋_GB2312" w:cs="Times New Roman"/>
          <w:color w:val="auto"/>
          <w:spacing w:val="0"/>
          <w:kern w:val="2"/>
          <w:sz w:val="32"/>
          <w:szCs w:val="32"/>
          <w:lang w:val="en-US" w:eastAsia="zh-CN" w:bidi="ar-SA"/>
        </w:rPr>
        <w:t>要持之以恒抓好农业农村领域安全生产、森林防火，全面落实监管责任，确保农村社会大局安全稳定。</w:t>
      </w:r>
    </w:p>
    <w:p>
      <w:pPr>
        <w:pStyle w:val="20"/>
        <w:numPr>
          <w:ilvl w:val="0"/>
          <w:numId w:val="0"/>
        </w:numPr>
        <w:spacing w:line="600" w:lineRule="exact"/>
        <w:ind w:firstLine="640" w:firstLineChars="200"/>
        <w:rPr>
          <w:rFonts w:hint="eastAsia" w:ascii="黑体" w:hAnsi="黑体" w:eastAsia="黑体" w:cs="黑体"/>
          <w:b/>
          <w:bCs/>
          <w:kern w:val="2"/>
          <w:sz w:val="32"/>
          <w:szCs w:val="32"/>
          <w:lang w:val="en-US" w:eastAsia="zh-CN" w:bidi="ar-SA"/>
        </w:rPr>
      </w:pPr>
      <w:r>
        <w:rPr>
          <w:rFonts w:hint="eastAsia" w:ascii="黑体" w:hAnsi="黑体" w:eastAsia="黑体" w:cs="黑体"/>
          <w:b/>
          <w:bCs/>
          <w:kern w:val="2"/>
          <w:sz w:val="32"/>
          <w:szCs w:val="32"/>
          <w:lang w:val="en-US" w:eastAsia="zh-CN" w:bidi="ar-SA"/>
        </w:rPr>
        <w:t>二、一般公共预算支出情况</w:t>
      </w:r>
    </w:p>
    <w:p>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eastAsia="仿宋_GB2312"/>
          <w:sz w:val="32"/>
          <w:szCs w:val="32"/>
          <w:lang w:val="en-US" w:eastAsia="zh-CN"/>
        </w:rPr>
      </w:pPr>
      <w:r>
        <w:rPr>
          <w:rFonts w:hint="eastAsia" w:eastAsia="仿宋_GB2312"/>
          <w:sz w:val="32"/>
          <w:szCs w:val="32"/>
          <w:lang w:val="en-US" w:eastAsia="zh-CN"/>
        </w:rPr>
        <w:t>2025年支出</w:t>
      </w:r>
      <w:r>
        <w:rPr>
          <w:rFonts w:hint="eastAsia" w:ascii="仿宋_GB2312" w:hAnsi="仿宋_GB2312" w:eastAsia="仿宋_GB2312" w:cs="仿宋_GB2312"/>
          <w:color w:val="000000"/>
          <w:sz w:val="32"/>
          <w:szCs w:val="32"/>
          <w:shd w:val="clear" w:color="auto" w:fill="FFFFFF"/>
          <w:lang w:val="en-US" w:eastAsia="zh-CN"/>
        </w:rPr>
        <w:t>32556.25</w:t>
      </w:r>
      <w:r>
        <w:rPr>
          <w:rFonts w:hint="eastAsia" w:eastAsia="仿宋_GB2312"/>
          <w:sz w:val="32"/>
          <w:szCs w:val="32"/>
          <w:lang w:val="en-US" w:eastAsia="zh-CN"/>
        </w:rPr>
        <w:t>万元，具体安排情况如下：</w:t>
      </w:r>
    </w:p>
    <w:p>
      <w:pPr>
        <w:keepNext w:val="0"/>
        <w:keepLines w:val="0"/>
        <w:pageBreakBefore w:val="0"/>
        <w:widowControl w:val="0"/>
        <w:numPr>
          <w:ilvl w:val="0"/>
          <w:numId w:val="2"/>
        </w:numPr>
        <w:kinsoku/>
        <w:wordWrap/>
        <w:overflowPunct/>
        <w:topLinePunct w:val="0"/>
        <w:autoSpaceDE/>
        <w:autoSpaceDN/>
        <w:bidi w:val="0"/>
        <w:adjustRightInd/>
        <w:snapToGrid w:val="0"/>
        <w:spacing w:line="600" w:lineRule="exact"/>
        <w:ind w:firstLine="640" w:firstLineChars="200"/>
        <w:textAlignment w:val="auto"/>
        <w:rPr>
          <w:rFonts w:hint="eastAsia" w:eastAsia="仿宋_GB2312"/>
          <w:sz w:val="32"/>
          <w:szCs w:val="32"/>
          <w:lang w:val="en-US" w:eastAsia="zh-CN"/>
        </w:rPr>
      </w:pPr>
      <w:r>
        <w:rPr>
          <w:rFonts w:hint="eastAsia" w:eastAsia="仿宋_GB2312"/>
          <w:sz w:val="32"/>
          <w:szCs w:val="32"/>
          <w:lang w:val="en-US" w:eastAsia="zh-CN"/>
        </w:rPr>
        <w:t>基本支出：</w:t>
      </w:r>
      <w:r>
        <w:rPr>
          <w:rFonts w:hint="eastAsia" w:eastAsia="仿宋_GB2312"/>
          <w:sz w:val="32"/>
          <w:szCs w:val="32"/>
          <w:lang w:eastAsia="zh-CN"/>
        </w:rPr>
        <w:t>20</w:t>
      </w:r>
      <w:r>
        <w:rPr>
          <w:rFonts w:hint="eastAsia" w:eastAsia="仿宋_GB2312"/>
          <w:sz w:val="32"/>
          <w:szCs w:val="32"/>
          <w:lang w:val="en-US" w:eastAsia="zh-CN"/>
        </w:rPr>
        <w:t>25</w:t>
      </w:r>
      <w:r>
        <w:rPr>
          <w:rFonts w:hint="eastAsia" w:eastAsia="仿宋_GB2312"/>
          <w:sz w:val="32"/>
          <w:szCs w:val="32"/>
          <w:lang w:eastAsia="zh-CN"/>
        </w:rPr>
        <w:t>年</w:t>
      </w:r>
      <w:r>
        <w:rPr>
          <w:rFonts w:hint="eastAsia" w:eastAsia="仿宋_GB2312"/>
          <w:sz w:val="32"/>
          <w:szCs w:val="32"/>
          <w:lang w:val="en-US" w:eastAsia="zh-CN"/>
        </w:rPr>
        <w:t>支出</w:t>
      </w:r>
      <w:r>
        <w:rPr>
          <w:rFonts w:hint="eastAsia" w:eastAsia="仿宋_GB2312"/>
          <w:sz w:val="32"/>
          <w:szCs w:val="32"/>
          <w:lang w:eastAsia="zh-CN"/>
        </w:rPr>
        <w:t>数为</w:t>
      </w:r>
      <w:r>
        <w:rPr>
          <w:rFonts w:hint="eastAsia" w:eastAsia="仿宋_GB2312"/>
          <w:sz w:val="32"/>
          <w:szCs w:val="32"/>
          <w:lang w:val="en-US" w:eastAsia="zh-CN"/>
        </w:rPr>
        <w:t>2437.12</w:t>
      </w:r>
      <w:r>
        <w:rPr>
          <w:rFonts w:hint="eastAsia" w:eastAsia="仿宋_GB2312"/>
          <w:sz w:val="32"/>
          <w:szCs w:val="32"/>
          <w:lang w:eastAsia="zh-CN"/>
        </w:rPr>
        <w:t>万元，其中：工资福利支出</w:t>
      </w:r>
      <w:r>
        <w:rPr>
          <w:rFonts w:hint="eastAsia" w:eastAsia="仿宋_GB2312"/>
          <w:sz w:val="32"/>
          <w:szCs w:val="32"/>
          <w:lang w:val="en-US" w:eastAsia="zh-CN"/>
        </w:rPr>
        <w:t>2046.73</w:t>
      </w:r>
      <w:r>
        <w:rPr>
          <w:rFonts w:hint="eastAsia" w:eastAsia="仿宋_GB2312"/>
          <w:sz w:val="32"/>
          <w:szCs w:val="32"/>
          <w:lang w:eastAsia="zh-CN"/>
        </w:rPr>
        <w:t>万元（</w:t>
      </w:r>
      <w:r>
        <w:rPr>
          <w:rFonts w:hint="eastAsia" w:eastAsia="仿宋_GB2312"/>
          <w:sz w:val="32"/>
          <w:szCs w:val="32"/>
          <w:lang w:val="en-US" w:eastAsia="zh-CN"/>
        </w:rPr>
        <w:t>基本工资857.75万元，津补贴313.57万元，奖金336.35万元，绩效工资106.56万元，基本养老保险缴费211.37万元，基本医疗121.91万元，其他社保71.1万元，其他福利支出28.12万元</w:t>
      </w:r>
      <w:r>
        <w:rPr>
          <w:rFonts w:hint="eastAsia" w:eastAsia="仿宋_GB2312"/>
          <w:sz w:val="32"/>
          <w:szCs w:val="32"/>
          <w:lang w:eastAsia="zh-CN"/>
        </w:rPr>
        <w:t>）；一般商品和服务支出</w:t>
      </w:r>
      <w:r>
        <w:rPr>
          <w:rFonts w:hint="eastAsia" w:eastAsia="仿宋_GB2312"/>
          <w:sz w:val="32"/>
          <w:szCs w:val="32"/>
          <w:lang w:val="en-US" w:eastAsia="zh-CN"/>
        </w:rPr>
        <w:t>323.17</w:t>
      </w:r>
      <w:r>
        <w:rPr>
          <w:rFonts w:hint="eastAsia" w:eastAsia="仿宋_GB2312"/>
          <w:sz w:val="32"/>
          <w:szCs w:val="32"/>
          <w:lang w:eastAsia="zh-CN"/>
        </w:rPr>
        <w:t>万元（办公费</w:t>
      </w:r>
      <w:r>
        <w:rPr>
          <w:rFonts w:hint="eastAsia" w:eastAsia="仿宋_GB2312"/>
          <w:sz w:val="32"/>
          <w:szCs w:val="32"/>
          <w:lang w:val="en-US" w:eastAsia="zh-CN"/>
        </w:rPr>
        <w:t>27万元，印刷费40万元，咨询费0万元，手续费1.5万元，水费5.6万元，电费17.8万元，邮电费1.3万元，物业管理费0万元，差旅费2.27万元，维护费12.06万元，租赁费2.34万元，会议费21万元，培训费26万元，公务接待费0.5万元，专用材料费0万元，劳务费18万元，委托费25万元，工会经费50万元，福利费0万元，公务用车运行及维护费2.8万元，其他交通费70万元，税金0万元，其他商品服务0万元。</w:t>
      </w:r>
      <w:r>
        <w:rPr>
          <w:rFonts w:hint="eastAsia" w:eastAsia="仿宋_GB2312"/>
          <w:sz w:val="32"/>
          <w:szCs w:val="32"/>
          <w:lang w:eastAsia="zh-CN"/>
        </w:rPr>
        <w:t>）；对个人和家庭补助</w:t>
      </w:r>
      <w:r>
        <w:rPr>
          <w:rFonts w:hint="eastAsia" w:eastAsia="仿宋_GB2312"/>
          <w:sz w:val="32"/>
          <w:szCs w:val="32"/>
          <w:lang w:val="en-US" w:eastAsia="zh-CN"/>
        </w:rPr>
        <w:t>67.22万元</w:t>
      </w:r>
      <w:r>
        <w:rPr>
          <w:rFonts w:hint="eastAsia" w:eastAsia="仿宋_GB2312"/>
          <w:sz w:val="32"/>
          <w:szCs w:val="32"/>
          <w:lang w:eastAsia="zh-CN"/>
        </w:rPr>
        <w:t>。</w:t>
      </w:r>
    </w:p>
    <w:p>
      <w:pPr>
        <w:keepNext w:val="0"/>
        <w:keepLines w:val="0"/>
        <w:pageBreakBefore w:val="0"/>
        <w:widowControl w:val="0"/>
        <w:numPr>
          <w:ilvl w:val="0"/>
          <w:numId w:val="2"/>
        </w:numPr>
        <w:kinsoku/>
        <w:wordWrap/>
        <w:overflowPunct/>
        <w:topLinePunct w:val="0"/>
        <w:autoSpaceDE/>
        <w:autoSpaceDN/>
        <w:bidi w:val="0"/>
        <w:adjustRightInd/>
        <w:snapToGrid w:val="0"/>
        <w:spacing w:line="600" w:lineRule="exact"/>
        <w:ind w:firstLine="640" w:firstLineChars="200"/>
        <w:textAlignment w:val="auto"/>
        <w:rPr>
          <w:rFonts w:hint="default" w:eastAsia="仿宋_GB2312"/>
          <w:sz w:val="32"/>
          <w:szCs w:val="32"/>
          <w:lang w:val="en-US" w:eastAsia="zh-CN"/>
        </w:rPr>
      </w:pPr>
      <w:r>
        <w:rPr>
          <w:rFonts w:hint="eastAsia" w:eastAsia="仿宋_GB2312"/>
          <w:sz w:val="32"/>
          <w:szCs w:val="32"/>
          <w:lang w:val="en-US" w:eastAsia="zh-CN"/>
        </w:rPr>
        <w:t>项目支出：</w:t>
      </w:r>
      <w:r>
        <w:rPr>
          <w:rFonts w:hint="eastAsia" w:eastAsia="仿宋_GB2312"/>
          <w:sz w:val="32"/>
          <w:szCs w:val="32"/>
          <w:lang w:eastAsia="zh-CN"/>
        </w:rPr>
        <w:t>20</w:t>
      </w:r>
      <w:r>
        <w:rPr>
          <w:rFonts w:hint="eastAsia" w:eastAsia="仿宋_GB2312"/>
          <w:sz w:val="32"/>
          <w:szCs w:val="32"/>
          <w:lang w:val="en-US" w:eastAsia="zh-CN"/>
        </w:rPr>
        <w:t>25</w:t>
      </w:r>
      <w:r>
        <w:rPr>
          <w:rFonts w:hint="eastAsia" w:eastAsia="仿宋_GB2312"/>
          <w:sz w:val="32"/>
          <w:szCs w:val="32"/>
          <w:lang w:eastAsia="zh-CN"/>
        </w:rPr>
        <w:t>年</w:t>
      </w:r>
      <w:r>
        <w:rPr>
          <w:rFonts w:hint="eastAsia" w:eastAsia="仿宋_GB2312"/>
          <w:sz w:val="32"/>
          <w:szCs w:val="32"/>
          <w:lang w:val="en-US" w:eastAsia="zh-CN"/>
        </w:rPr>
        <w:t>支出</w:t>
      </w:r>
      <w:r>
        <w:rPr>
          <w:rFonts w:hint="eastAsia" w:eastAsia="仿宋_GB2312"/>
          <w:sz w:val="32"/>
          <w:szCs w:val="32"/>
          <w:lang w:eastAsia="zh-CN"/>
        </w:rPr>
        <w:t>数为</w:t>
      </w:r>
      <w:r>
        <w:rPr>
          <w:rFonts w:hint="eastAsia" w:eastAsia="仿宋_GB2312"/>
          <w:sz w:val="32"/>
          <w:szCs w:val="32"/>
          <w:lang w:val="en-US" w:eastAsia="zh-CN"/>
        </w:rPr>
        <w:t>30119.13</w:t>
      </w:r>
      <w:r>
        <w:rPr>
          <w:rFonts w:hint="eastAsia" w:eastAsia="仿宋_GB2312"/>
          <w:sz w:val="32"/>
          <w:szCs w:val="32"/>
          <w:lang w:eastAsia="zh-CN"/>
        </w:rPr>
        <w:t>万元，其中：工资福利支出</w:t>
      </w:r>
      <w:r>
        <w:rPr>
          <w:rFonts w:hint="eastAsia" w:eastAsia="仿宋_GB2312"/>
          <w:sz w:val="32"/>
          <w:szCs w:val="32"/>
          <w:lang w:val="en-US" w:eastAsia="zh-CN"/>
        </w:rPr>
        <w:t>0万元；</w:t>
      </w:r>
      <w:r>
        <w:rPr>
          <w:rFonts w:hint="eastAsia" w:eastAsia="仿宋_GB2312"/>
          <w:sz w:val="32"/>
          <w:szCs w:val="32"/>
          <w:lang w:eastAsia="zh-CN"/>
        </w:rPr>
        <w:t>一般商品和服务支出</w:t>
      </w:r>
      <w:r>
        <w:rPr>
          <w:rFonts w:hint="eastAsia" w:eastAsia="仿宋_GB2312"/>
          <w:sz w:val="32"/>
          <w:szCs w:val="32"/>
          <w:lang w:val="en-US" w:eastAsia="zh-CN"/>
        </w:rPr>
        <w:t>720.36</w:t>
      </w:r>
      <w:r>
        <w:rPr>
          <w:rFonts w:hint="eastAsia" w:eastAsia="仿宋_GB2312"/>
          <w:sz w:val="32"/>
          <w:szCs w:val="32"/>
          <w:lang w:eastAsia="zh-CN"/>
        </w:rPr>
        <w:t>万元（办公费</w:t>
      </w:r>
      <w:r>
        <w:rPr>
          <w:rFonts w:hint="eastAsia" w:eastAsia="仿宋_GB2312"/>
          <w:sz w:val="32"/>
          <w:szCs w:val="32"/>
          <w:lang w:val="en-US" w:eastAsia="zh-CN"/>
        </w:rPr>
        <w:t>0万元</w:t>
      </w:r>
      <w:r>
        <w:rPr>
          <w:rFonts w:hint="eastAsia" w:eastAsia="仿宋_GB2312"/>
          <w:sz w:val="32"/>
          <w:szCs w:val="32"/>
          <w:lang w:eastAsia="zh-CN"/>
        </w:rPr>
        <w:t>，水费</w:t>
      </w:r>
      <w:r>
        <w:rPr>
          <w:rFonts w:hint="eastAsia" w:eastAsia="仿宋_GB2312"/>
          <w:sz w:val="32"/>
          <w:szCs w:val="32"/>
          <w:lang w:val="en-US" w:eastAsia="zh-CN"/>
        </w:rPr>
        <w:t>0万元，电费0万元，印刷费0万元，会议费0万元，培训费88万元，专用材料费420.86万元，劳务费0万元，委托费100万元，其他交通费0万元，其他商品服务199.5万元。</w:t>
      </w:r>
      <w:r>
        <w:rPr>
          <w:rFonts w:hint="eastAsia" w:eastAsia="仿宋_GB2312"/>
          <w:sz w:val="32"/>
          <w:szCs w:val="32"/>
          <w:lang w:eastAsia="zh-CN"/>
        </w:rPr>
        <w:t>）；对个人和家庭补助</w:t>
      </w:r>
      <w:r>
        <w:rPr>
          <w:rFonts w:hint="eastAsia" w:eastAsia="仿宋_GB2312"/>
          <w:sz w:val="32"/>
          <w:szCs w:val="32"/>
          <w:lang w:val="en-US" w:eastAsia="zh-CN"/>
        </w:rPr>
        <w:t>19593.61万元，资本性支出6048万元，对企业补助2557.16万元</w:t>
      </w:r>
      <w:r>
        <w:rPr>
          <w:rFonts w:hint="eastAsia" w:eastAsia="仿宋_GB2312"/>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（三）“三公”经费使用情况</w:t>
      </w:r>
    </w:p>
    <w:p>
      <w:pPr>
        <w:numPr>
          <w:ilvl w:val="0"/>
          <w:numId w:val="0"/>
        </w:numPr>
        <w:snapToGrid w:val="0"/>
        <w:spacing w:line="520" w:lineRule="exact"/>
        <w:ind w:firstLine="640"/>
        <w:rPr>
          <w:rFonts w:hint="eastAsia" w:ascii="仿宋_GB2312" w:hAnsi="仿宋" w:eastAsia="仿宋_GB2312"/>
          <w:sz w:val="32"/>
          <w:szCs w:val="32"/>
          <w:lang w:val="en-US" w:eastAsia="zh-CN"/>
        </w:rPr>
      </w:pPr>
      <w:r>
        <w:rPr>
          <w:rFonts w:hint="eastAsia" w:ascii="仿宋_GB2312" w:hAnsi="仿宋" w:eastAsia="仿宋_GB2312"/>
          <w:sz w:val="32"/>
          <w:szCs w:val="32"/>
          <w:lang w:val="en-US" w:eastAsia="zh-CN"/>
        </w:rPr>
        <w:t>2025年公务用车购置数为0，车辆保有量1台。</w:t>
      </w:r>
    </w:p>
    <w:p>
      <w:pPr>
        <w:snapToGrid w:val="0"/>
        <w:spacing w:line="52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lang w:val="en-US" w:eastAsia="zh-CN"/>
        </w:rPr>
        <w:t>2025年“三公”经费决算为</w:t>
      </w:r>
      <w:r>
        <w:rPr>
          <w:rFonts w:hint="eastAsia" w:ascii="仿宋_GB2312" w:eastAsia="仿宋_GB2312" w:cs="仿宋_GB2312"/>
          <w:sz w:val="32"/>
          <w:szCs w:val="32"/>
          <w:highlight w:val="none"/>
          <w:lang w:val="en-US" w:eastAsia="zh-CN" w:bidi="ar"/>
        </w:rPr>
        <w:t>3.3</w:t>
      </w:r>
      <w:r>
        <w:rPr>
          <w:rFonts w:hint="eastAsia" w:ascii="仿宋_GB2312" w:hAnsi="仿宋" w:eastAsia="仿宋_GB2312"/>
          <w:sz w:val="32"/>
          <w:szCs w:val="32"/>
          <w:lang w:val="en-US" w:eastAsia="zh-CN"/>
        </w:rPr>
        <w:t>万元，其中：公务接待费0.5万元，比2024年减少20.66万元；公务用车运行及维护费2.8万元，比2024年减少1.2万元。</w:t>
      </w:r>
    </w:p>
    <w:p>
      <w:pPr>
        <w:numPr>
          <w:ilvl w:val="0"/>
          <w:numId w:val="3"/>
        </w:numPr>
        <w:adjustRightInd w:val="0"/>
        <w:snapToGrid w:val="0"/>
        <w:spacing w:line="600" w:lineRule="exact"/>
        <w:ind w:firstLine="640" w:firstLineChars="200"/>
        <w:rPr>
          <w:rFonts w:hint="eastAsia" w:eastAsia="黑体"/>
          <w:sz w:val="32"/>
          <w:szCs w:val="32"/>
          <w:lang w:eastAsia="zh-CN"/>
        </w:rPr>
      </w:pPr>
      <w:r>
        <w:rPr>
          <w:rFonts w:hint="eastAsia" w:eastAsia="黑体"/>
          <w:sz w:val="32"/>
          <w:szCs w:val="32"/>
          <w:lang w:eastAsia="zh-CN"/>
        </w:rPr>
        <w:t>政府性基金预算支出情况</w:t>
      </w:r>
    </w:p>
    <w:p>
      <w:pPr>
        <w:pStyle w:val="2"/>
        <w:numPr>
          <w:ilvl w:val="0"/>
          <w:numId w:val="0"/>
        </w:numPr>
        <w:rPr>
          <w:rFonts w:hint="default"/>
          <w:lang w:val="en-US" w:eastAsia="zh-CN"/>
        </w:rPr>
      </w:pPr>
      <w:r>
        <w:rPr>
          <w:rFonts w:hint="eastAsia"/>
          <w:lang w:val="en-US" w:eastAsia="zh-CN"/>
        </w:rPr>
        <w:t xml:space="preserve">      </w:t>
      </w:r>
      <w:r>
        <w:rPr>
          <w:rFonts w:hint="eastAsia" w:ascii="仿宋_GB2312" w:hAnsi="仿宋" w:eastAsia="仿宋_GB2312" w:cs="Times New Roman"/>
          <w:kern w:val="2"/>
          <w:sz w:val="32"/>
          <w:szCs w:val="32"/>
          <w:lang w:val="en-US" w:eastAsia="zh-CN" w:bidi="ar-SA"/>
        </w:rPr>
        <w:t>本单位无政府性基金经营预算收支</w:t>
      </w:r>
    </w:p>
    <w:p>
      <w:pPr>
        <w:numPr>
          <w:ilvl w:val="0"/>
          <w:numId w:val="0"/>
        </w:numPr>
        <w:adjustRightInd w:val="0"/>
        <w:snapToGrid w:val="0"/>
        <w:spacing w:line="600" w:lineRule="exact"/>
        <w:ind w:firstLine="640" w:firstLineChars="200"/>
        <w:rPr>
          <w:rFonts w:hint="eastAsia" w:eastAsia="黑体"/>
          <w:b/>
          <w:bCs/>
          <w:sz w:val="32"/>
          <w:szCs w:val="32"/>
          <w:lang w:eastAsia="zh-CN"/>
        </w:rPr>
      </w:pPr>
      <w:r>
        <w:rPr>
          <w:rFonts w:hint="eastAsia" w:eastAsia="黑体"/>
          <w:sz w:val="32"/>
          <w:szCs w:val="32"/>
          <w:lang w:val="en-US" w:eastAsia="zh-CN"/>
        </w:rPr>
        <w:t>四</w:t>
      </w:r>
      <w:r>
        <w:rPr>
          <w:rFonts w:hint="eastAsia" w:eastAsia="黑体"/>
          <w:sz w:val="32"/>
          <w:szCs w:val="32"/>
          <w:lang w:eastAsia="zh-CN"/>
        </w:rPr>
        <w:t>、国有资本经营预算支出情况</w:t>
      </w:r>
    </w:p>
    <w:p>
      <w:pPr>
        <w:pStyle w:val="4"/>
        <w:numPr>
          <w:ilvl w:val="0"/>
          <w:numId w:val="0"/>
        </w:numPr>
        <w:ind w:firstLine="640" w:firstLineChars="200"/>
        <w:rPr>
          <w:rFonts w:hint="eastAsia"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本单位无国有资本经营预算收支。</w:t>
      </w:r>
    </w:p>
    <w:p>
      <w:pPr>
        <w:pStyle w:val="4"/>
        <w:numPr>
          <w:ilvl w:val="0"/>
          <w:numId w:val="0"/>
        </w:numPr>
        <w:ind w:firstLine="640" w:firstLineChars="200"/>
        <w:rPr>
          <w:rFonts w:hint="eastAsia" w:ascii="Times New Roman" w:hAnsi="Times New Roman" w:eastAsia="黑体" w:cs="Times New Roman"/>
          <w:kern w:val="2"/>
          <w:sz w:val="32"/>
          <w:szCs w:val="32"/>
          <w:lang w:val="en-US" w:eastAsia="zh-CN" w:bidi="ar-SA"/>
        </w:rPr>
      </w:pPr>
      <w:r>
        <w:rPr>
          <w:rFonts w:hint="eastAsia" w:ascii="Times New Roman" w:hAnsi="Times New Roman" w:eastAsia="黑体" w:cs="Times New Roman"/>
          <w:kern w:val="2"/>
          <w:sz w:val="32"/>
          <w:szCs w:val="32"/>
          <w:lang w:val="en-US" w:eastAsia="zh-CN" w:bidi="ar-SA"/>
        </w:rPr>
        <w:t>五、社会保险基金预算支出情况</w:t>
      </w:r>
    </w:p>
    <w:p>
      <w:pPr>
        <w:pStyle w:val="4"/>
        <w:numPr>
          <w:ilvl w:val="0"/>
          <w:numId w:val="0"/>
        </w:numPr>
        <w:rPr>
          <w:rFonts w:hint="default" w:ascii="仿宋_GB2312" w:hAnsi="仿宋" w:eastAsia="仿宋_GB2312" w:cs="Times New Roman"/>
          <w:kern w:val="2"/>
          <w:sz w:val="32"/>
          <w:szCs w:val="32"/>
          <w:lang w:val="en-US" w:eastAsia="zh-CN" w:bidi="ar-SA"/>
        </w:rPr>
      </w:pPr>
      <w:r>
        <w:rPr>
          <w:rFonts w:hint="eastAsia" w:ascii="Times New Roman" w:hAnsi="Times New Roman" w:eastAsia="黑体" w:cs="Times New Roman"/>
          <w:kern w:val="2"/>
          <w:sz w:val="32"/>
          <w:szCs w:val="32"/>
          <w:lang w:val="en-US" w:eastAsia="zh-CN" w:bidi="ar-SA"/>
        </w:rPr>
        <w:t xml:space="preserve">   </w:t>
      </w:r>
      <w:r>
        <w:rPr>
          <w:rFonts w:hint="eastAsia" w:ascii="仿宋_GB2312" w:hAnsi="仿宋" w:eastAsia="仿宋_GB2312" w:cs="Times New Roman"/>
          <w:kern w:val="2"/>
          <w:sz w:val="32"/>
          <w:szCs w:val="32"/>
          <w:lang w:val="en-US" w:eastAsia="zh-CN" w:bidi="ar-SA"/>
        </w:rPr>
        <w:t>本单位无社会保险基金预算支出情况</w:t>
      </w:r>
    </w:p>
    <w:p>
      <w:pPr>
        <w:pStyle w:val="4"/>
        <w:numPr>
          <w:ilvl w:val="0"/>
          <w:numId w:val="0"/>
        </w:numPr>
        <w:ind w:firstLine="640" w:firstLineChars="200"/>
        <w:rPr>
          <w:rFonts w:eastAsia="黑体"/>
          <w:sz w:val="32"/>
          <w:szCs w:val="32"/>
        </w:rPr>
      </w:pPr>
      <w:r>
        <w:rPr>
          <w:rFonts w:hint="eastAsia" w:eastAsia="黑体"/>
          <w:sz w:val="32"/>
          <w:szCs w:val="32"/>
          <w:lang w:eastAsia="zh-CN"/>
        </w:rPr>
        <w:t>六</w:t>
      </w:r>
      <w:r>
        <w:rPr>
          <w:rFonts w:eastAsia="黑体"/>
          <w:sz w:val="32"/>
          <w:szCs w:val="32"/>
        </w:rPr>
        <w:t>、</w:t>
      </w:r>
      <w:r>
        <w:rPr>
          <w:rFonts w:hint="eastAsia" w:eastAsia="黑体"/>
          <w:sz w:val="32"/>
          <w:szCs w:val="32"/>
        </w:rPr>
        <w:t>部门整体支出</w:t>
      </w:r>
      <w:r>
        <w:rPr>
          <w:rFonts w:eastAsia="黑体"/>
          <w:sz w:val="32"/>
          <w:szCs w:val="32"/>
        </w:rPr>
        <w:t>绩效情况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pacing w:val="0"/>
          <w:sz w:val="32"/>
          <w:szCs w:val="32"/>
          <w:lang w:val="en-US" w:eastAsia="zh-CN"/>
        </w:rPr>
      </w:pPr>
      <w:r>
        <w:rPr>
          <w:rFonts w:hint="eastAsia" w:ascii="楷体_GB2312" w:hAnsi="楷体_GB2312" w:eastAsia="楷体_GB2312" w:cs="楷体_GB2312"/>
          <w:b/>
          <w:bCs/>
          <w:color w:val="000000"/>
          <w:spacing w:val="0"/>
          <w:sz w:val="32"/>
          <w:szCs w:val="32"/>
          <w:lang w:val="en-US" w:eastAsia="zh-CN"/>
        </w:rPr>
        <w:t>1.粮食安全保障有力</w:t>
      </w:r>
      <w:r>
        <w:rPr>
          <w:rFonts w:hint="eastAsia" w:ascii="仿宋_GB2312" w:hAnsi="仿宋_GB2312" w:eastAsia="仿宋_GB2312" w:cs="仿宋_GB2312"/>
          <w:b/>
          <w:bCs/>
          <w:color w:val="000000"/>
          <w:spacing w:val="0"/>
          <w:sz w:val="32"/>
          <w:szCs w:val="32"/>
          <w:lang w:val="en-US" w:eastAsia="zh-CN"/>
        </w:rPr>
        <w:t>。</w:t>
      </w:r>
      <w:r>
        <w:rPr>
          <w:rFonts w:hint="eastAsia" w:ascii="仿宋_GB2312" w:hAnsi="仿宋_GB2312" w:eastAsia="仿宋_GB2312" w:cs="仿宋_GB2312"/>
          <w:color w:val="000000"/>
          <w:spacing w:val="0"/>
          <w:sz w:val="32"/>
          <w:szCs w:val="32"/>
          <w:lang w:val="en-US" w:eastAsia="zh-CN"/>
        </w:rPr>
        <w:t>完成2024年度高标准农田3.54万亩，道县高标准农田建设被农业农村部作典型经验推介。完成2025年2.2万亩高标准农田建设，涔天河灌区道县段田间工程开有序推进；建成智慧育秧大棚38.4万平方米，推广机插机抛面积11.44万亩；创成省级粮食生产万亩综合示范片1个，全县完成粮食播种面积87.72万亩，预计产量38.2万吨，超过了省市交办目标任务，粮食生产稳定度居全市前列。</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pacing w:val="0"/>
          <w:sz w:val="32"/>
          <w:szCs w:val="32"/>
          <w:lang w:val="en-US" w:eastAsia="zh-CN"/>
        </w:rPr>
      </w:pPr>
      <w:r>
        <w:rPr>
          <w:rFonts w:hint="eastAsia" w:ascii="楷体_GB2312" w:hAnsi="楷体_GB2312" w:eastAsia="楷体_GB2312" w:cs="楷体_GB2312"/>
          <w:b/>
          <w:bCs/>
          <w:color w:val="000000"/>
          <w:spacing w:val="0"/>
          <w:sz w:val="32"/>
          <w:szCs w:val="32"/>
          <w:lang w:val="en-US" w:eastAsia="zh-CN"/>
        </w:rPr>
        <w:t>2.脱贫成果持续巩固。</w:t>
      </w:r>
      <w:r>
        <w:rPr>
          <w:rFonts w:hint="eastAsia" w:ascii="仿宋_GB2312" w:hAnsi="仿宋_GB2312" w:eastAsia="仿宋_GB2312" w:cs="仿宋_GB2312"/>
          <w:b/>
          <w:bCs/>
          <w:color w:val="000000"/>
          <w:spacing w:val="0"/>
          <w:sz w:val="32"/>
          <w:szCs w:val="32"/>
          <w:lang w:val="en-US" w:eastAsia="zh-CN"/>
        </w:rPr>
        <w:t>一是强监测。</w:t>
      </w:r>
      <w:r>
        <w:rPr>
          <w:rFonts w:hint="eastAsia" w:ascii="仿宋_GB2312" w:hAnsi="仿宋_GB2312" w:eastAsia="仿宋_GB2312" w:cs="仿宋_GB2312"/>
          <w:color w:val="000000"/>
          <w:spacing w:val="0"/>
          <w:sz w:val="32"/>
          <w:szCs w:val="32"/>
          <w:lang w:val="en-US" w:eastAsia="zh-CN"/>
        </w:rPr>
        <w:t>严格落实“四个不摘”要求，强化“3+1”保障，1-12月新识别监测对象65户305人，风险消除380户1453人。</w:t>
      </w:r>
      <w:r>
        <w:rPr>
          <w:rFonts w:hint="eastAsia" w:ascii="仿宋_GB2312" w:hAnsi="仿宋_GB2312" w:eastAsia="仿宋_GB2312" w:cs="仿宋_GB2312"/>
          <w:b/>
          <w:bCs/>
          <w:color w:val="000000"/>
          <w:spacing w:val="0"/>
          <w:sz w:val="32"/>
          <w:szCs w:val="32"/>
          <w:lang w:val="en-US" w:eastAsia="zh-CN"/>
        </w:rPr>
        <w:t>二是稳就业。</w:t>
      </w:r>
      <w:r>
        <w:rPr>
          <w:rFonts w:hint="eastAsia" w:ascii="仿宋_GB2312" w:hAnsi="仿宋_GB2312" w:eastAsia="仿宋_GB2312" w:cs="仿宋_GB2312"/>
          <w:color w:val="000000"/>
          <w:spacing w:val="0"/>
          <w:sz w:val="32"/>
          <w:szCs w:val="32"/>
          <w:lang w:val="en-US" w:eastAsia="zh-CN"/>
        </w:rPr>
        <w:t>全县脱贫劳动力外出就业2.1万人，完成省定目标1.64万人的128%，聘用乡村公益性岗位782人，发放岗位补助828.2万元。</w:t>
      </w:r>
      <w:r>
        <w:rPr>
          <w:rFonts w:hint="eastAsia" w:ascii="仿宋_GB2312" w:hAnsi="仿宋_GB2312" w:eastAsia="仿宋_GB2312" w:cs="仿宋_GB2312"/>
          <w:b/>
          <w:bCs/>
          <w:color w:val="000000"/>
          <w:spacing w:val="0"/>
          <w:sz w:val="32"/>
          <w:szCs w:val="32"/>
          <w:lang w:val="en-US" w:eastAsia="zh-CN"/>
        </w:rPr>
        <w:t>三是促振兴。</w:t>
      </w:r>
      <w:r>
        <w:rPr>
          <w:rFonts w:hint="eastAsia" w:ascii="仿宋_GB2312" w:hAnsi="仿宋_GB2312" w:eastAsia="仿宋_GB2312" w:cs="仿宋_GB2312"/>
          <w:color w:val="000000"/>
          <w:spacing w:val="0"/>
          <w:sz w:val="32"/>
          <w:szCs w:val="32"/>
          <w:lang w:val="en-US" w:eastAsia="zh-CN"/>
        </w:rPr>
        <w:t>2025年上级下达我县共计10316万元，共下达项目计划116个，其中在建项目21个，完工项目95个。实施高质量庭院经济项目试点村5个。</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000000"/>
          <w:spacing w:val="0"/>
          <w:sz w:val="32"/>
          <w:szCs w:val="32"/>
          <w:lang w:val="en-US" w:eastAsia="zh-CN"/>
        </w:rPr>
      </w:pPr>
      <w:r>
        <w:rPr>
          <w:rFonts w:hint="eastAsia" w:ascii="楷体_GB2312" w:hAnsi="楷体_GB2312" w:eastAsia="楷体_GB2312" w:cs="楷体_GB2312"/>
          <w:b/>
          <w:bCs/>
          <w:color w:val="000000"/>
          <w:spacing w:val="0"/>
          <w:sz w:val="32"/>
          <w:szCs w:val="32"/>
          <w:lang w:val="en-US" w:eastAsia="zh-CN"/>
        </w:rPr>
        <w:t>3.乡村产业提质增效。</w:t>
      </w:r>
      <w:r>
        <w:rPr>
          <w:rFonts w:hint="eastAsia" w:ascii="仿宋_GB2312" w:hAnsi="仿宋_GB2312" w:eastAsia="仿宋_GB2312" w:cs="仿宋_GB2312"/>
          <w:b/>
          <w:bCs/>
          <w:color w:val="000000"/>
          <w:spacing w:val="0"/>
          <w:sz w:val="32"/>
          <w:szCs w:val="32"/>
          <w:lang w:val="en-US" w:eastAsia="zh-CN"/>
        </w:rPr>
        <w:t>一是蔬果产业集群推进。</w:t>
      </w:r>
      <w:r>
        <w:rPr>
          <w:rFonts w:hint="eastAsia" w:ascii="仿宋_GB2312" w:hAnsi="仿宋_GB2312" w:eastAsia="仿宋_GB2312" w:cs="仿宋_GB2312"/>
          <w:color w:val="000000"/>
          <w:spacing w:val="0"/>
          <w:sz w:val="32"/>
          <w:szCs w:val="32"/>
          <w:lang w:val="en-US" w:eastAsia="zh-CN"/>
        </w:rPr>
        <w:t>实施蔬菜、柑橘省级优势产业集群建设项目。蔬菜种植53.41万亩，新增粤港澳大湾区“菜篮子”产品认证基地3个、出口备案基地4个，实现蔬菜出口货值6.47亿元。营江无病毒苗木繁育中心升级改造，完成改扩种脐橙园1250余亩，道州脐橙在中部国际农博会上再获金奖。</w:t>
      </w:r>
      <w:r>
        <w:rPr>
          <w:rFonts w:hint="eastAsia" w:ascii="仿宋_GB2312" w:hAnsi="仿宋_GB2312" w:eastAsia="仿宋_GB2312" w:cs="仿宋_GB2312"/>
          <w:b/>
          <w:bCs/>
          <w:color w:val="000000"/>
          <w:spacing w:val="0"/>
          <w:sz w:val="32"/>
          <w:szCs w:val="32"/>
          <w:lang w:val="en-US" w:eastAsia="zh-CN"/>
        </w:rPr>
        <w:t>二是养殖业高质量发展。</w:t>
      </w:r>
      <w:r>
        <w:rPr>
          <w:rFonts w:hint="eastAsia" w:ascii="仿宋_GB2312" w:hAnsi="仿宋_GB2312" w:eastAsia="仿宋_GB2312" w:cs="仿宋_GB2312"/>
          <w:color w:val="000000"/>
          <w:spacing w:val="0"/>
          <w:sz w:val="32"/>
          <w:szCs w:val="32"/>
          <w:lang w:val="en-US" w:eastAsia="zh-CN"/>
        </w:rPr>
        <w:t>今年新建投产规模猪场7家，在建规模猪场6家，生猪出栏71.67万头；生猪定点屠宰场投入运营。重大动物疫病防控代表全省接受农业农村部春防防疫调研，道县瑶家黑山羊养殖专业合作社获评国家级羊布鲁氏菌病（非免疫）净化场。</w:t>
      </w:r>
      <w:r>
        <w:rPr>
          <w:rFonts w:hint="eastAsia" w:ascii="仿宋_GB2312" w:hAnsi="仿宋_GB2312" w:eastAsia="仿宋_GB2312" w:cs="仿宋_GB2312"/>
          <w:b/>
          <w:bCs/>
          <w:color w:val="000000"/>
          <w:spacing w:val="0"/>
          <w:sz w:val="32"/>
          <w:szCs w:val="32"/>
          <w:lang w:val="en-US" w:eastAsia="zh-CN"/>
        </w:rPr>
        <w:t>三是产业融合动能澎湃。</w:t>
      </w:r>
      <w:r>
        <w:rPr>
          <w:rFonts w:hint="eastAsia" w:ascii="仿宋_GB2312" w:hAnsi="仿宋_GB2312" w:eastAsia="仿宋_GB2312" w:cs="仿宋_GB2312"/>
          <w:color w:val="000000"/>
          <w:spacing w:val="0"/>
          <w:sz w:val="32"/>
          <w:szCs w:val="32"/>
          <w:lang w:val="en-US" w:eastAsia="zh-CN"/>
        </w:rPr>
        <w:t>新增市级产业化龙头企业11家，新增规模以上农产品加工企业7家，累计达58家。创成省级重点培育家庭农场4家、农民专业合作社获1家。建成“道县乡村振兴电商孵化中心”1个，孵化电商主体22个。完成申报玉蟾岩稻作文化申报国家重要农业文化遗产。培育柑子园镇农副产品加工（把截萝卜）、清塘镇农文旅等微产业链和小产业集群。完成投资3000万元以上农业签约项目2个，拟签约项目2个。福丰农文旅鳗鱼养殖项目投产，农业废弃物资源化利用、优质淡水鱼繁育示范基地项目开工建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pacing w:val="0"/>
          <w:sz w:val="32"/>
          <w:szCs w:val="32"/>
          <w:lang w:val="en-US" w:eastAsia="zh-CN"/>
        </w:rPr>
      </w:pPr>
      <w:r>
        <w:rPr>
          <w:rFonts w:hint="eastAsia" w:ascii="楷体_GB2312" w:hAnsi="楷体_GB2312" w:eastAsia="楷体_GB2312" w:cs="楷体_GB2312"/>
          <w:b/>
          <w:bCs/>
          <w:color w:val="000000"/>
          <w:spacing w:val="0"/>
          <w:sz w:val="32"/>
          <w:szCs w:val="32"/>
          <w:lang w:val="en-US" w:eastAsia="zh-CN"/>
        </w:rPr>
        <w:t>4.和美乡村宜居宜业。</w:t>
      </w:r>
      <w:r>
        <w:rPr>
          <w:rFonts w:hint="eastAsia" w:ascii="仿宋_GB2312" w:hAnsi="仿宋_GB2312" w:eastAsia="仿宋_GB2312" w:cs="仿宋_GB2312"/>
          <w:b/>
          <w:bCs/>
          <w:color w:val="000000"/>
          <w:spacing w:val="0"/>
          <w:sz w:val="32"/>
          <w:szCs w:val="32"/>
          <w:lang w:val="en-US" w:eastAsia="zh-CN"/>
        </w:rPr>
        <w:t>一是片区建设推进有力。</w:t>
      </w:r>
      <w:r>
        <w:rPr>
          <w:rFonts w:hint="eastAsia" w:ascii="仿宋_GB2312" w:hAnsi="仿宋_GB2312" w:eastAsia="仿宋_GB2312" w:cs="仿宋_GB2312"/>
          <w:color w:val="000000"/>
          <w:spacing w:val="0"/>
          <w:sz w:val="32"/>
          <w:szCs w:val="32"/>
          <w:lang w:val="en-US" w:eastAsia="zh-CN"/>
        </w:rPr>
        <w:t>完成祥霖铺镇秀水洞村省级美丽乡村示范村建设，石下渡村和美乡村环境提升、寿雁镇豪福村省级美丽乡村示范项目开工建设。创成省市级美丽乡村示范村4个。周敦颐故里楼田村的家风家训故事入选农业农村部出版的&lt;村庄里的家风家训故事&gt;丛书。</w:t>
      </w:r>
      <w:r>
        <w:rPr>
          <w:rFonts w:hint="eastAsia" w:ascii="仿宋_GB2312" w:hAnsi="仿宋_GB2312" w:eastAsia="仿宋_GB2312" w:cs="仿宋_GB2312"/>
          <w:b/>
          <w:bCs/>
          <w:color w:val="000000"/>
          <w:spacing w:val="0"/>
          <w:sz w:val="32"/>
          <w:szCs w:val="32"/>
          <w:lang w:val="en-US" w:eastAsia="zh-CN"/>
        </w:rPr>
        <w:t>二是人居环境整治有力。</w:t>
      </w:r>
      <w:r>
        <w:rPr>
          <w:rFonts w:hint="eastAsia" w:ascii="仿宋_GB2312" w:hAnsi="仿宋_GB2312" w:eastAsia="仿宋_GB2312" w:cs="仿宋_GB2312"/>
          <w:color w:val="000000"/>
          <w:spacing w:val="0"/>
          <w:sz w:val="32"/>
          <w:szCs w:val="32"/>
          <w:lang w:val="en-US" w:eastAsia="zh-CN"/>
        </w:rPr>
        <w:t>持续推进农村人居环境整治，100%的行政村生活垃圾得到有效治理。完成农村户改造厕22座，深入开展问题厕所排查整改。完成41个行政村农村生活污水治理，任务完成率100%。</w:t>
      </w:r>
      <w:r>
        <w:rPr>
          <w:rFonts w:hint="eastAsia" w:ascii="仿宋_GB2312" w:hAnsi="仿宋_GB2312" w:eastAsia="仿宋_GB2312" w:cs="仿宋_GB2312"/>
          <w:b/>
          <w:bCs/>
          <w:color w:val="000000"/>
          <w:spacing w:val="0"/>
          <w:sz w:val="32"/>
          <w:szCs w:val="32"/>
          <w:lang w:val="en-US" w:eastAsia="zh-CN"/>
        </w:rPr>
        <w:t>三是基础设施建设有力。</w:t>
      </w:r>
      <w:r>
        <w:rPr>
          <w:rFonts w:hint="eastAsia" w:ascii="仿宋_GB2312" w:hAnsi="仿宋_GB2312" w:eastAsia="仿宋_GB2312" w:cs="仿宋_GB2312"/>
          <w:color w:val="000000"/>
          <w:spacing w:val="0"/>
          <w:sz w:val="32"/>
          <w:szCs w:val="32"/>
          <w:lang w:val="en-US" w:eastAsia="zh-CN"/>
        </w:rPr>
        <w:t>完成农村公路47.7公里，危房改造任务53户，完工53户。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pacing w:val="0"/>
          <w:sz w:val="32"/>
          <w:szCs w:val="32"/>
          <w:lang w:val="en-US" w:eastAsia="zh-CN"/>
        </w:rPr>
      </w:pPr>
      <w:r>
        <w:rPr>
          <w:rFonts w:hint="eastAsia" w:ascii="楷体_GB2312" w:hAnsi="楷体_GB2312" w:eastAsia="楷体_GB2312" w:cs="楷体_GB2312"/>
          <w:b/>
          <w:bCs/>
          <w:color w:val="000000"/>
          <w:spacing w:val="0"/>
          <w:sz w:val="32"/>
          <w:szCs w:val="32"/>
          <w:lang w:val="en-US" w:eastAsia="zh-CN"/>
        </w:rPr>
        <w:t>5.农村改革走在前列。</w:t>
      </w:r>
      <w:r>
        <w:rPr>
          <w:rFonts w:hint="default" w:ascii="仿宋_GB2312" w:hAnsi="仿宋_GB2312" w:eastAsia="仿宋_GB2312" w:cs="仿宋_GB2312"/>
          <w:color w:val="000000"/>
          <w:spacing w:val="0"/>
          <w:sz w:val="32"/>
          <w:szCs w:val="32"/>
          <w:lang w:val="en-US" w:eastAsia="zh-CN"/>
        </w:rPr>
        <w:t>稳慎推进二轮土地延包试点，我县已完成二轮延包土地106.33万亩，延包合同签订率99.25％，以优秀等次通过省级验收（全省第一个）</w:t>
      </w:r>
      <w:r>
        <w:rPr>
          <w:rFonts w:hint="eastAsia" w:ascii="仿宋_GB2312" w:hAnsi="仿宋_GB2312" w:eastAsia="仿宋_GB2312" w:cs="仿宋_GB2312"/>
          <w:color w:val="000000"/>
          <w:spacing w:val="0"/>
          <w:sz w:val="32"/>
          <w:szCs w:val="32"/>
          <w:lang w:val="en-US" w:eastAsia="zh-CN"/>
        </w:rPr>
        <w:t>，在全国农村土地承包管理与改革专题研究班作典型介绍，并代表全省接受农业农村部调研。</w:t>
      </w:r>
      <w:r>
        <w:rPr>
          <w:rFonts w:hint="default" w:ascii="仿宋_GB2312" w:hAnsi="仿宋_GB2312" w:eastAsia="仿宋_GB2312" w:cs="仿宋_GB2312"/>
          <w:color w:val="000000"/>
          <w:spacing w:val="0"/>
          <w:sz w:val="32"/>
          <w:szCs w:val="32"/>
          <w:lang w:val="en-US" w:eastAsia="zh-CN"/>
        </w:rPr>
        <w:t>扶持发展新型村级集体经济项目20个、争取扶持资金1000万元</w:t>
      </w:r>
      <w:r>
        <w:rPr>
          <w:rFonts w:hint="eastAsia" w:ascii="仿宋_GB2312" w:hAnsi="仿宋_GB2312" w:eastAsia="仿宋_GB2312" w:cs="仿宋_GB2312"/>
          <w:color w:val="000000"/>
          <w:spacing w:val="0"/>
          <w:sz w:val="32"/>
          <w:szCs w:val="32"/>
          <w:lang w:val="en-US" w:eastAsia="zh-CN"/>
        </w:rPr>
        <w:t>，全县</w:t>
      </w:r>
      <w:r>
        <w:rPr>
          <w:rFonts w:hint="default" w:ascii="仿宋_GB2312" w:hAnsi="仿宋_GB2312" w:eastAsia="仿宋_GB2312" w:cs="仿宋_GB2312"/>
          <w:color w:val="000000"/>
          <w:spacing w:val="0"/>
          <w:sz w:val="32"/>
          <w:szCs w:val="32"/>
          <w:lang w:val="en-US" w:eastAsia="zh-CN"/>
        </w:rPr>
        <w:t>集体经济经营性收入共计2641.7万元</w:t>
      </w:r>
      <w:r>
        <w:rPr>
          <w:rFonts w:hint="eastAsia" w:ascii="仿宋_GB2312" w:hAnsi="仿宋_GB2312" w:eastAsia="仿宋_GB2312" w:cs="仿宋_GB2312"/>
          <w:color w:val="000000"/>
          <w:spacing w:val="0"/>
          <w:sz w:val="32"/>
          <w:szCs w:val="32"/>
          <w:lang w:val="en-US" w:eastAsia="zh-CN"/>
        </w:rPr>
        <w:t>。开展违法违规建住房摸排整治工作，排查违法违规1234宗。</w:t>
      </w:r>
    </w:p>
    <w:p>
      <w:pPr>
        <w:keepNext w:val="0"/>
        <w:keepLines w:val="0"/>
        <w:pageBreakBefore w:val="0"/>
        <w:widowControl w:val="0"/>
        <w:pBdr>
          <w:bottom w:val="single" w:color="FFFFFF" w:sz="4" w:space="20"/>
        </w:pBdr>
        <w:tabs>
          <w:tab w:val="left" w:pos="8050"/>
          <w:tab w:val="left" w:pos="8094"/>
        </w:tabs>
        <w:kinsoku/>
        <w:wordWrap/>
        <w:overflowPunct/>
        <w:topLinePunct/>
        <w:autoSpaceDE/>
        <w:autoSpaceDN/>
        <w:bidi w:val="0"/>
        <w:adjustRightInd w:val="0"/>
        <w:snapToGrid w:val="0"/>
        <w:spacing w:line="600" w:lineRule="exact"/>
        <w:ind w:firstLine="640" w:firstLineChars="200"/>
        <w:jc w:val="left"/>
        <w:textAlignment w:val="auto"/>
        <w:rPr>
          <w:rFonts w:hint="eastAsia" w:ascii="黑体" w:hAnsi="黑体" w:eastAsia="黑体" w:cs="黑体"/>
          <w:b/>
          <w:bCs/>
          <w:kern w:val="0"/>
          <w:sz w:val="32"/>
          <w:szCs w:val="32"/>
        </w:rPr>
      </w:pPr>
      <w:r>
        <w:rPr>
          <w:rFonts w:hint="eastAsia" w:ascii="黑体" w:hAnsi="黑体" w:eastAsia="黑体" w:cs="黑体"/>
          <w:b/>
          <w:bCs/>
          <w:kern w:val="0"/>
          <w:sz w:val="32"/>
          <w:szCs w:val="32"/>
          <w:lang w:eastAsia="zh-CN"/>
        </w:rPr>
        <w:t>七</w:t>
      </w:r>
      <w:r>
        <w:rPr>
          <w:rFonts w:hint="eastAsia" w:ascii="黑体" w:hAnsi="黑体" w:eastAsia="黑体" w:cs="黑体"/>
          <w:b/>
          <w:bCs/>
          <w:kern w:val="0"/>
          <w:sz w:val="32"/>
          <w:szCs w:val="32"/>
        </w:rPr>
        <w:t>、存在的主要问题</w:t>
      </w:r>
    </w:p>
    <w:p>
      <w:pPr>
        <w:keepNext w:val="0"/>
        <w:keepLines w:val="0"/>
        <w:pageBreakBefore w:val="0"/>
        <w:widowControl w:val="0"/>
        <w:pBdr>
          <w:bottom w:val="single" w:color="FFFFFF" w:sz="4" w:space="20"/>
        </w:pBdr>
        <w:tabs>
          <w:tab w:val="left" w:pos="8050"/>
          <w:tab w:val="left" w:pos="8094"/>
        </w:tabs>
        <w:kinsoku/>
        <w:wordWrap/>
        <w:overflowPunct/>
        <w:topLinePunct/>
        <w:autoSpaceDE/>
        <w:autoSpaceDN/>
        <w:bidi w:val="0"/>
        <w:adjustRightInd w:val="0"/>
        <w:snapToGrid w:val="0"/>
        <w:spacing w:line="600" w:lineRule="exact"/>
        <w:ind w:firstLine="640" w:firstLineChars="200"/>
        <w:jc w:val="left"/>
        <w:textAlignment w:val="auto"/>
        <w:rPr>
          <w:rFonts w:hint="eastAsia" w:ascii="仿宋_GB2312" w:eastAsia="仿宋_GB2312"/>
          <w:kern w:val="0"/>
          <w:sz w:val="32"/>
          <w:szCs w:val="32"/>
        </w:rPr>
      </w:pPr>
      <w:r>
        <w:rPr>
          <w:rFonts w:hint="eastAsia" w:ascii="仿宋" w:hAnsi="仿宋" w:eastAsia="仿宋" w:cs="仿宋"/>
          <w:kern w:val="0"/>
          <w:sz w:val="32"/>
          <w:szCs w:val="32"/>
        </w:rPr>
        <w:t>（一）超预算支出</w:t>
      </w:r>
      <w:r>
        <w:rPr>
          <w:rFonts w:hint="eastAsia" w:ascii="仿宋_GB2312" w:eastAsia="仿宋_GB2312"/>
          <w:kern w:val="0"/>
          <w:sz w:val="32"/>
          <w:szCs w:val="32"/>
        </w:rPr>
        <w:t>。20</w:t>
      </w:r>
      <w:r>
        <w:rPr>
          <w:rFonts w:hint="eastAsia" w:ascii="仿宋_GB2312" w:eastAsia="仿宋_GB2312"/>
          <w:kern w:val="0"/>
          <w:sz w:val="32"/>
          <w:szCs w:val="32"/>
          <w:lang w:val="en-US" w:eastAsia="zh-CN"/>
        </w:rPr>
        <w:t>25</w:t>
      </w:r>
      <w:r>
        <w:rPr>
          <w:rFonts w:hint="eastAsia" w:ascii="仿宋_GB2312" w:eastAsia="仿宋_GB2312"/>
          <w:kern w:val="0"/>
          <w:sz w:val="32"/>
          <w:szCs w:val="32"/>
        </w:rPr>
        <w:t>年实际支出数超出了年初预算安排，预算编制不够明确和细化</w:t>
      </w:r>
      <w:r>
        <w:rPr>
          <w:rFonts w:hint="eastAsia" w:ascii="仿宋_GB2312" w:eastAsia="仿宋_GB2312"/>
          <w:kern w:val="0"/>
          <w:sz w:val="32"/>
          <w:szCs w:val="32"/>
          <w:lang w:eastAsia="zh-CN"/>
        </w:rPr>
        <w:t>，大部分项目资金未编入年初预算</w:t>
      </w:r>
      <w:r>
        <w:rPr>
          <w:rFonts w:hint="eastAsia" w:ascii="仿宋_GB2312" w:eastAsia="仿宋_GB2312"/>
          <w:kern w:val="0"/>
          <w:sz w:val="32"/>
          <w:szCs w:val="32"/>
        </w:rPr>
        <w:t>。</w:t>
      </w:r>
    </w:p>
    <w:p>
      <w:pPr>
        <w:keepNext w:val="0"/>
        <w:keepLines w:val="0"/>
        <w:pageBreakBefore w:val="0"/>
        <w:widowControl w:val="0"/>
        <w:pBdr>
          <w:bottom w:val="single" w:color="FFFFFF" w:sz="4" w:space="20"/>
        </w:pBdr>
        <w:tabs>
          <w:tab w:val="left" w:pos="8050"/>
          <w:tab w:val="left" w:pos="8094"/>
        </w:tabs>
        <w:kinsoku/>
        <w:wordWrap/>
        <w:overflowPunct/>
        <w:topLinePunct/>
        <w:autoSpaceDE/>
        <w:autoSpaceDN/>
        <w:bidi w:val="0"/>
        <w:adjustRightInd w:val="0"/>
        <w:snapToGrid w:val="0"/>
        <w:spacing w:line="600" w:lineRule="exact"/>
        <w:ind w:firstLine="640" w:firstLineChars="200"/>
        <w:jc w:val="left"/>
        <w:textAlignment w:val="auto"/>
        <w:rPr>
          <w:rFonts w:hint="eastAsia" w:ascii="仿宋_GB2312" w:eastAsia="仿宋_GB2312"/>
          <w:kern w:val="0"/>
          <w:sz w:val="32"/>
          <w:szCs w:val="32"/>
        </w:rPr>
      </w:pPr>
      <w:r>
        <w:rPr>
          <w:rFonts w:hint="eastAsia" w:ascii="仿宋_GB2312" w:eastAsia="仿宋_GB2312"/>
          <w:kern w:val="0"/>
          <w:sz w:val="32"/>
          <w:szCs w:val="32"/>
        </w:rPr>
        <w:t>（二）专项资金使用上存在挤占现象，项目的实施受到影响。</w:t>
      </w:r>
    </w:p>
    <w:p>
      <w:pPr>
        <w:keepNext w:val="0"/>
        <w:keepLines w:val="0"/>
        <w:pageBreakBefore w:val="0"/>
        <w:widowControl w:val="0"/>
        <w:pBdr>
          <w:bottom w:val="single" w:color="FFFFFF" w:sz="4" w:space="20"/>
        </w:pBdr>
        <w:tabs>
          <w:tab w:val="left" w:pos="8050"/>
          <w:tab w:val="left" w:pos="8094"/>
        </w:tabs>
        <w:kinsoku/>
        <w:wordWrap/>
        <w:overflowPunct/>
        <w:topLinePunct/>
        <w:autoSpaceDE/>
        <w:autoSpaceDN/>
        <w:bidi w:val="0"/>
        <w:adjustRightInd w:val="0"/>
        <w:snapToGrid w:val="0"/>
        <w:spacing w:line="600" w:lineRule="exact"/>
        <w:ind w:firstLine="640" w:firstLineChars="200"/>
        <w:jc w:val="left"/>
        <w:textAlignment w:val="auto"/>
        <w:rPr>
          <w:rFonts w:hint="eastAsia" w:ascii="仿宋_GB2312" w:eastAsia="仿宋_GB2312"/>
          <w:kern w:val="0"/>
          <w:sz w:val="32"/>
          <w:szCs w:val="32"/>
        </w:rPr>
      </w:pPr>
      <w:r>
        <w:rPr>
          <w:rFonts w:hint="eastAsia" w:ascii="仿宋_GB2312" w:eastAsia="仿宋_GB2312"/>
          <w:kern w:val="0"/>
          <w:sz w:val="32"/>
          <w:szCs w:val="32"/>
        </w:rPr>
        <w:t>（三）资产管理方面对历年呆账的清理不及时、彻底。账龄很长，账面有记载，而实际已不存在或者无法收回。也没有进行清理报废，严重地影响了资产资金的管理。</w:t>
      </w:r>
    </w:p>
    <w:p>
      <w:pPr>
        <w:keepNext w:val="0"/>
        <w:keepLines w:val="0"/>
        <w:pageBreakBefore w:val="0"/>
        <w:widowControl w:val="0"/>
        <w:pBdr>
          <w:bottom w:val="single" w:color="FFFFFF" w:sz="4" w:space="20"/>
        </w:pBdr>
        <w:tabs>
          <w:tab w:val="left" w:pos="8050"/>
          <w:tab w:val="left" w:pos="8094"/>
        </w:tabs>
        <w:kinsoku/>
        <w:wordWrap/>
        <w:overflowPunct/>
        <w:topLinePunct/>
        <w:autoSpaceDE/>
        <w:autoSpaceDN/>
        <w:bidi w:val="0"/>
        <w:adjustRightInd w:val="0"/>
        <w:snapToGrid w:val="0"/>
        <w:spacing w:line="600" w:lineRule="exact"/>
        <w:ind w:firstLine="640" w:firstLineChars="200"/>
        <w:jc w:val="left"/>
        <w:textAlignment w:val="auto"/>
        <w:rPr>
          <w:rFonts w:hint="eastAsia" w:ascii="黑体" w:hAnsi="黑体" w:eastAsia="黑体" w:cs="黑体"/>
          <w:b/>
          <w:bCs/>
          <w:kern w:val="0"/>
          <w:sz w:val="32"/>
          <w:szCs w:val="32"/>
        </w:rPr>
      </w:pPr>
      <w:r>
        <w:rPr>
          <w:rFonts w:hint="eastAsia" w:ascii="黑体" w:hAnsi="黑体" w:eastAsia="黑体" w:cs="黑体"/>
          <w:b/>
          <w:bCs/>
          <w:kern w:val="0"/>
          <w:sz w:val="32"/>
          <w:szCs w:val="32"/>
          <w:lang w:eastAsia="zh-CN"/>
        </w:rPr>
        <w:t>八</w:t>
      </w:r>
      <w:r>
        <w:rPr>
          <w:rFonts w:hint="eastAsia" w:ascii="黑体" w:hAnsi="黑体" w:eastAsia="黑体" w:cs="黑体"/>
          <w:b/>
          <w:bCs/>
          <w:kern w:val="0"/>
          <w:sz w:val="32"/>
          <w:szCs w:val="32"/>
        </w:rPr>
        <w:t>、意见建议</w:t>
      </w:r>
    </w:p>
    <w:p>
      <w:pPr>
        <w:keepNext w:val="0"/>
        <w:keepLines w:val="0"/>
        <w:pageBreakBefore w:val="0"/>
        <w:widowControl w:val="0"/>
        <w:pBdr>
          <w:bottom w:val="single" w:color="FFFFFF" w:sz="4" w:space="20"/>
        </w:pBdr>
        <w:tabs>
          <w:tab w:val="left" w:pos="8050"/>
          <w:tab w:val="left" w:pos="8094"/>
        </w:tabs>
        <w:kinsoku/>
        <w:wordWrap/>
        <w:overflowPunct/>
        <w:topLinePunct/>
        <w:autoSpaceDE/>
        <w:autoSpaceDN/>
        <w:bidi w:val="0"/>
        <w:adjustRightInd w:val="0"/>
        <w:snapToGrid w:val="0"/>
        <w:spacing w:line="600" w:lineRule="exact"/>
        <w:ind w:firstLine="640" w:firstLineChars="200"/>
        <w:jc w:val="left"/>
        <w:textAlignment w:val="auto"/>
        <w:rPr>
          <w:rFonts w:hint="eastAsia" w:ascii="仿宋_GB2312" w:eastAsia="仿宋_GB2312"/>
          <w:kern w:val="0"/>
          <w:sz w:val="32"/>
          <w:szCs w:val="32"/>
        </w:rPr>
      </w:pPr>
      <w:r>
        <w:rPr>
          <w:rFonts w:hint="eastAsia" w:ascii="仿宋_GB2312" w:eastAsia="仿宋_GB2312"/>
          <w:kern w:val="0"/>
          <w:sz w:val="32"/>
          <w:szCs w:val="32"/>
        </w:rPr>
        <w:t>建议县财政调增人员基本支出的预算安排，以免人员经费挤占专项资金。同时本</w:t>
      </w:r>
      <w:r>
        <w:rPr>
          <w:rFonts w:hint="eastAsia" w:ascii="仿宋_GB2312" w:eastAsia="仿宋_GB2312"/>
          <w:kern w:val="0"/>
          <w:sz w:val="32"/>
          <w:szCs w:val="32"/>
          <w:lang w:val="en-US" w:eastAsia="zh-CN"/>
        </w:rPr>
        <w:t>单位</w:t>
      </w:r>
      <w:r>
        <w:rPr>
          <w:rFonts w:hint="eastAsia" w:ascii="仿宋_GB2312" w:eastAsia="仿宋_GB2312"/>
          <w:kern w:val="0"/>
          <w:sz w:val="32"/>
          <w:szCs w:val="32"/>
        </w:rPr>
        <w:t>也要对业务开展需要，逐项做出预算计划，不留缺口，不留空项。对历年应收、应付呆账、资产等进行清理、处置，调整账务，夯实资产资金管理基础，更好地使用资产、资金，发挥最大效能。</w:t>
      </w:r>
    </w:p>
    <w:p>
      <w:pPr>
        <w:keepNext w:val="0"/>
        <w:keepLines w:val="0"/>
        <w:pageBreakBefore w:val="0"/>
        <w:widowControl w:val="0"/>
        <w:numPr>
          <w:ilvl w:val="0"/>
          <w:numId w:val="4"/>
        </w:numPr>
        <w:pBdr>
          <w:bottom w:val="single" w:color="FFFFFF" w:sz="4" w:space="20"/>
        </w:pBdr>
        <w:tabs>
          <w:tab w:val="left" w:pos="8050"/>
          <w:tab w:val="left" w:pos="8094"/>
        </w:tabs>
        <w:kinsoku/>
        <w:wordWrap/>
        <w:overflowPunct/>
        <w:topLinePunct/>
        <w:autoSpaceDE/>
        <w:autoSpaceDN/>
        <w:bidi w:val="0"/>
        <w:adjustRightInd w:val="0"/>
        <w:snapToGrid w:val="0"/>
        <w:spacing w:line="600" w:lineRule="exact"/>
        <w:ind w:firstLine="640" w:firstLineChars="200"/>
        <w:jc w:val="left"/>
        <w:textAlignment w:val="auto"/>
        <w:rPr>
          <w:rFonts w:hint="eastAsia" w:eastAsia="黑体"/>
          <w:b/>
          <w:bCs/>
          <w:sz w:val="32"/>
          <w:szCs w:val="32"/>
          <w:lang w:val="en-US" w:eastAsia="zh-CN"/>
        </w:rPr>
      </w:pPr>
      <w:r>
        <w:rPr>
          <w:rFonts w:hint="eastAsia" w:eastAsia="黑体"/>
          <w:b/>
          <w:bCs/>
          <w:sz w:val="32"/>
          <w:szCs w:val="32"/>
          <w:lang w:val="en-US" w:eastAsia="zh-CN"/>
        </w:rPr>
        <w:t>绩效自评结果拟应用和公开情况</w:t>
      </w:r>
    </w:p>
    <w:p>
      <w:pPr>
        <w:keepNext w:val="0"/>
        <w:keepLines w:val="0"/>
        <w:pageBreakBefore w:val="0"/>
        <w:widowControl w:val="0"/>
        <w:numPr>
          <w:ilvl w:val="0"/>
          <w:numId w:val="0"/>
        </w:numPr>
        <w:pBdr>
          <w:bottom w:val="single" w:color="FFFFFF" w:sz="4" w:space="20"/>
        </w:pBdr>
        <w:tabs>
          <w:tab w:val="left" w:pos="8050"/>
          <w:tab w:val="left" w:pos="8094"/>
        </w:tabs>
        <w:kinsoku/>
        <w:wordWrap/>
        <w:overflowPunct/>
        <w:topLinePunct/>
        <w:autoSpaceDE/>
        <w:autoSpaceDN/>
        <w:bidi w:val="0"/>
        <w:adjustRightInd w:val="0"/>
        <w:snapToGrid w:val="0"/>
        <w:spacing w:line="600" w:lineRule="exact"/>
        <w:ind w:firstLine="640" w:firstLineChars="200"/>
        <w:jc w:val="left"/>
        <w:textAlignment w:val="auto"/>
        <w:rPr>
          <w:rFonts w:hint="eastAsia" w:eastAsia="仿宋_GB2312"/>
          <w:color w:val="000000"/>
          <w:sz w:val="32"/>
          <w:szCs w:val="32"/>
        </w:rPr>
      </w:pPr>
      <w:r>
        <w:rPr>
          <w:rFonts w:hint="eastAsia" w:eastAsia="仿宋_GB2312"/>
          <w:color w:val="000000"/>
          <w:sz w:val="32"/>
          <w:szCs w:val="32"/>
        </w:rPr>
        <w:t>加强绩效评价结果应用。一是全面公开绩效自评报告，绩效自评结果将在我</w:t>
      </w:r>
      <w:r>
        <w:rPr>
          <w:rFonts w:hint="eastAsia" w:eastAsia="仿宋_GB2312"/>
          <w:color w:val="000000"/>
          <w:sz w:val="32"/>
          <w:szCs w:val="32"/>
          <w:lang w:eastAsia="zh-CN"/>
        </w:rPr>
        <w:t>局</w:t>
      </w:r>
      <w:r>
        <w:rPr>
          <w:rFonts w:hint="eastAsia" w:eastAsia="仿宋_GB2312"/>
          <w:color w:val="000000"/>
          <w:sz w:val="32"/>
          <w:szCs w:val="32"/>
        </w:rPr>
        <w:t>门户网站上进行公开，接受社会监督；二是及时反馈整改，及时将评价结果反馈相关</w:t>
      </w:r>
      <w:r>
        <w:rPr>
          <w:rFonts w:hint="eastAsia" w:eastAsia="仿宋_GB2312"/>
          <w:color w:val="000000"/>
          <w:sz w:val="32"/>
          <w:szCs w:val="32"/>
          <w:lang w:eastAsia="zh-CN"/>
        </w:rPr>
        <w:t>人员</w:t>
      </w:r>
      <w:r>
        <w:rPr>
          <w:rFonts w:hint="eastAsia" w:eastAsia="仿宋_GB2312"/>
          <w:color w:val="000000"/>
          <w:sz w:val="32"/>
          <w:szCs w:val="32"/>
        </w:rPr>
        <w:t>，督促其就绩效自评中发现的问题制定切实可行的整改措施并落实到位，对整改不落实或不到位的，根据情况调整或收回项目资金；三是将自评结果应用到下一年度的资金安排和项目立项中，真正体现奖优罚劣的绩效导向。</w:t>
      </w:r>
    </w:p>
    <w:p>
      <w:pPr>
        <w:keepNext w:val="0"/>
        <w:keepLines w:val="0"/>
        <w:pageBreakBefore w:val="0"/>
        <w:widowControl w:val="0"/>
        <w:numPr>
          <w:ilvl w:val="0"/>
          <w:numId w:val="0"/>
        </w:numPr>
        <w:pBdr>
          <w:bottom w:val="single" w:color="FFFFFF" w:sz="4" w:space="20"/>
        </w:pBdr>
        <w:tabs>
          <w:tab w:val="left" w:pos="8050"/>
          <w:tab w:val="left" w:pos="8094"/>
        </w:tabs>
        <w:kinsoku/>
        <w:wordWrap/>
        <w:overflowPunct/>
        <w:topLinePunct/>
        <w:autoSpaceDE/>
        <w:autoSpaceDN/>
        <w:bidi w:val="0"/>
        <w:adjustRightInd w:val="0"/>
        <w:snapToGrid w:val="0"/>
        <w:spacing w:line="600" w:lineRule="exact"/>
        <w:ind w:firstLine="640" w:firstLineChars="200"/>
        <w:jc w:val="left"/>
        <w:textAlignment w:val="auto"/>
        <w:rPr>
          <w:rFonts w:hint="eastAsia" w:eastAsia="黑体"/>
          <w:sz w:val="32"/>
          <w:szCs w:val="32"/>
          <w:lang w:val="en-US" w:eastAsia="zh-CN"/>
        </w:rPr>
      </w:pPr>
      <w:r>
        <w:rPr>
          <w:rFonts w:hint="eastAsia" w:eastAsia="黑体"/>
          <w:sz w:val="32"/>
          <w:szCs w:val="32"/>
          <w:lang w:val="en-US" w:eastAsia="zh-CN"/>
        </w:rPr>
        <w:t>其他需要说明的情况</w:t>
      </w:r>
    </w:p>
    <w:p>
      <w:pPr>
        <w:keepNext w:val="0"/>
        <w:keepLines w:val="0"/>
        <w:pageBreakBefore w:val="0"/>
        <w:widowControl w:val="0"/>
        <w:numPr>
          <w:ilvl w:val="0"/>
          <w:numId w:val="0"/>
        </w:numPr>
        <w:pBdr>
          <w:bottom w:val="single" w:color="FFFFFF" w:sz="4" w:space="20"/>
        </w:pBdr>
        <w:tabs>
          <w:tab w:val="left" w:pos="8050"/>
          <w:tab w:val="left" w:pos="8094"/>
        </w:tabs>
        <w:kinsoku/>
        <w:wordWrap/>
        <w:overflowPunct/>
        <w:topLinePunct/>
        <w:autoSpaceDE/>
        <w:autoSpaceDN/>
        <w:bidi w:val="0"/>
        <w:adjustRightInd w:val="0"/>
        <w:snapToGrid w:val="0"/>
        <w:spacing w:line="600" w:lineRule="exact"/>
        <w:ind w:firstLine="640" w:firstLineChars="200"/>
        <w:jc w:val="left"/>
        <w:textAlignment w:val="auto"/>
        <w:rPr>
          <w:rFonts w:hint="eastAsia" w:eastAsia="仿宋_GB2312"/>
          <w:sz w:val="32"/>
          <w:szCs w:val="32"/>
          <w:lang w:eastAsia="zh-CN"/>
        </w:rPr>
      </w:pPr>
      <w:bookmarkStart w:id="6" w:name="_GoBack"/>
      <w:bookmarkEnd w:id="6"/>
      <w:r>
        <w:rPr>
          <w:rFonts w:hint="eastAsia" w:eastAsia="仿宋_GB2312"/>
          <w:sz w:val="32"/>
          <w:szCs w:val="32"/>
          <w:lang w:eastAsia="zh-CN"/>
        </w:rPr>
        <w:t>无</w:t>
      </w:r>
    </w:p>
    <w:p>
      <w:pPr>
        <w:pStyle w:val="20"/>
        <w:keepNext w:val="0"/>
        <w:keepLines w:val="0"/>
        <w:pageBreakBefore w:val="0"/>
        <w:widowControl w:val="0"/>
        <w:kinsoku/>
        <w:wordWrap/>
        <w:overflowPunct/>
        <w:autoSpaceDE/>
        <w:autoSpaceDN/>
        <w:bidi w:val="0"/>
        <w:spacing w:line="600" w:lineRule="exact"/>
        <w:ind w:firstLine="640" w:firstLineChars="200"/>
        <w:jc w:val="left"/>
        <w:textAlignment w:val="auto"/>
        <w:rPr>
          <w:rFonts w:hint="eastAsia" w:ascii="仿宋_GB2312" w:eastAsia="仿宋_GB2312"/>
          <w:kern w:val="0"/>
          <w:sz w:val="32"/>
          <w:szCs w:val="32"/>
        </w:rPr>
      </w:pPr>
    </w:p>
    <w:p>
      <w:pPr>
        <w:pStyle w:val="20"/>
        <w:spacing w:line="600" w:lineRule="exact"/>
        <w:rPr>
          <w:rFonts w:hint="eastAsia" w:ascii="仿宋_GB2312" w:eastAsia="仿宋_GB2312"/>
          <w:sz w:val="32"/>
          <w:szCs w:val="32"/>
        </w:rPr>
      </w:pPr>
    </w:p>
    <w:p>
      <w:pPr>
        <w:pStyle w:val="14"/>
        <w:spacing w:line="600" w:lineRule="exact"/>
        <w:ind w:firstLine="640" w:firstLineChars="200"/>
        <w:rPr>
          <w:rFonts w:ascii="Times New Roman" w:hAnsi="Times New Roman" w:eastAsia="仿宋_GB2312" w:cs="Times New Roman"/>
          <w:sz w:val="32"/>
          <w:szCs w:val="3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0"/>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A3F9864"/>
    <w:multiLevelType w:val="singleLevel"/>
    <w:tmpl w:val="BA3F9864"/>
    <w:lvl w:ilvl="0" w:tentative="0">
      <w:start w:val="9"/>
      <w:numFmt w:val="chineseCounting"/>
      <w:suff w:val="nothing"/>
      <w:lvlText w:val="%1、"/>
      <w:lvlJc w:val="left"/>
      <w:rPr>
        <w:rFonts w:hint="eastAsia"/>
      </w:rPr>
    </w:lvl>
  </w:abstractNum>
  <w:abstractNum w:abstractNumId="1">
    <w:nsid w:val="294D3960"/>
    <w:multiLevelType w:val="singleLevel"/>
    <w:tmpl w:val="294D3960"/>
    <w:lvl w:ilvl="0" w:tentative="0">
      <w:start w:val="1"/>
      <w:numFmt w:val="chineseCounting"/>
      <w:suff w:val="nothing"/>
      <w:lvlText w:val="（%1）"/>
      <w:lvlJc w:val="left"/>
      <w:rPr>
        <w:rFonts w:hint="eastAsia"/>
      </w:rPr>
    </w:lvl>
  </w:abstractNum>
  <w:abstractNum w:abstractNumId="2">
    <w:nsid w:val="5A8F8EE0"/>
    <w:multiLevelType w:val="singleLevel"/>
    <w:tmpl w:val="5A8F8EE0"/>
    <w:lvl w:ilvl="0" w:tentative="0">
      <w:start w:val="3"/>
      <w:numFmt w:val="chineseCounting"/>
      <w:suff w:val="nothing"/>
      <w:lvlText w:val="%1、"/>
      <w:lvlJc w:val="left"/>
      <w:rPr>
        <w:rFonts w:hint="eastAsia"/>
      </w:rPr>
    </w:lvl>
  </w:abstractNum>
  <w:abstractNum w:abstractNumId="3">
    <w:nsid w:val="71975298"/>
    <w:multiLevelType w:val="singleLevel"/>
    <w:tmpl w:val="71975298"/>
    <w:lvl w:ilvl="0" w:tentative="0">
      <w:start w:val="2"/>
      <w:numFmt w:val="chineseCounting"/>
      <w:suff w:val="nothing"/>
      <w:lvlText w:val="（%1）"/>
      <w:lvlJc w:val="left"/>
      <w:rPr>
        <w:rFonts w:hint="eastAsia"/>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4C133B2"/>
    <w:rsid w:val="04CE2A73"/>
    <w:rsid w:val="07DB2C0D"/>
    <w:rsid w:val="0C7B02EA"/>
    <w:rsid w:val="0F8A21AB"/>
    <w:rsid w:val="116F23E8"/>
    <w:rsid w:val="12303925"/>
    <w:rsid w:val="125E044B"/>
    <w:rsid w:val="16DE4297"/>
    <w:rsid w:val="189853EB"/>
    <w:rsid w:val="1B2E6E70"/>
    <w:rsid w:val="1D97DEFF"/>
    <w:rsid w:val="1DFF72E5"/>
    <w:rsid w:val="1EFC6F07"/>
    <w:rsid w:val="203767C6"/>
    <w:rsid w:val="23E76EA7"/>
    <w:rsid w:val="27436AA7"/>
    <w:rsid w:val="27EB731F"/>
    <w:rsid w:val="29B64C00"/>
    <w:rsid w:val="2B6F037D"/>
    <w:rsid w:val="2F9A0AF5"/>
    <w:rsid w:val="2FDF85B8"/>
    <w:rsid w:val="2FFFEE04"/>
    <w:rsid w:val="34DF85B0"/>
    <w:rsid w:val="388A34DF"/>
    <w:rsid w:val="399E594A"/>
    <w:rsid w:val="3AFE0F8D"/>
    <w:rsid w:val="3B8F36BC"/>
    <w:rsid w:val="44CD30D2"/>
    <w:rsid w:val="471F6ACD"/>
    <w:rsid w:val="490400E6"/>
    <w:rsid w:val="491FF225"/>
    <w:rsid w:val="493201F1"/>
    <w:rsid w:val="4B1443C9"/>
    <w:rsid w:val="4B2C3E54"/>
    <w:rsid w:val="4B667BD6"/>
    <w:rsid w:val="4BCA5C94"/>
    <w:rsid w:val="4FFD214C"/>
    <w:rsid w:val="5777D4F5"/>
    <w:rsid w:val="591D4FD6"/>
    <w:rsid w:val="59DD8326"/>
    <w:rsid w:val="5B435A44"/>
    <w:rsid w:val="5BE448A0"/>
    <w:rsid w:val="5CDB57F9"/>
    <w:rsid w:val="5DEF592A"/>
    <w:rsid w:val="5FC6BB1E"/>
    <w:rsid w:val="5FF720F1"/>
    <w:rsid w:val="64715DE8"/>
    <w:rsid w:val="67FF5C0B"/>
    <w:rsid w:val="6D3B2A1F"/>
    <w:rsid w:val="6EFC0924"/>
    <w:rsid w:val="6F673597"/>
    <w:rsid w:val="6FB74722"/>
    <w:rsid w:val="6FEF8B7E"/>
    <w:rsid w:val="6FFE004A"/>
    <w:rsid w:val="718E5036"/>
    <w:rsid w:val="71A16BC9"/>
    <w:rsid w:val="71A6591B"/>
    <w:rsid w:val="737D59BA"/>
    <w:rsid w:val="75E1612D"/>
    <w:rsid w:val="76612DCA"/>
    <w:rsid w:val="77C37683"/>
    <w:rsid w:val="78C2487D"/>
    <w:rsid w:val="794A4D1D"/>
    <w:rsid w:val="79D19834"/>
    <w:rsid w:val="79FF515B"/>
    <w:rsid w:val="7BF549BF"/>
    <w:rsid w:val="7C706DF3"/>
    <w:rsid w:val="7D6768E5"/>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unhideWhenUsed/>
    <w:qFormat/>
    <w:uiPriority w:val="99"/>
    <w:pPr>
      <w:ind w:firstLine="420" w:firstLineChars="200"/>
    </w:pPr>
  </w:style>
  <w:style w:type="paragraph" w:styleId="3">
    <w:name w:val="Body Text Indent"/>
    <w:basedOn w:val="1"/>
    <w:next w:val="2"/>
    <w:unhideWhenUsed/>
    <w:qFormat/>
    <w:uiPriority w:val="99"/>
    <w:pPr>
      <w:widowControl/>
      <w:spacing w:after="120"/>
      <w:ind w:left="420" w:leftChars="200"/>
      <w:jc w:val="left"/>
    </w:pPr>
    <w:rPr>
      <w:rFonts w:ascii="宋体" w:hAnsi="宋体" w:eastAsia="宋体" w:cs="宋体"/>
      <w:kern w:val="0"/>
      <w:sz w:val="24"/>
    </w:rPr>
  </w:style>
  <w:style w:type="paragraph" w:styleId="4">
    <w:name w:val="Body Text"/>
    <w:basedOn w:val="1"/>
    <w:next w:val="5"/>
    <w:qFormat/>
    <w:uiPriority w:val="1"/>
    <w:pPr>
      <w:ind w:left="106"/>
    </w:pPr>
    <w:rPr>
      <w:rFonts w:ascii="宋体" w:hAnsi="宋体" w:eastAsia="宋体"/>
      <w:sz w:val="32"/>
      <w:szCs w:val="32"/>
    </w:rPr>
  </w:style>
  <w:style w:type="paragraph" w:styleId="5">
    <w:name w:val="Body Text First Indent"/>
    <w:basedOn w:val="4"/>
    <w:qFormat/>
    <w:uiPriority w:val="0"/>
    <w:pPr>
      <w:ind w:firstLine="100" w:firstLineChars="100"/>
    </w:pPr>
    <w:rPr>
      <w:rFonts w:ascii="Calibri" w:hAnsi="Calibri" w:eastAsia="宋体" w:cs="Times New Roman"/>
    </w:rPr>
  </w:style>
  <w:style w:type="paragraph" w:styleId="6">
    <w:name w:val="Balloon Text"/>
    <w:basedOn w:val="1"/>
    <w:link w:val="16"/>
    <w:semiHidden/>
    <w:unhideWhenUsed/>
    <w:qFormat/>
    <w:uiPriority w:val="99"/>
    <w:rPr>
      <w:sz w:val="18"/>
      <w:szCs w:val="18"/>
    </w:rPr>
  </w:style>
  <w:style w:type="paragraph" w:styleId="7">
    <w:name w:val="footer"/>
    <w:basedOn w:val="1"/>
    <w:link w:val="13"/>
    <w:unhideWhenUsed/>
    <w:qFormat/>
    <w:uiPriority w:val="99"/>
    <w:pPr>
      <w:tabs>
        <w:tab w:val="center" w:pos="4153"/>
        <w:tab w:val="right" w:pos="8306"/>
      </w:tabs>
      <w:snapToGrid w:val="0"/>
      <w:jc w:val="left"/>
    </w:pPr>
    <w:rPr>
      <w:sz w:val="18"/>
      <w:szCs w:val="18"/>
    </w:rPr>
  </w:style>
  <w:style w:type="paragraph" w:styleId="8">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footnote text"/>
    <w:basedOn w:val="1"/>
    <w:next w:val="2"/>
    <w:semiHidden/>
    <w:qFormat/>
    <w:uiPriority w:val="0"/>
    <w:pPr>
      <w:snapToGrid w:val="0"/>
      <w:jc w:val="left"/>
    </w:pPr>
    <w:rPr>
      <w:sz w:val="18"/>
      <w:szCs w:val="18"/>
    </w:rPr>
  </w:style>
  <w:style w:type="character" w:customStyle="1" w:styleId="12">
    <w:name w:val="页眉 Char"/>
    <w:basedOn w:val="11"/>
    <w:link w:val="8"/>
    <w:qFormat/>
    <w:uiPriority w:val="99"/>
    <w:rPr>
      <w:sz w:val="18"/>
      <w:szCs w:val="18"/>
    </w:rPr>
  </w:style>
  <w:style w:type="character" w:customStyle="1" w:styleId="13">
    <w:name w:val="页脚 Char"/>
    <w:basedOn w:val="11"/>
    <w:link w:val="7"/>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Char"/>
    <w:basedOn w:val="11"/>
    <w:link w:val="6"/>
    <w:semiHidden/>
    <w:qFormat/>
    <w:uiPriority w:val="99"/>
    <w:rPr>
      <w:sz w:val="18"/>
      <w:szCs w:val="18"/>
    </w:rPr>
  </w:style>
  <w:style w:type="character" w:customStyle="1" w:styleId="17">
    <w:name w:val="font01"/>
    <w:basedOn w:val="11"/>
    <w:qFormat/>
    <w:uiPriority w:val="0"/>
    <w:rPr>
      <w:rFonts w:hint="eastAsia" w:ascii="宋体" w:hAnsi="宋体" w:eastAsia="宋体" w:cs="宋体"/>
      <w:color w:val="000000"/>
      <w:sz w:val="22"/>
      <w:szCs w:val="22"/>
      <w:u w:val="none"/>
    </w:rPr>
  </w:style>
  <w:style w:type="character" w:customStyle="1" w:styleId="18">
    <w:name w:val="font21"/>
    <w:basedOn w:val="11"/>
    <w:qFormat/>
    <w:uiPriority w:val="0"/>
    <w:rPr>
      <w:rFonts w:hint="eastAsia" w:ascii="宋体" w:hAnsi="宋体" w:eastAsia="宋体" w:cs="宋体"/>
      <w:color w:val="000000"/>
      <w:sz w:val="24"/>
      <w:szCs w:val="24"/>
      <w:u w:val="none"/>
    </w:rPr>
  </w:style>
  <w:style w:type="character" w:customStyle="1" w:styleId="19">
    <w:name w:val="font11"/>
    <w:basedOn w:val="11"/>
    <w:qFormat/>
    <w:uiPriority w:val="0"/>
    <w:rPr>
      <w:rFonts w:hint="eastAsia" w:ascii="宋体" w:hAnsi="宋体" w:eastAsia="宋体" w:cs="宋体"/>
      <w:color w:val="000000"/>
      <w:sz w:val="24"/>
      <w:szCs w:val="24"/>
      <w:u w:val="none"/>
    </w:rPr>
  </w:style>
  <w:style w:type="paragraph" w:styleId="20">
    <w:name w:val="No Spacing"/>
    <w:qFormat/>
    <w:uiPriority w:val="1"/>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39</Pages>
  <Words>14734</Words>
  <Characters>17120</Characters>
  <Lines>69</Lines>
  <Paragraphs>19</Paragraphs>
  <TotalTime>5</TotalTime>
  <ScaleCrop>false</ScaleCrop>
  <LinksUpToDate>false</LinksUpToDate>
  <CharactersWithSpaces>18571</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水蜜桃</cp:lastModifiedBy>
  <cp:lastPrinted>2024-08-10T02:20:00Z</cp:lastPrinted>
  <dcterms:modified xsi:type="dcterms:W3CDTF">2026-09-11T07:40:55Z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B2F57AE50CD94CD5847BCE18C5D82DC4_13</vt:lpwstr>
  </property>
</Properties>
</file>