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8A789">
      <w:pPr>
        <w:spacing w:before="0" w:after="0" w:line="600" w:lineRule="auto"/>
        <w:ind w:left="0" w:right="0" w:firstLine="0"/>
        <w:jc w:val="center"/>
        <w:rPr>
          <w:rFonts w:hint="eastAsia" w:ascii="宋体" w:hAnsi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202</w:t>
      </w:r>
      <w:r>
        <w:rPr>
          <w:rFonts w:hint="eastAsia" w:ascii="Times New Roman" w:hAnsi="Times New Roman" w:cs="Times New Roman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  <w:t>5</w:t>
      </w: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年度道县</w:t>
      </w:r>
      <w:r>
        <w:rPr>
          <w:rFonts w:hint="eastAsia" w:ascii="宋体" w:hAnsi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  <w:t>文化艺术界联合会</w:t>
      </w:r>
    </w:p>
    <w:p w14:paraId="43B05A8E">
      <w:pPr>
        <w:spacing w:before="0" w:after="0" w:line="60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</w:pP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绩效</w:t>
      </w:r>
      <w:r>
        <w:rPr>
          <w:rFonts w:hint="eastAsia" w:ascii="宋体" w:hAnsi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  <w:t>自</w:t>
      </w: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评报告</w:t>
      </w:r>
    </w:p>
    <w:p w14:paraId="2ACD246D">
      <w:pPr>
        <w:spacing w:before="0" w:after="0" w:line="60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48"/>
          <w:shd w:val="clear" w:color="050000" w:fill="auto"/>
        </w:rPr>
      </w:pPr>
    </w:p>
    <w:p w14:paraId="2871F0ED">
      <w:pPr>
        <w:numPr>
          <w:ilvl w:val="0"/>
          <w:numId w:val="1"/>
        </w:numPr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</w:pP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  <w:t>部门概况</w:t>
      </w:r>
    </w:p>
    <w:p w14:paraId="0AB0E6FB">
      <w:pPr>
        <w:widowControl/>
        <w:spacing w:line="600" w:lineRule="exact"/>
        <w:ind w:firstLine="643" w:firstLineChars="200"/>
        <w:rPr>
          <w:rFonts w:hint="eastAsia"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（一）</w:t>
      </w:r>
      <w:r>
        <w:rPr>
          <w:rFonts w:hint="eastAsia" w:ascii="宋体" w:hAnsi="宋体"/>
          <w:b/>
          <w:kern w:val="0"/>
          <w:sz w:val="32"/>
          <w:szCs w:val="32"/>
        </w:rPr>
        <w:t>部门</w:t>
      </w:r>
      <w:r>
        <w:rPr>
          <w:rFonts w:hint="eastAsia" w:ascii="宋体" w:hAnsi="宋体"/>
          <w:b/>
          <w:kern w:val="0"/>
          <w:sz w:val="32"/>
          <w:szCs w:val="32"/>
          <w:lang w:eastAsia="zh-CN"/>
        </w:rPr>
        <w:t>基本情况</w:t>
      </w:r>
    </w:p>
    <w:p w14:paraId="1AA4F59B">
      <w:pPr>
        <w:widowControl/>
        <w:spacing w:line="600" w:lineRule="exact"/>
        <w:ind w:firstLine="588" w:firstLineChars="196"/>
        <w:jc w:val="left"/>
        <w:rPr>
          <w:rFonts w:hint="eastAsia" w:ascii="黑体" w:hAnsi="黑体" w:eastAsia="黑体"/>
          <w:b w:val="0"/>
          <w:bCs/>
          <w:sz w:val="30"/>
          <w:szCs w:val="30"/>
          <w:lang w:val="en-US" w:eastAsia="zh-CN"/>
        </w:rPr>
      </w:pPr>
      <w:bookmarkStart w:id="0" w:name="_Hlk73825013"/>
      <w:r>
        <w:rPr>
          <w:rFonts w:hint="eastAsia" w:ascii="黑体" w:hAnsi="黑体" w:eastAsia="黑体"/>
          <w:b w:val="0"/>
          <w:bCs/>
          <w:sz w:val="30"/>
          <w:szCs w:val="30"/>
          <w:lang w:val="en-US" w:eastAsia="zh-CN"/>
        </w:rPr>
        <w:t>1、工作职能</w:t>
      </w:r>
    </w:p>
    <w:p w14:paraId="147A8BCF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加强党对文艺工作的领导，加强全县文艺队伍思想政治建设，制定出台到县文艺工作者采风创作制度，组织文艺工作者开展主题文艺实践活动。</w:t>
      </w:r>
    </w:p>
    <w:p w14:paraId="55B23EC3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内设机构设置。</w:t>
      </w:r>
      <w:bookmarkEnd w:id="0"/>
      <w:r>
        <w:rPr>
          <w:rFonts w:hint="eastAsia" w:ascii="宋体" w:hAnsi="宋体"/>
          <w:sz w:val="32"/>
          <w:szCs w:val="32"/>
          <w:lang w:val="en-US" w:eastAsia="zh-CN"/>
        </w:rPr>
        <w:t>文联共有内设机构4个，分别为：办公室、组织联络室、权益保护与行业建设室。</w:t>
      </w:r>
    </w:p>
    <w:p w14:paraId="7173CBC2">
      <w:pPr>
        <w:adjustRightInd w:val="0"/>
        <w:snapToGrid w:val="0"/>
        <w:spacing w:line="600" w:lineRule="exact"/>
        <w:ind w:firstLine="643" w:firstLineChars="200"/>
        <w:rPr>
          <w:rFonts w:ascii="黑体" w:hAnsi="黑体" w:eastAsia="黑体" w:cs="仿宋"/>
          <w:color w:val="030303"/>
          <w:sz w:val="30"/>
          <w:szCs w:val="30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人员编制及实有人数</w:t>
      </w:r>
      <w:r>
        <w:rPr>
          <w:rFonts w:hint="eastAsia" w:ascii="宋体" w:hAnsi="宋体"/>
          <w:sz w:val="32"/>
          <w:szCs w:val="32"/>
          <w:lang w:val="en-US" w:eastAsia="zh-CN"/>
        </w:rPr>
        <w:t>　道县机构编制委员会核定本单位编制数7人，现有在职人员6</w:t>
      </w:r>
      <w:r>
        <w:rPr>
          <w:rFonts w:hint="eastAsia" w:ascii="黑体" w:hAnsi="黑体" w:eastAsia="黑体" w:cs="仿宋"/>
          <w:color w:val="030303"/>
          <w:sz w:val="30"/>
          <w:szCs w:val="30"/>
        </w:rPr>
        <w:t>人。</w:t>
      </w:r>
    </w:p>
    <w:p w14:paraId="11E637AF">
      <w:pPr>
        <w:ind w:right="11" w:firstLine="482" w:firstLineChars="15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</w:t>
      </w:r>
      <w:r>
        <w:rPr>
          <w:rFonts w:hint="eastAsia" w:ascii="宋体" w:hAnsi="宋体"/>
          <w:b/>
          <w:sz w:val="32"/>
          <w:szCs w:val="32"/>
          <w:lang w:eastAsia="zh-CN"/>
        </w:rPr>
        <w:t>二</w:t>
      </w:r>
      <w:r>
        <w:rPr>
          <w:rFonts w:hint="eastAsia" w:ascii="宋体" w:hAnsi="宋体"/>
          <w:b/>
          <w:sz w:val="32"/>
          <w:szCs w:val="32"/>
        </w:rPr>
        <w:t>）</w:t>
      </w:r>
      <w:r>
        <w:rPr>
          <w:rFonts w:hint="eastAsia" w:ascii="宋体" w:hAnsi="宋体"/>
          <w:b/>
          <w:bCs/>
          <w:sz w:val="32"/>
          <w:szCs w:val="32"/>
        </w:rPr>
        <w:t>部门整体支出</w:t>
      </w:r>
    </w:p>
    <w:p w14:paraId="6E1C2EA8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1、收入决算:202</w:t>
      </w:r>
      <w:r>
        <w:rPr>
          <w:rFonts w:hint="eastAsia" w:ascii="宋体" w:hAnsi="宋体"/>
          <w:sz w:val="32"/>
          <w:szCs w:val="32"/>
          <w:lang w:val="en-US" w:eastAsia="zh-CN"/>
        </w:rPr>
        <w:t>5年收入决算数71.10万元；其中：财政拨款收入71.10万元。</w:t>
      </w:r>
    </w:p>
    <w:p w14:paraId="0573F2BF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2、支出决算：202</w:t>
      </w:r>
      <w:r>
        <w:rPr>
          <w:rFonts w:hint="eastAsia" w:ascii="宋体" w:hAnsi="宋体"/>
          <w:sz w:val="32"/>
          <w:szCs w:val="32"/>
          <w:lang w:val="en-US" w:eastAsia="zh-CN"/>
        </w:rPr>
        <w:t>5年支出决算数71.10万元；其中：工资福利支出</w:t>
      </w:r>
      <w:r>
        <w:rPr>
          <w:rFonts w:hint="eastAsia" w:ascii="宋体" w:hAnsi="宋体"/>
          <w:sz w:val="32"/>
          <w:szCs w:val="32"/>
          <w:lang w:val="en-US" w:eastAsia="zh-CN"/>
        </w:rPr>
        <w:t>58.89万元，一般商品和服务支出</w:t>
      </w:r>
      <w:r>
        <w:rPr>
          <w:rFonts w:hint="eastAsia" w:ascii="宋体" w:hAnsi="宋体"/>
          <w:sz w:val="32"/>
          <w:szCs w:val="32"/>
          <w:lang w:val="en-US" w:eastAsia="zh-CN"/>
        </w:rPr>
        <w:t>10.16万元，项目支出</w:t>
      </w:r>
      <w:r>
        <w:rPr>
          <w:rFonts w:hint="eastAsia" w:ascii="宋体" w:hAnsi="宋体"/>
          <w:sz w:val="32"/>
          <w:szCs w:val="32"/>
          <w:lang w:val="en-US" w:eastAsia="zh-CN"/>
        </w:rPr>
        <w:t>8.05万元。</w:t>
      </w:r>
    </w:p>
    <w:p w14:paraId="041C0BD0">
      <w:pPr>
        <w:ind w:firstLine="643" w:firstLineChars="200"/>
        <w:rPr>
          <w:rFonts w:hint="eastAsia" w:ascii="宋体" w:hAnsi="宋体"/>
          <w:b/>
          <w:sz w:val="32"/>
          <w:szCs w:val="32"/>
        </w:rPr>
      </w:pPr>
    </w:p>
    <w:p w14:paraId="4DB19D8B"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二、部门整体支出使用情况</w:t>
      </w:r>
    </w:p>
    <w:p w14:paraId="4ECE68A5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（一）基本支出</w:t>
      </w:r>
    </w:p>
    <w:p w14:paraId="3AC8F63E">
      <w:pPr>
        <w:adjustRightInd w:val="0"/>
        <w:snapToGrid w:val="0"/>
        <w:spacing w:line="600" w:lineRule="exact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1、文联</w:t>
      </w:r>
      <w:r>
        <w:rPr>
          <w:rFonts w:ascii="宋体" w:hAnsi="宋体"/>
          <w:sz w:val="32"/>
          <w:szCs w:val="32"/>
        </w:rPr>
        <w:t>202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sz w:val="32"/>
          <w:szCs w:val="32"/>
        </w:rPr>
        <w:t>年基本支出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71.10</w:t>
      </w:r>
      <w:r>
        <w:rPr>
          <w:rFonts w:hint="eastAsia" w:ascii="宋体" w:hAnsi="宋体"/>
          <w:sz w:val="32"/>
          <w:szCs w:val="32"/>
        </w:rPr>
        <w:t>万元，</w:t>
      </w:r>
      <w:r>
        <w:rPr>
          <w:rFonts w:hint="eastAsia" w:ascii="宋体" w:hAnsi="宋体"/>
          <w:sz w:val="32"/>
          <w:szCs w:val="32"/>
          <w:lang w:eastAsia="zh-CN"/>
        </w:rPr>
        <w:t>其中</w:t>
      </w:r>
      <w:r>
        <w:rPr>
          <w:rFonts w:hint="eastAsia" w:ascii="宋体" w:hAnsi="宋体"/>
          <w:sz w:val="32"/>
          <w:szCs w:val="32"/>
        </w:rPr>
        <w:t>：</w:t>
      </w:r>
    </w:p>
    <w:p w14:paraId="4A9B8170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工资福利支出58.89万元，其中：基本工资28.47万元，津贴补贴10.92万元，奖金2.11万元，绩效工资8.92万元。养老保险支出5.40万元，医疗保险支出2.80万元，对个人和家庭的补助0.27。</w:t>
      </w:r>
    </w:p>
    <w:p w14:paraId="7811CB35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、机关运行经费情况：机关运行经费10.16万元。其中一般商品和服务支出10.16万元，包括：办公费，印刷费，水费，电费，邮电费，差旅费，维修费，会议费，培训费万元，公务接待费，劳务费，工会经费，福利费，其他交通费其他商品和服务费。</w:t>
      </w:r>
    </w:p>
    <w:p w14:paraId="37C0503D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（二）项目支出</w:t>
      </w:r>
    </w:p>
    <w:p w14:paraId="336AADF1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2025年项目资金8.05万元，其中：永州市第八届京剧艺术节活动经费4.00万元，《濂溪》杂志编印1.55万元，2025年春联艺术“百千万”光大工程活动经费</w:t>
      </w:r>
      <w:r>
        <w:rPr>
          <w:rFonts w:hint="eastAsia" w:ascii="宋体" w:hAnsi="宋体"/>
          <w:sz w:val="32"/>
          <w:szCs w:val="32"/>
          <w:lang w:val="en-US" w:eastAsia="zh-CN"/>
        </w:rPr>
        <w:t>2.5万元。</w:t>
      </w:r>
    </w:p>
    <w:p w14:paraId="3635C261">
      <w:pPr>
        <w:numPr>
          <w:ilvl w:val="0"/>
          <w:numId w:val="2"/>
        </w:num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三公经费使用情况：</w:t>
      </w:r>
    </w:p>
    <w:p w14:paraId="7640302C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2025年度本单位“三公”经费总额为0.00万元。单位无公务用车。</w:t>
      </w:r>
    </w:p>
    <w:p w14:paraId="3258BDC9"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  <w:t>三、部门整体支出管理情况</w:t>
      </w:r>
    </w:p>
    <w:p w14:paraId="40174E49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我单位严格按照县财政局规定的财务规章制度，制定财务审批制度，严格执行政府采购制度。领导高度重视，坚决做到专款专用。严格执行年初预算。</w:t>
      </w:r>
    </w:p>
    <w:p w14:paraId="637828BA"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  <w:t>四、部门整体支出绩效情况</w:t>
      </w:r>
    </w:p>
    <w:p w14:paraId="0FEA773A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1、文艺活动：品牌引领聚民心，文旅融合显活力</w:t>
      </w:r>
    </w:p>
    <w:p w14:paraId="21061DB2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聚焦重要节点与地域特色，策划开展系列主题鲜明的文艺活动，累计组织活动15场，服务群众超3万人次。</w:t>
      </w:r>
    </w:p>
    <w:p w14:paraId="52DAEA20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2、文艺宣传：多维传播强影响，文化名片亮底色</w:t>
      </w:r>
    </w:p>
    <w:p w14:paraId="305512AB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构建“线上 + 线下”宣传矩阵，全方位展现道县文艺风采与文化底蕴，累计发布宣传内容30余条，总传播量超50万人次。</w:t>
      </w:r>
    </w:p>
    <w:p w14:paraId="1EEEAA67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3、文艺创作：深耕特色出精品，红色文脉润初心</w:t>
      </w:r>
    </w:p>
    <w:p w14:paraId="3B1664FB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围绕红色文化、传统文化、时代发展三大主题，引导文艺工作者深入创作，涌现各类作品150余件，体裁涵盖剧本、诗词、书画等。</w:t>
      </w:r>
    </w:p>
    <w:p w14:paraId="4B035BD4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4、文艺获奖：精品角逐获佳绩，品牌效应再提升</w:t>
      </w:r>
    </w:p>
    <w:p w14:paraId="5D4F9C63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积极组织作品参与各级赛事评选，凭借扎实的创作功底与鲜明的地域特色斩获多项荣誉，彰显道县文艺实力。</w:t>
      </w:r>
    </w:p>
    <w:p w14:paraId="510338B5">
      <w:pPr>
        <w:numPr>
          <w:ilvl w:val="0"/>
          <w:numId w:val="0"/>
        </w:numPr>
        <w:spacing w:before="0" w:after="0" w:line="600" w:lineRule="auto"/>
        <w:ind w:right="0" w:firstLine="562" w:firstLineChars="200"/>
        <w:jc w:val="left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eastAsia="黑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五、结合《部门整体支出绩效评价指标表》（见附件的评价结果</w:t>
      </w:r>
    </w:p>
    <w:p w14:paraId="24F5D29F"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六、存在的主要问题</w:t>
      </w:r>
    </w:p>
    <w:p w14:paraId="2239B938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（一）财务核算有待进一步规范；</w:t>
      </w:r>
    </w:p>
    <w:p w14:paraId="7F45CBE9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（二）公务接待方面有待进一步完善；</w:t>
      </w:r>
    </w:p>
    <w:p w14:paraId="40031B9E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（三）电子卖场采购制度有待建全。</w:t>
      </w:r>
    </w:p>
    <w:p w14:paraId="1F7A22B7"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七、改进措施和有关建议</w:t>
      </w:r>
    </w:p>
    <w:p w14:paraId="309841C5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（一）财务核算有待进一步规范；</w:t>
      </w:r>
    </w:p>
    <w:p w14:paraId="1A63E11A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（二）公务接待方面有待进一步完善；</w:t>
      </w:r>
    </w:p>
    <w:p w14:paraId="334C24D9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（三）电子卖场采购制度有待建全</w:t>
      </w:r>
    </w:p>
    <w:p w14:paraId="6DB754EC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（四）健全制度，加强内部管理。</w:t>
      </w:r>
    </w:p>
    <w:p w14:paraId="6D3688DC"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附件：</w:t>
      </w:r>
      <w:r>
        <w:rPr>
          <w:rFonts w:hint="eastAsia" w:ascii="宋体" w:hAnsi="宋体"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/>
          <w:sz w:val="32"/>
          <w:szCs w:val="32"/>
          <w:lang w:val="en-US" w:eastAsia="zh-CN"/>
        </w:rPr>
        <w:instrText xml:space="preserve"> HYPERLINK "file:///C:\\Users\\Administrator\\Desktop\\10.18\\绩效自评模板\\2016年永州市直部门整体支出绩效评价指标表.doc" </w:instrText>
      </w:r>
      <w:r>
        <w:rPr>
          <w:rFonts w:hint="eastAsia" w:ascii="宋体" w:hAnsi="宋体"/>
          <w:sz w:val="32"/>
          <w:szCs w:val="32"/>
          <w:lang w:val="en-US" w:eastAsia="zh-CN"/>
        </w:rPr>
        <w:fldChar w:fldCharType="separate"/>
      </w:r>
      <w:r>
        <w:rPr>
          <w:rFonts w:hint="eastAsia" w:ascii="宋体" w:hAnsi="宋体"/>
          <w:sz w:val="32"/>
          <w:szCs w:val="32"/>
          <w:lang w:val="en-US" w:eastAsia="zh-CN"/>
        </w:rPr>
        <w:t>部门整体支出绩效评价指标表</w:t>
      </w:r>
      <w:r>
        <w:rPr>
          <w:rFonts w:hint="eastAsia" w:ascii="宋体" w:hAnsi="宋体"/>
          <w:sz w:val="32"/>
          <w:szCs w:val="32"/>
          <w:lang w:val="en-US" w:eastAsia="zh-CN"/>
        </w:rPr>
        <w:fldChar w:fldCharType="end"/>
      </w:r>
    </w:p>
    <w:p w14:paraId="59A8E6F3">
      <w:pPr>
        <w:spacing w:before="0" w:after="0" w:line="240" w:lineRule="auto"/>
        <w:ind w:left="0" w:right="0" w:firstLine="0"/>
        <w:jc w:val="both"/>
        <w:rPr>
          <w:rFonts w:ascii="仿宋" w:hAnsi="仿宋" w:eastAsia="仿宋" w:cs="仿宋"/>
          <w:color w:val="auto"/>
          <w:spacing w:val="0"/>
          <w:position w:val="0"/>
          <w:sz w:val="32"/>
          <w:szCs w:val="32"/>
          <w:shd w:val="clear" w:color="060000" w:fill="auto"/>
        </w:rPr>
      </w:pPr>
    </w:p>
    <w:p w14:paraId="1A3012CC">
      <w:pPr>
        <w:numPr>
          <w:ilvl w:val="0"/>
          <w:numId w:val="0"/>
        </w:numPr>
        <w:spacing w:before="0" w:after="0" w:line="600" w:lineRule="auto"/>
        <w:ind w:right="0" w:firstLine="643" w:firstLineChars="200"/>
        <w:jc w:val="right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bookmarkStart w:id="1" w:name="_GoBack"/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 xml:space="preserve">道县文化艺术界联合会    </w:t>
      </w:r>
    </w:p>
    <w:p w14:paraId="0DDC1F9A">
      <w:pPr>
        <w:numPr>
          <w:ilvl w:val="0"/>
          <w:numId w:val="0"/>
        </w:numPr>
        <w:spacing w:before="0" w:after="0" w:line="600" w:lineRule="auto"/>
        <w:ind w:right="0" w:firstLine="643" w:firstLineChars="200"/>
        <w:jc w:val="right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2026年9月6日</w:t>
      </w:r>
    </w:p>
    <w:bookmarkEnd w:id="1"/>
    <w:p w14:paraId="44758456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zCs w:val="32"/>
          <w:shd w:val="clear" w:color="060000" w:fill="auto"/>
        </w:rPr>
      </w:pPr>
    </w:p>
    <w:p w14:paraId="5B72E104">
      <w:pPr>
        <w:spacing w:before="0" w:after="0" w:line="60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hd w:val="clear" w:color="050000" w:fill="auto"/>
        </w:rPr>
      </w:pPr>
    </w:p>
    <w:p w14:paraId="29A9B4E0">
      <w:pPr>
        <w:spacing w:before="0" w:after="0" w:line="600" w:lineRule="auto"/>
        <w:ind w:right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hd w:val="clear" w:color="050000" w:fill="auto"/>
        </w:rPr>
      </w:pPr>
    </w:p>
    <w:p w14:paraId="3C63DB1B">
      <w:pPr>
        <w:spacing w:before="0" w:after="0" w:line="600" w:lineRule="auto"/>
        <w:ind w:left="0" w:right="0" w:firstLine="64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hd w:val="clear" w:color="050000" w:fill="auto"/>
        </w:rPr>
      </w:pPr>
    </w:p>
    <w:p w14:paraId="1D02DB5F"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color="050000" w:fill="auto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3185C5"/>
    <w:multiLevelType w:val="singleLevel"/>
    <w:tmpl w:val="2A3185C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DB29C50"/>
    <w:multiLevelType w:val="singleLevel"/>
    <w:tmpl w:val="5DB29C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isplayHorizontalDrawingGridEvery w:val="1"/>
  <w:displayVerticalDrawingGridEvery w:val="1"/>
  <w:characterSpacingControl w:val="compressPunctuation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GUwMWQ4MTQ4NzI5NDFhMDRjZTEyNTJlZGFlMzVkMTkifQ=="/>
  </w:docVars>
  <w:rsids>
    <w:rsidRoot w:val="00000000"/>
    <w:rsid w:val="17E16D5F"/>
    <w:rsid w:val="22FD316A"/>
    <w:rsid w:val="2CEB7529"/>
    <w:rsid w:val="34211608"/>
    <w:rsid w:val="347D07F4"/>
    <w:rsid w:val="46244CAC"/>
    <w:rsid w:val="47ED2830"/>
    <w:rsid w:val="644B6B27"/>
    <w:rsid w:val="7A336A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link w:val="11"/>
    <w:qFormat/>
    <w:uiPriority w:val="0"/>
    <w:pPr>
      <w:snapToGrid w:val="0"/>
      <w:jc w:val="left"/>
    </w:pPr>
    <w:rPr>
      <w:rFonts w:hint="eastAsi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尾注文本 Char Char"/>
    <w:basedOn w:val="7"/>
    <w:link w:val="2"/>
    <w:qFormat/>
    <w:uiPriority w:val="0"/>
    <w:rPr>
      <w:rFonts w:hint="eastAsia"/>
    </w:rPr>
  </w:style>
  <w:style w:type="character" w:customStyle="1" w:styleId="12">
    <w:name w:val="NormalCharacter"/>
    <w:semiHidden/>
    <w:qFormat/>
    <w:uiPriority w:val="0"/>
  </w:style>
  <w:style w:type="character" w:customStyle="1" w:styleId="13">
    <w:name w:val="PageNumber"/>
    <w:basedOn w:val="12"/>
    <w:qFormat/>
    <w:uiPriority w:val="0"/>
  </w:style>
  <w:style w:type="paragraph" w:customStyle="1" w:styleId="14">
    <w:name w:val="p0"/>
    <w:basedOn w:val="1"/>
    <w:unhideWhenUsed/>
    <w:qFormat/>
    <w:uiPriority w:val="0"/>
    <w:rPr>
      <w:rFonts w:hint="eastAsia"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1722</Words>
  <Characters>1860</Characters>
  <Lines>0</Lines>
  <Paragraphs>0</Paragraphs>
  <TotalTime>16</TotalTime>
  <ScaleCrop>false</ScaleCrop>
  <LinksUpToDate>false</LinksUpToDate>
  <CharactersWithSpaces>1871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2021-06-25T11:57:00Z</dcterms:created>
  <dc:creator>Administrator</dc:creator>
  <cp:lastModifiedBy>work椰</cp:lastModifiedBy>
  <dcterms:modified xsi:type="dcterms:W3CDTF">2026-09-09T08:57:38Z</dcterms:modified>
  <dc:title>2020年度道县文化艺术联合会整体支出绩效评价报告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D1981F9535E94E63AB0065E01F0ADB5C</vt:lpwstr>
  </property>
  <property fmtid="{D5CDD505-2E9C-101B-9397-08002B2CF9AE}" pid="4" name="KSOTemplateDocerSaveRecord">
    <vt:lpwstr>eyJoZGlkIjoiMTYxYzdhNDBlNmVkMDU3OGNlNDUzMGQxYTZlYjIxMGEiLCJ1c2VySWQiOiI2NjM4MDg2MjMifQ==</vt:lpwstr>
  </property>
</Properties>
</file>