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4E8AA">
      <w:pPr>
        <w:widowControl/>
        <w:spacing w:line="600" w:lineRule="exact"/>
        <w:jc w:val="center"/>
        <w:rPr>
          <w:rFonts w:ascii="宋体" w:hAnsi="宋体" w:cs="Tahoma"/>
          <w:b/>
          <w:sz w:val="36"/>
          <w:szCs w:val="36"/>
        </w:rPr>
      </w:pPr>
      <w:r>
        <w:rPr>
          <w:rFonts w:hint="eastAsia" w:ascii="仿宋" w:hAnsi="仿宋" w:eastAsia="仿宋" w:cs="仿宋"/>
          <w:b/>
          <w:bCs/>
          <w:sz w:val="44"/>
          <w:szCs w:val="44"/>
          <w:lang w:eastAsia="zh-CN"/>
        </w:rPr>
        <w:t>2025年</w:t>
      </w:r>
      <w:r>
        <w:rPr>
          <w:rFonts w:hint="eastAsia" w:ascii="仿宋" w:hAnsi="仿宋" w:eastAsia="仿宋" w:cs="仿宋"/>
          <w:b/>
          <w:bCs/>
          <w:sz w:val="44"/>
          <w:szCs w:val="44"/>
        </w:rPr>
        <w:t>道县</w:t>
      </w:r>
      <w:r>
        <w:rPr>
          <w:rFonts w:ascii="宋体" w:hAnsi="宋体" w:cs="Tahoma"/>
          <w:b/>
          <w:sz w:val="36"/>
          <w:szCs w:val="36"/>
        </w:rPr>
        <w:t>月岩-周敦颐故里风景名胜区管理处</w:t>
      </w:r>
    </w:p>
    <w:p w14:paraId="0A904182">
      <w:pPr>
        <w:jc w:val="center"/>
        <w:rPr>
          <w:rFonts w:ascii="仿宋" w:hAnsi="仿宋" w:eastAsia="仿宋" w:cs="仿宋"/>
          <w:b/>
          <w:bCs/>
          <w:sz w:val="44"/>
          <w:szCs w:val="44"/>
        </w:rPr>
      </w:pPr>
      <w:r>
        <w:rPr>
          <w:rFonts w:hint="eastAsia" w:ascii="仿宋" w:hAnsi="仿宋" w:eastAsia="仿宋" w:cs="仿宋"/>
          <w:b/>
          <w:bCs/>
          <w:sz w:val="44"/>
          <w:szCs w:val="44"/>
        </w:rPr>
        <w:t>绩效自评报告</w:t>
      </w:r>
    </w:p>
    <w:p w14:paraId="4652AD34">
      <w:pPr>
        <w:ind w:firstLine="602" w:firstLineChars="200"/>
        <w:rPr>
          <w:rFonts w:ascii="仿宋" w:hAnsi="仿宋" w:eastAsia="仿宋" w:cs="仿宋"/>
          <w:b/>
          <w:bCs/>
          <w:sz w:val="30"/>
          <w:szCs w:val="30"/>
        </w:rPr>
      </w:pPr>
      <w:r>
        <w:rPr>
          <w:rFonts w:hint="eastAsia" w:ascii="仿宋" w:hAnsi="仿宋" w:eastAsia="仿宋" w:cs="仿宋"/>
          <w:b/>
          <w:bCs/>
          <w:sz w:val="30"/>
          <w:szCs w:val="30"/>
        </w:rPr>
        <w:t>一、基本情况</w:t>
      </w:r>
    </w:p>
    <w:p w14:paraId="134F4159">
      <w:pPr>
        <w:ind w:firstLine="560" w:firstLineChars="200"/>
        <w:rPr>
          <w:rFonts w:ascii="仿宋" w:hAnsi="仿宋" w:eastAsia="仿宋" w:cs="仿宋"/>
          <w:sz w:val="28"/>
          <w:szCs w:val="28"/>
        </w:rPr>
      </w:pPr>
      <w:r>
        <w:rPr>
          <w:rFonts w:hint="eastAsia" w:ascii="仿宋" w:hAnsi="仿宋" w:eastAsia="仿宋" w:cs="仿宋"/>
          <w:sz w:val="28"/>
          <w:szCs w:val="28"/>
        </w:rPr>
        <w:t>(一）部门（单位）基本情况</w:t>
      </w:r>
    </w:p>
    <w:p w14:paraId="158339D8">
      <w:pPr>
        <w:ind w:firstLine="560" w:firstLineChars="200"/>
        <w:rPr>
          <w:rFonts w:ascii="仿宋" w:hAnsi="仿宋" w:eastAsia="仿宋" w:cs="仿宋"/>
          <w:sz w:val="28"/>
          <w:szCs w:val="28"/>
        </w:rPr>
      </w:pPr>
      <w:r>
        <w:rPr>
          <w:rFonts w:hint="eastAsia" w:ascii="仿宋" w:hAnsi="仿宋" w:eastAsia="仿宋" w:cs="仿宋"/>
          <w:sz w:val="28"/>
          <w:szCs w:val="28"/>
        </w:rPr>
        <w:t>月岩-周敦颐故里风景名胜区管理处为副处级单位，内设4个科室:综合办公室、旅游发展科、工程建设科、文物保护科，编制数16人，其中正副科级7人，其它人员7人，实际在岗15人，另借调2人，实有车辆0台。</w:t>
      </w:r>
    </w:p>
    <w:p w14:paraId="2E896AA0">
      <w:pPr>
        <w:ind w:firstLine="600"/>
        <w:rPr>
          <w:rFonts w:ascii="仿宋" w:hAnsi="仿宋" w:eastAsia="仿宋" w:cs="仿宋"/>
          <w:sz w:val="28"/>
          <w:szCs w:val="28"/>
        </w:rPr>
      </w:pPr>
      <w:r>
        <w:rPr>
          <w:rFonts w:hint="eastAsia" w:ascii="仿宋" w:hAnsi="仿宋" w:eastAsia="仿宋" w:cs="仿宋"/>
          <w:sz w:val="28"/>
          <w:szCs w:val="28"/>
        </w:rPr>
        <w:t>主要职能 ：</w:t>
      </w:r>
    </w:p>
    <w:p w14:paraId="3F2A1BBA">
      <w:pPr>
        <w:ind w:firstLine="560" w:firstLineChars="200"/>
        <w:rPr>
          <w:rFonts w:ascii="仿宋" w:hAnsi="仿宋" w:eastAsia="仿宋" w:cs="仿宋"/>
          <w:sz w:val="28"/>
          <w:szCs w:val="28"/>
        </w:rPr>
      </w:pPr>
      <w:r>
        <w:rPr>
          <w:rFonts w:hint="eastAsia" w:ascii="仿宋" w:hAnsi="仿宋" w:eastAsia="仿宋" w:cs="仿宋"/>
          <w:sz w:val="28"/>
          <w:szCs w:val="28"/>
        </w:rPr>
        <w:t xml:space="preserve"> 根据《湖南省风景名胜区管理条例》规定，月岩-周敦颐故里风景名胜区管理处主要是保护月岩、周敦颐故里、玉蟾岩国保单位的古迹，开发名胜古迹，供游人参观</w:t>
      </w:r>
    </w:p>
    <w:p w14:paraId="0518668A">
      <w:pPr>
        <w:ind w:firstLine="560" w:firstLineChars="200"/>
        <w:rPr>
          <w:rFonts w:ascii="仿宋" w:hAnsi="仿宋" w:eastAsia="仿宋" w:cs="仿宋"/>
          <w:sz w:val="28"/>
          <w:szCs w:val="28"/>
        </w:rPr>
      </w:pPr>
      <w:r>
        <w:rPr>
          <w:rFonts w:hint="eastAsia" w:ascii="仿宋" w:hAnsi="仿宋" w:eastAsia="仿宋" w:cs="仿宋"/>
          <w:sz w:val="28"/>
          <w:szCs w:val="28"/>
        </w:rPr>
        <w:t>（二）部门（单位）年度整体支出绩效目标，省级专项资金绩效目标、其他项目支出（除省级专项资金以外）绩效目标</w:t>
      </w:r>
    </w:p>
    <w:p w14:paraId="355C6E81">
      <w:pPr>
        <w:ind w:left="150" w:firstLine="560" w:firstLineChars="200"/>
        <w:rPr>
          <w:rFonts w:ascii="仿宋" w:hAnsi="仿宋" w:eastAsia="仿宋" w:cs="仿宋"/>
          <w:sz w:val="28"/>
          <w:szCs w:val="28"/>
        </w:rPr>
      </w:pPr>
      <w:r>
        <w:rPr>
          <w:rFonts w:hint="eastAsia" w:ascii="仿宋" w:hAnsi="仿宋" w:eastAsia="仿宋" w:cs="仿宋"/>
          <w:sz w:val="28"/>
          <w:szCs w:val="28"/>
        </w:rPr>
        <w:t>1、年度总体支出绩效目标：</w:t>
      </w:r>
    </w:p>
    <w:p w14:paraId="2702C143">
      <w:pPr>
        <w:adjustRightInd w:val="0"/>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目标1、完成对濂溪总祠项目的立项、放线、踏界、设计、预算。</w:t>
      </w:r>
    </w:p>
    <w:p w14:paraId="569EC429">
      <w:pPr>
        <w:adjustRightInd w:val="0"/>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目标2、完成月岩景区停车场新建厕所工程的建设、验收，财政结算评审。</w:t>
      </w:r>
    </w:p>
    <w:p w14:paraId="0D412D95">
      <w:pPr>
        <w:adjustRightInd w:val="0"/>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目标3、完成周敦颐故居布展的设计和预算。</w:t>
      </w:r>
    </w:p>
    <w:p w14:paraId="121D3712">
      <w:pPr>
        <w:adjustRightInd w:val="0"/>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目标4、完成风景区疑似图斑核查。</w:t>
      </w:r>
    </w:p>
    <w:p w14:paraId="52F0ABCB">
      <w:pPr>
        <w:adjustRightInd w:val="0"/>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目标5、完成濂溪故里古建筑群修缮二期工程的设计。</w:t>
      </w:r>
    </w:p>
    <w:p w14:paraId="4E9E1B95">
      <w:pPr>
        <w:adjustRightInd w:val="0"/>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目标6、完成濂溪故里古建筑群安防、防雷计划项目上报省文物局。</w:t>
      </w:r>
    </w:p>
    <w:p w14:paraId="12CA1478">
      <w:pPr>
        <w:adjustRightInd w:val="0"/>
        <w:snapToGrid w:val="0"/>
        <w:spacing w:line="600" w:lineRule="exact"/>
        <w:ind w:left="559" w:leftChars="266"/>
        <w:rPr>
          <w:rFonts w:ascii="仿宋_GB2312" w:eastAsia="仿宋_GB2312"/>
          <w:sz w:val="28"/>
          <w:szCs w:val="28"/>
        </w:rPr>
      </w:pPr>
      <w:r>
        <w:rPr>
          <w:rFonts w:hint="eastAsia" w:ascii="仿宋_GB2312" w:eastAsia="仿宋_GB2312"/>
          <w:sz w:val="28"/>
          <w:szCs w:val="28"/>
        </w:rPr>
        <w:t>目标7、加强基础建设，完善景区遗留部分断头路和安全护栏。             目标8、智慧景区、导视系统（标识标牌）等工程均处在建设和不断完善中。</w:t>
      </w:r>
    </w:p>
    <w:p w14:paraId="77E41179">
      <w:pPr>
        <w:ind w:firstLine="602" w:firstLineChars="200"/>
        <w:rPr>
          <w:rFonts w:ascii="仿宋" w:hAnsi="仿宋" w:eastAsia="仿宋" w:cs="仿宋"/>
          <w:b/>
          <w:bCs/>
          <w:sz w:val="30"/>
          <w:szCs w:val="30"/>
        </w:rPr>
      </w:pPr>
      <w:r>
        <w:rPr>
          <w:rFonts w:hint="eastAsia" w:ascii="仿宋" w:hAnsi="仿宋" w:eastAsia="仿宋" w:cs="仿宋"/>
          <w:b/>
          <w:bCs/>
          <w:sz w:val="30"/>
          <w:szCs w:val="30"/>
        </w:rPr>
        <w:t>二、一般公共预算支出情况</w:t>
      </w:r>
    </w:p>
    <w:p w14:paraId="48F83E6E">
      <w:pPr>
        <w:adjustRightInd w:val="0"/>
        <w:snapToGrid w:val="0"/>
        <w:spacing w:line="600" w:lineRule="exact"/>
        <w:ind w:firstLine="641"/>
        <w:rPr>
          <w:rFonts w:ascii="仿宋" w:hAnsi="仿宋" w:eastAsia="仿宋" w:cs="仿宋"/>
          <w:b/>
          <w:bCs/>
          <w:sz w:val="28"/>
          <w:szCs w:val="28"/>
        </w:rPr>
      </w:pPr>
      <w:r>
        <w:rPr>
          <w:rFonts w:hint="eastAsia" w:ascii="仿宋" w:hAnsi="仿宋" w:eastAsia="仿宋" w:cs="仿宋"/>
          <w:sz w:val="28"/>
          <w:szCs w:val="28"/>
          <w:lang w:eastAsia="zh-CN"/>
        </w:rPr>
        <w:t>2025年</w:t>
      </w:r>
      <w:r>
        <w:rPr>
          <w:rFonts w:hint="eastAsia" w:ascii="仿宋" w:hAnsi="仿宋" w:eastAsia="仿宋" w:cs="仿宋"/>
          <w:sz w:val="28"/>
          <w:szCs w:val="28"/>
        </w:rPr>
        <w:t>月岩-周敦颐故里风景名胜区管理处整体支出6156.16万元。一般公共预算财政拨款收入</w:t>
      </w:r>
      <w:r>
        <w:rPr>
          <w:rFonts w:hint="eastAsia" w:ascii="仿宋" w:hAnsi="仿宋" w:eastAsia="仿宋" w:cs="仿宋"/>
          <w:sz w:val="28"/>
          <w:szCs w:val="28"/>
          <w:lang w:val="en-US" w:eastAsia="zh-CN"/>
        </w:rPr>
        <w:t>461.50</w:t>
      </w:r>
      <w:r>
        <w:rPr>
          <w:rFonts w:hint="eastAsia" w:ascii="仿宋" w:hAnsi="仿宋" w:eastAsia="仿宋" w:cs="仿宋"/>
          <w:sz w:val="28"/>
          <w:szCs w:val="28"/>
        </w:rPr>
        <w:t>万元。</w:t>
      </w:r>
    </w:p>
    <w:p w14:paraId="033709FA">
      <w:pPr>
        <w:numPr>
          <w:ilvl w:val="0"/>
          <w:numId w:val="1"/>
        </w:numPr>
        <w:ind w:firstLine="560" w:firstLineChars="200"/>
        <w:rPr>
          <w:rFonts w:ascii="仿宋_GB2312" w:eastAsia="仿宋_GB2312"/>
          <w:sz w:val="28"/>
          <w:szCs w:val="28"/>
        </w:rPr>
      </w:pPr>
      <w:r>
        <w:rPr>
          <w:rFonts w:hint="eastAsia" w:ascii="仿宋" w:hAnsi="仿宋" w:eastAsia="仿宋" w:cs="仿宋"/>
          <w:sz w:val="28"/>
          <w:szCs w:val="28"/>
        </w:rPr>
        <w:t>基本支出情况：基本支出</w:t>
      </w:r>
      <w:r>
        <w:rPr>
          <w:rFonts w:hint="eastAsia" w:ascii="仿宋" w:hAnsi="仿宋" w:eastAsia="仿宋" w:cs="仿宋"/>
          <w:sz w:val="28"/>
          <w:szCs w:val="28"/>
          <w:lang w:val="en-US" w:eastAsia="zh-CN"/>
        </w:rPr>
        <w:t>209.50</w:t>
      </w:r>
      <w:r>
        <w:rPr>
          <w:rFonts w:hint="eastAsia" w:ascii="仿宋" w:hAnsi="仿宋" w:eastAsia="仿宋" w:cs="仿宋"/>
          <w:sz w:val="28"/>
          <w:szCs w:val="28"/>
        </w:rPr>
        <w:t>万元，</w:t>
      </w:r>
      <w:r>
        <w:rPr>
          <w:rFonts w:hint="eastAsia" w:ascii="仿宋" w:hAnsi="仿宋" w:eastAsia="仿宋" w:cs="仿宋"/>
          <w:sz w:val="28"/>
          <w:szCs w:val="28"/>
          <w:lang w:eastAsia="zh-CN"/>
        </w:rPr>
        <w:t>工资福利支出189.63万元：</w:t>
      </w:r>
      <w:r>
        <w:rPr>
          <w:rFonts w:hint="eastAsia" w:ascii="仿宋" w:hAnsi="仿宋" w:eastAsia="仿宋" w:cs="仿宋"/>
          <w:sz w:val="28"/>
          <w:szCs w:val="28"/>
        </w:rPr>
        <w:t>基本工资</w:t>
      </w:r>
      <w:r>
        <w:rPr>
          <w:rFonts w:hint="eastAsia" w:ascii="仿宋_GB2312" w:eastAsia="仿宋_GB2312"/>
          <w:sz w:val="28"/>
          <w:szCs w:val="28"/>
        </w:rPr>
        <w:t>支出75.08万元,</w:t>
      </w:r>
      <w:r>
        <w:rPr>
          <w:rFonts w:hint="eastAsia" w:ascii="仿宋_GB2312" w:eastAsia="仿宋_GB2312"/>
          <w:sz w:val="28"/>
          <w:szCs w:val="28"/>
          <w:lang w:eastAsia="zh-CN"/>
        </w:rPr>
        <w:t>津贴补贴5.59万元，</w:t>
      </w:r>
      <w:r>
        <w:rPr>
          <w:rFonts w:hint="eastAsia" w:ascii="仿宋_GB2312" w:eastAsia="仿宋_GB2312"/>
          <w:sz w:val="28"/>
          <w:szCs w:val="28"/>
        </w:rPr>
        <w:t>奖金39.34万元,绩效工资</w:t>
      </w:r>
      <w:r>
        <w:rPr>
          <w:rFonts w:hint="eastAsia" w:ascii="仿宋_GB2312" w:eastAsia="仿宋_GB2312"/>
          <w:sz w:val="28"/>
          <w:szCs w:val="28"/>
          <w:lang w:val="en-US" w:eastAsia="zh-CN"/>
        </w:rPr>
        <w:t>25.99</w:t>
      </w:r>
      <w:r>
        <w:rPr>
          <w:rFonts w:hint="eastAsia" w:ascii="仿宋_GB2312" w:eastAsia="仿宋_GB2312"/>
          <w:sz w:val="28"/>
          <w:szCs w:val="28"/>
        </w:rPr>
        <w:t>万元,</w:t>
      </w:r>
      <w:r>
        <w:rPr>
          <w:rFonts w:hint="eastAsia" w:ascii="仿宋" w:hAnsi="仿宋" w:eastAsia="仿宋" w:cs="仿宋"/>
          <w:sz w:val="28"/>
          <w:szCs w:val="28"/>
        </w:rPr>
        <w:t>基本养老保险</w:t>
      </w:r>
      <w:r>
        <w:rPr>
          <w:rFonts w:hint="eastAsia" w:ascii="仿宋" w:hAnsi="仿宋" w:eastAsia="仿宋" w:cs="仿宋"/>
          <w:sz w:val="28"/>
          <w:szCs w:val="28"/>
          <w:lang w:val="en-US" w:eastAsia="zh-CN"/>
        </w:rPr>
        <w:t>16.12</w:t>
      </w:r>
      <w:r>
        <w:rPr>
          <w:rFonts w:hint="eastAsia" w:ascii="仿宋" w:hAnsi="仿宋" w:eastAsia="仿宋" w:cs="仿宋"/>
          <w:sz w:val="28"/>
          <w:szCs w:val="28"/>
        </w:rPr>
        <w:t>万元，医疗保险经费</w:t>
      </w:r>
      <w:r>
        <w:rPr>
          <w:rFonts w:hint="eastAsia" w:ascii="仿宋" w:hAnsi="仿宋" w:eastAsia="仿宋" w:cs="仿宋"/>
          <w:sz w:val="28"/>
          <w:szCs w:val="28"/>
          <w:lang w:val="en-US" w:eastAsia="zh-CN"/>
        </w:rPr>
        <w:t>8.77</w:t>
      </w:r>
      <w:r>
        <w:rPr>
          <w:rFonts w:hint="eastAsia" w:ascii="仿宋" w:hAnsi="仿宋" w:eastAsia="仿宋" w:cs="仿宋"/>
          <w:sz w:val="28"/>
          <w:szCs w:val="28"/>
        </w:rPr>
        <w:t>万元，住房公积金</w:t>
      </w:r>
      <w:r>
        <w:rPr>
          <w:rFonts w:hint="eastAsia" w:ascii="仿宋" w:hAnsi="仿宋" w:eastAsia="仿宋" w:cs="仿宋"/>
          <w:sz w:val="28"/>
          <w:szCs w:val="28"/>
          <w:lang w:val="en-US" w:eastAsia="zh-CN"/>
        </w:rPr>
        <w:t>17.49</w:t>
      </w:r>
      <w:r>
        <w:rPr>
          <w:rFonts w:hint="eastAsia" w:ascii="仿宋" w:hAnsi="仿宋" w:eastAsia="仿宋" w:cs="仿宋"/>
          <w:sz w:val="28"/>
          <w:szCs w:val="28"/>
        </w:rPr>
        <w:t>万元。</w:t>
      </w:r>
      <w:r>
        <w:rPr>
          <w:rFonts w:hint="eastAsia" w:ascii="仿宋_GB2312" w:eastAsia="仿宋_GB2312"/>
          <w:sz w:val="28"/>
          <w:szCs w:val="28"/>
        </w:rPr>
        <w:t>一般商品服务支出23.75万元：办公费</w:t>
      </w:r>
      <w:r>
        <w:rPr>
          <w:rFonts w:hint="eastAsia" w:ascii="仿宋_GB2312" w:eastAsia="仿宋_GB2312"/>
          <w:sz w:val="28"/>
          <w:szCs w:val="28"/>
          <w:lang w:val="en-US" w:eastAsia="zh-CN"/>
        </w:rPr>
        <w:t>4.68</w:t>
      </w:r>
      <w:r>
        <w:rPr>
          <w:rFonts w:hint="eastAsia" w:ascii="仿宋_GB2312" w:eastAsia="仿宋_GB2312"/>
          <w:sz w:val="28"/>
          <w:szCs w:val="28"/>
        </w:rPr>
        <w:t>万元；印刷费</w:t>
      </w:r>
      <w:r>
        <w:rPr>
          <w:rFonts w:hint="eastAsia" w:ascii="仿宋_GB2312" w:eastAsia="仿宋_GB2312"/>
          <w:sz w:val="28"/>
          <w:szCs w:val="28"/>
          <w:lang w:val="en-US" w:eastAsia="zh-CN"/>
        </w:rPr>
        <w:t>5.95</w:t>
      </w:r>
      <w:r>
        <w:rPr>
          <w:rFonts w:hint="eastAsia" w:ascii="仿宋_GB2312" w:eastAsia="仿宋_GB2312"/>
          <w:sz w:val="28"/>
          <w:szCs w:val="28"/>
        </w:rPr>
        <w:t>万元；水费0.</w:t>
      </w:r>
      <w:r>
        <w:rPr>
          <w:rFonts w:hint="eastAsia" w:ascii="仿宋_GB2312" w:eastAsia="仿宋_GB2312"/>
          <w:sz w:val="28"/>
          <w:szCs w:val="28"/>
          <w:lang w:val="en-US" w:eastAsia="zh-CN"/>
        </w:rPr>
        <w:t>7</w:t>
      </w:r>
      <w:r>
        <w:rPr>
          <w:rFonts w:hint="eastAsia" w:ascii="仿宋_GB2312" w:eastAsia="仿宋_GB2312"/>
          <w:sz w:val="28"/>
          <w:szCs w:val="28"/>
        </w:rPr>
        <w:t>0万元；电费</w:t>
      </w:r>
      <w:r>
        <w:rPr>
          <w:rFonts w:hint="eastAsia" w:ascii="仿宋_GB2312" w:eastAsia="仿宋_GB2312"/>
          <w:sz w:val="28"/>
          <w:szCs w:val="28"/>
          <w:lang w:val="en-US" w:eastAsia="zh-CN"/>
        </w:rPr>
        <w:t>1.38</w:t>
      </w:r>
      <w:r>
        <w:rPr>
          <w:rFonts w:hint="eastAsia" w:ascii="仿宋_GB2312" w:eastAsia="仿宋_GB2312"/>
          <w:sz w:val="28"/>
          <w:szCs w:val="28"/>
        </w:rPr>
        <w:t>万元；</w:t>
      </w:r>
      <w:r>
        <w:rPr>
          <w:rFonts w:hint="eastAsia" w:ascii="仿宋_GB2312" w:eastAsia="仿宋_GB2312"/>
          <w:sz w:val="28"/>
          <w:szCs w:val="28"/>
          <w:lang w:eastAsia="zh-CN"/>
        </w:rPr>
        <w:t>维修（护）费</w:t>
      </w:r>
      <w:r>
        <w:rPr>
          <w:rFonts w:hint="eastAsia" w:ascii="仿宋_GB2312" w:eastAsia="仿宋_GB2312"/>
          <w:sz w:val="28"/>
          <w:szCs w:val="28"/>
          <w:lang w:val="en-US" w:eastAsia="zh-CN"/>
        </w:rPr>
        <w:t>1.86</w:t>
      </w:r>
      <w:r>
        <w:rPr>
          <w:rFonts w:hint="eastAsia" w:ascii="仿宋_GB2312" w:eastAsia="仿宋_GB2312"/>
          <w:sz w:val="28"/>
          <w:szCs w:val="28"/>
        </w:rPr>
        <w:t>万元；工会经费</w:t>
      </w:r>
      <w:r>
        <w:rPr>
          <w:rFonts w:hint="eastAsia" w:ascii="仿宋_GB2312" w:eastAsia="仿宋_GB2312"/>
          <w:sz w:val="28"/>
          <w:szCs w:val="28"/>
          <w:lang w:val="en-US" w:eastAsia="zh-CN"/>
        </w:rPr>
        <w:t>4.00</w:t>
      </w:r>
      <w:r>
        <w:rPr>
          <w:rFonts w:hint="eastAsia" w:ascii="仿宋_GB2312" w:eastAsia="仿宋_GB2312"/>
          <w:sz w:val="28"/>
          <w:szCs w:val="28"/>
        </w:rPr>
        <w:t>万元；</w:t>
      </w:r>
      <w:r>
        <w:rPr>
          <w:rFonts w:hint="eastAsia" w:ascii="仿宋_GB2312" w:eastAsia="仿宋_GB2312"/>
          <w:sz w:val="28"/>
          <w:szCs w:val="28"/>
          <w:lang w:eastAsia="zh-CN"/>
        </w:rPr>
        <w:t>福利费</w:t>
      </w:r>
      <w:r>
        <w:rPr>
          <w:rFonts w:hint="eastAsia" w:ascii="仿宋_GB2312" w:eastAsia="仿宋_GB2312"/>
          <w:sz w:val="28"/>
          <w:szCs w:val="28"/>
          <w:lang w:val="en-US" w:eastAsia="zh-CN"/>
        </w:rPr>
        <w:t>1.30</w:t>
      </w:r>
      <w:r>
        <w:rPr>
          <w:rFonts w:hint="eastAsia" w:ascii="仿宋_GB2312" w:eastAsia="仿宋_GB2312"/>
          <w:sz w:val="28"/>
          <w:szCs w:val="28"/>
        </w:rPr>
        <w:t>万元。</w:t>
      </w:r>
    </w:p>
    <w:p w14:paraId="23FDF66F">
      <w:pPr>
        <w:rPr>
          <w:rFonts w:ascii="仿宋_GB2312" w:eastAsia="仿宋_GB2312"/>
          <w:sz w:val="28"/>
          <w:szCs w:val="28"/>
        </w:rPr>
      </w:pPr>
      <w:r>
        <w:rPr>
          <w:rFonts w:hint="eastAsia" w:ascii="仿宋" w:hAnsi="仿宋" w:eastAsia="仿宋" w:cs="仿宋"/>
          <w:sz w:val="28"/>
          <w:szCs w:val="28"/>
        </w:rPr>
        <w:t>（二）项目支出情况：</w:t>
      </w:r>
      <w:r>
        <w:rPr>
          <w:rFonts w:hint="eastAsia" w:ascii="仿宋_GB2312" w:eastAsia="仿宋_GB2312"/>
          <w:sz w:val="28"/>
          <w:szCs w:val="28"/>
          <w:lang w:eastAsia="zh-CN"/>
        </w:rPr>
        <w:t>2025年</w:t>
      </w:r>
      <w:r>
        <w:rPr>
          <w:rFonts w:hint="eastAsia" w:ascii="仿宋_GB2312" w:eastAsia="仿宋_GB2312"/>
          <w:sz w:val="28"/>
          <w:szCs w:val="28"/>
        </w:rPr>
        <w:t>年初预算数为</w:t>
      </w:r>
      <w:r>
        <w:rPr>
          <w:rFonts w:hint="eastAsia" w:ascii="仿宋_GB2312" w:eastAsia="仿宋_GB2312"/>
          <w:sz w:val="28"/>
          <w:szCs w:val="28"/>
          <w:lang w:val="en-US" w:eastAsia="zh-CN"/>
        </w:rPr>
        <w:t>252.00</w:t>
      </w:r>
      <w:r>
        <w:rPr>
          <w:rFonts w:hint="eastAsia" w:ascii="仿宋_GB2312" w:eastAsia="仿宋_GB2312"/>
          <w:sz w:val="28"/>
          <w:szCs w:val="28"/>
        </w:rPr>
        <w:t>万元，其中：周敦颐故里运营管理经费（专批）</w:t>
      </w:r>
      <w:r>
        <w:rPr>
          <w:rFonts w:hint="eastAsia" w:ascii="仿宋_GB2312" w:eastAsia="仿宋_GB2312"/>
          <w:sz w:val="28"/>
          <w:szCs w:val="28"/>
          <w:lang w:val="en-US" w:eastAsia="zh-CN"/>
        </w:rPr>
        <w:t>170.00</w:t>
      </w:r>
      <w:r>
        <w:rPr>
          <w:rFonts w:hint="eastAsia" w:ascii="仿宋_GB2312" w:eastAsia="仿宋_GB2312"/>
          <w:sz w:val="28"/>
          <w:szCs w:val="28"/>
        </w:rPr>
        <w:t>万元；月岩玉蟾岩楼田故里保护经费（核拨）</w:t>
      </w:r>
      <w:r>
        <w:rPr>
          <w:rFonts w:hint="eastAsia" w:ascii="仿宋_GB2312" w:eastAsia="仿宋_GB2312"/>
          <w:sz w:val="28"/>
          <w:szCs w:val="28"/>
          <w:lang w:val="en-US" w:eastAsia="zh-CN"/>
        </w:rPr>
        <w:t>13.00</w:t>
      </w:r>
      <w:r>
        <w:rPr>
          <w:rFonts w:hint="eastAsia" w:ascii="仿宋_GB2312" w:eastAsia="仿宋_GB2312"/>
          <w:sz w:val="28"/>
          <w:szCs w:val="28"/>
        </w:rPr>
        <w:t>万元；周子理学文化协会</w:t>
      </w:r>
      <w:r>
        <w:rPr>
          <w:rFonts w:hint="eastAsia" w:ascii="仿宋_GB2312" w:eastAsia="仿宋_GB2312"/>
          <w:sz w:val="28"/>
          <w:szCs w:val="28"/>
          <w:lang w:val="en-US" w:eastAsia="zh-CN"/>
        </w:rPr>
        <w:t>10.00</w:t>
      </w:r>
      <w:r>
        <w:rPr>
          <w:rFonts w:hint="eastAsia" w:ascii="仿宋_GB2312" w:eastAsia="仿宋_GB2312"/>
          <w:sz w:val="28"/>
          <w:szCs w:val="28"/>
        </w:rPr>
        <w:t>万元；游客集散中心荷花池租金</w:t>
      </w:r>
      <w:r>
        <w:rPr>
          <w:rFonts w:hint="eastAsia" w:ascii="仿宋_GB2312" w:eastAsia="仿宋_GB2312"/>
          <w:sz w:val="28"/>
          <w:szCs w:val="28"/>
          <w:lang w:val="en-US" w:eastAsia="zh-CN"/>
        </w:rPr>
        <w:t>8.00</w:t>
      </w:r>
      <w:r>
        <w:rPr>
          <w:rFonts w:hint="eastAsia" w:ascii="仿宋_GB2312" w:eastAsia="仿宋_GB2312"/>
          <w:sz w:val="28"/>
          <w:szCs w:val="28"/>
        </w:rPr>
        <w:t>万元；“楼田惨案”爱教基地经费6</w:t>
      </w:r>
      <w:r>
        <w:rPr>
          <w:rFonts w:hint="eastAsia" w:ascii="仿宋_GB2312" w:eastAsia="仿宋_GB2312"/>
          <w:sz w:val="28"/>
          <w:szCs w:val="28"/>
          <w:lang w:val="en-US" w:eastAsia="zh-CN"/>
        </w:rPr>
        <w:t>.00</w:t>
      </w:r>
      <w:r>
        <w:rPr>
          <w:rFonts w:hint="eastAsia" w:ascii="仿宋_GB2312" w:eastAsia="仿宋_GB2312"/>
          <w:sz w:val="28"/>
          <w:szCs w:val="28"/>
        </w:rPr>
        <w:t>万元；自然保护地巡查、核查、执法（专批）</w:t>
      </w:r>
      <w:r>
        <w:rPr>
          <w:rFonts w:hint="eastAsia" w:ascii="仿宋_GB2312" w:eastAsia="仿宋_GB2312"/>
          <w:sz w:val="28"/>
          <w:szCs w:val="28"/>
          <w:lang w:val="en-US" w:eastAsia="zh-CN"/>
        </w:rPr>
        <w:t>3.00</w:t>
      </w:r>
      <w:r>
        <w:rPr>
          <w:rFonts w:hint="eastAsia" w:ascii="仿宋_GB2312" w:eastAsia="仿宋_GB2312"/>
          <w:sz w:val="28"/>
          <w:szCs w:val="28"/>
        </w:rPr>
        <w:t>万元； 廉洁文化展示馆建设</w:t>
      </w:r>
      <w:r>
        <w:rPr>
          <w:rFonts w:hint="eastAsia" w:ascii="仿宋_GB2312" w:eastAsia="仿宋_GB2312"/>
          <w:sz w:val="28"/>
          <w:szCs w:val="28"/>
          <w:lang w:val="en-US" w:eastAsia="zh-CN"/>
        </w:rPr>
        <w:t>42.00</w:t>
      </w:r>
      <w:r>
        <w:rPr>
          <w:rFonts w:hint="eastAsia" w:ascii="仿宋_GB2312" w:eastAsia="仿宋_GB2312"/>
          <w:sz w:val="28"/>
          <w:szCs w:val="28"/>
        </w:rPr>
        <w:t>万元。</w:t>
      </w:r>
    </w:p>
    <w:p w14:paraId="697BDC9D">
      <w:pPr>
        <w:pStyle w:val="18"/>
        <w:ind w:firstLineChars="200"/>
      </w:pPr>
    </w:p>
    <w:p w14:paraId="0D5671C7">
      <w:pPr>
        <w:ind w:firstLine="602" w:firstLineChars="200"/>
        <w:rPr>
          <w:rFonts w:ascii="仿宋" w:hAnsi="仿宋" w:eastAsia="仿宋" w:cs="仿宋"/>
          <w:b/>
          <w:bCs/>
          <w:sz w:val="30"/>
          <w:szCs w:val="30"/>
        </w:rPr>
      </w:pPr>
      <w:r>
        <w:rPr>
          <w:rFonts w:hint="eastAsia" w:ascii="仿宋" w:hAnsi="仿宋" w:eastAsia="仿宋" w:cs="仿宋"/>
          <w:b/>
          <w:bCs/>
          <w:sz w:val="30"/>
          <w:szCs w:val="30"/>
        </w:rPr>
        <w:t>三、政府性基金预算支出情况</w:t>
      </w:r>
    </w:p>
    <w:p w14:paraId="46A1F5DC">
      <w:pPr>
        <w:pStyle w:val="18"/>
        <w:rPr>
          <w:rFonts w:ascii="仿宋" w:hAnsi="仿宋" w:eastAsia="仿宋" w:cs="仿宋"/>
          <w:sz w:val="28"/>
          <w:szCs w:val="28"/>
        </w:rPr>
      </w:pPr>
      <w:r>
        <w:rPr>
          <w:rFonts w:hint="eastAsia" w:ascii="仿宋" w:hAnsi="仿宋" w:eastAsia="仿宋" w:cs="仿宋"/>
          <w:sz w:val="28"/>
          <w:szCs w:val="28"/>
        </w:rPr>
        <w:t>月岩-周敦颐故里风景名胜区管理处</w:t>
      </w:r>
      <w:r>
        <w:rPr>
          <w:rFonts w:hint="eastAsia" w:ascii="仿宋" w:hAnsi="仿宋" w:eastAsia="仿宋" w:cs="仿宋"/>
          <w:sz w:val="28"/>
          <w:szCs w:val="28"/>
          <w:lang w:eastAsia="zh-CN"/>
        </w:rPr>
        <w:t>2025年</w:t>
      </w:r>
      <w:r>
        <w:rPr>
          <w:rFonts w:hint="eastAsia" w:ascii="仿宋" w:hAnsi="仿宋" w:eastAsia="仿宋" w:cs="仿宋"/>
          <w:sz w:val="28"/>
          <w:szCs w:val="28"/>
        </w:rPr>
        <w:t>政府性基金预算</w:t>
      </w:r>
      <w:r>
        <w:rPr>
          <w:rFonts w:hint="eastAsia" w:ascii="仿宋" w:hAnsi="仿宋" w:eastAsia="仿宋" w:cs="仿宋"/>
          <w:sz w:val="28"/>
          <w:szCs w:val="28"/>
          <w:lang w:val="en-US" w:eastAsia="zh-CN"/>
        </w:rPr>
        <w:t>5694.66</w:t>
      </w:r>
      <w:r>
        <w:rPr>
          <w:rFonts w:hint="eastAsia" w:ascii="仿宋" w:hAnsi="仿宋" w:eastAsia="仿宋" w:cs="仿宋"/>
          <w:sz w:val="28"/>
          <w:szCs w:val="28"/>
        </w:rPr>
        <w:t>万元,其中:月岩景区提质升级建设项目</w:t>
      </w:r>
      <w:r>
        <w:rPr>
          <w:rFonts w:hint="eastAsia" w:ascii="仿宋" w:hAnsi="仿宋" w:eastAsia="仿宋" w:cs="仿宋"/>
          <w:sz w:val="28"/>
          <w:szCs w:val="28"/>
          <w:lang w:val="en-US" w:eastAsia="zh-CN"/>
        </w:rPr>
        <w:t>5500.00</w:t>
      </w:r>
      <w:r>
        <w:rPr>
          <w:rFonts w:hint="eastAsia" w:ascii="仿宋" w:hAnsi="仿宋" w:eastAsia="仿宋" w:cs="仿宋"/>
          <w:sz w:val="28"/>
          <w:szCs w:val="28"/>
        </w:rPr>
        <w:t>万元; 濂溪故里景区提质升级建设项目</w:t>
      </w:r>
      <w:r>
        <w:rPr>
          <w:rFonts w:hint="eastAsia" w:ascii="仿宋" w:hAnsi="仿宋" w:eastAsia="仿宋" w:cs="仿宋"/>
          <w:sz w:val="28"/>
          <w:szCs w:val="28"/>
          <w:lang w:val="en-US" w:eastAsia="zh-CN"/>
        </w:rPr>
        <w:t>194.66</w:t>
      </w:r>
      <w:r>
        <w:rPr>
          <w:rFonts w:hint="eastAsia" w:ascii="仿宋" w:hAnsi="仿宋" w:eastAsia="仿宋" w:cs="仿宋"/>
          <w:sz w:val="28"/>
          <w:szCs w:val="28"/>
        </w:rPr>
        <w:t>万元。</w:t>
      </w:r>
    </w:p>
    <w:p w14:paraId="538C86EB">
      <w:pPr>
        <w:ind w:firstLine="602" w:firstLineChars="200"/>
        <w:rPr>
          <w:rFonts w:ascii="仿宋" w:hAnsi="仿宋" w:eastAsia="仿宋" w:cs="仿宋"/>
          <w:b/>
          <w:bCs/>
          <w:sz w:val="30"/>
          <w:szCs w:val="30"/>
        </w:rPr>
      </w:pPr>
      <w:r>
        <w:rPr>
          <w:rFonts w:hint="eastAsia" w:ascii="仿宋" w:hAnsi="仿宋" w:eastAsia="仿宋" w:cs="仿宋"/>
          <w:b/>
          <w:bCs/>
          <w:sz w:val="30"/>
          <w:szCs w:val="30"/>
        </w:rPr>
        <w:t>四、国有资本经营预算支出情况</w:t>
      </w:r>
    </w:p>
    <w:p w14:paraId="14CFEBE0">
      <w:pPr>
        <w:ind w:firstLine="560" w:firstLineChars="200"/>
        <w:rPr>
          <w:rFonts w:ascii="仿宋" w:hAnsi="仿宋" w:eastAsia="仿宋" w:cs="仿宋"/>
          <w:b/>
          <w:bCs/>
          <w:sz w:val="30"/>
          <w:szCs w:val="30"/>
        </w:rPr>
      </w:pPr>
      <w:r>
        <w:rPr>
          <w:rFonts w:hint="eastAsia" w:ascii="仿宋" w:hAnsi="仿宋" w:eastAsia="仿宋" w:cs="仿宋"/>
          <w:sz w:val="28"/>
          <w:szCs w:val="28"/>
        </w:rPr>
        <w:t>月岩-周敦颐故里风景名胜区管理处</w:t>
      </w:r>
      <w:r>
        <w:rPr>
          <w:rFonts w:hint="eastAsia" w:ascii="仿宋" w:hAnsi="仿宋" w:eastAsia="仿宋" w:cs="仿宋"/>
          <w:sz w:val="28"/>
          <w:szCs w:val="28"/>
          <w:lang w:eastAsia="zh-CN"/>
        </w:rPr>
        <w:t>2025年</w:t>
      </w:r>
      <w:r>
        <w:rPr>
          <w:rFonts w:hint="eastAsia" w:ascii="仿宋" w:hAnsi="仿宋" w:eastAsia="仿宋" w:cs="仿宋"/>
          <w:sz w:val="28"/>
          <w:szCs w:val="28"/>
        </w:rPr>
        <w:t>无国有资本经营预算支出。</w:t>
      </w:r>
    </w:p>
    <w:p w14:paraId="699EC157">
      <w:pPr>
        <w:rPr>
          <w:rFonts w:ascii="仿宋" w:hAnsi="仿宋" w:eastAsia="仿宋" w:cs="仿宋"/>
          <w:b/>
          <w:bCs/>
          <w:sz w:val="30"/>
          <w:szCs w:val="30"/>
        </w:rPr>
      </w:pPr>
      <w:r>
        <w:rPr>
          <w:rFonts w:hint="eastAsia" w:ascii="仿宋" w:hAnsi="仿宋" w:eastAsia="仿宋" w:cs="仿宋"/>
          <w:b/>
          <w:bCs/>
          <w:sz w:val="30"/>
          <w:szCs w:val="30"/>
        </w:rPr>
        <w:t xml:space="preserve">    五、社会保险基金预算支出情况</w:t>
      </w:r>
    </w:p>
    <w:p w14:paraId="337F50AF">
      <w:pPr>
        <w:ind w:firstLine="560" w:firstLineChars="200"/>
        <w:rPr>
          <w:rFonts w:ascii="仿宋" w:hAnsi="仿宋" w:eastAsia="仿宋" w:cs="仿宋"/>
          <w:sz w:val="28"/>
          <w:szCs w:val="28"/>
        </w:rPr>
      </w:pPr>
      <w:r>
        <w:rPr>
          <w:rFonts w:hint="eastAsia" w:ascii="仿宋" w:hAnsi="仿宋" w:eastAsia="仿宋" w:cs="仿宋"/>
          <w:sz w:val="28"/>
          <w:szCs w:val="28"/>
        </w:rPr>
        <w:t>月岩-周敦颐故里风景名胜区管理处</w:t>
      </w:r>
      <w:r>
        <w:rPr>
          <w:rFonts w:hint="eastAsia" w:ascii="仿宋" w:hAnsi="仿宋" w:eastAsia="仿宋" w:cs="仿宋"/>
          <w:sz w:val="28"/>
          <w:szCs w:val="28"/>
          <w:lang w:eastAsia="zh-CN"/>
        </w:rPr>
        <w:t>2025年</w:t>
      </w:r>
      <w:r>
        <w:rPr>
          <w:rFonts w:hint="eastAsia" w:ascii="仿宋" w:hAnsi="仿宋" w:eastAsia="仿宋" w:cs="仿宋"/>
          <w:sz w:val="28"/>
          <w:szCs w:val="28"/>
        </w:rPr>
        <w:t>无社会保险基金预算支出。</w:t>
      </w:r>
    </w:p>
    <w:p w14:paraId="091D06DC">
      <w:pPr>
        <w:numPr>
          <w:ilvl w:val="0"/>
          <w:numId w:val="2"/>
        </w:numPr>
        <w:ind w:firstLine="602" w:firstLineChars="200"/>
        <w:rPr>
          <w:rFonts w:ascii="仿宋" w:hAnsi="仿宋" w:eastAsia="仿宋" w:cs="仿宋"/>
          <w:b/>
          <w:bCs/>
          <w:sz w:val="30"/>
          <w:szCs w:val="30"/>
        </w:rPr>
      </w:pPr>
      <w:r>
        <w:rPr>
          <w:rFonts w:hint="eastAsia" w:ascii="仿宋" w:hAnsi="仿宋" w:eastAsia="仿宋" w:cs="仿宋"/>
          <w:b/>
          <w:bCs/>
          <w:sz w:val="30"/>
          <w:szCs w:val="30"/>
        </w:rPr>
        <w:t>部门整体支出绩效情况</w:t>
      </w:r>
    </w:p>
    <w:p w14:paraId="4B0271C4">
      <w:pPr>
        <w:pStyle w:val="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2025年，管理处在县委、县政府的坚强领导下，坚持以新时代中国特色社会主义思想为指导，深入贯彻落实国家、省市文旅部门关于推动文化遗产保护传承与旅游深度融合发展的系列部署，奋力推进景区高质量发展，取得了一定成绩。濂溪故里，获国防科技大学授与“廉洁文化育人基地”、获湖南劳动人事职业学院授与“大思政课”实践教学基地荣誉。现将工作情况汇报如下：</w:t>
      </w:r>
    </w:p>
    <w:p w14:paraId="1AE1E476">
      <w:pPr>
        <w:adjustRightInd w:val="0"/>
        <w:snapToGrid w:val="0"/>
        <w:spacing w:line="560" w:lineRule="exact"/>
        <w:ind w:firstLine="560" w:firstLineChars="200"/>
        <w:rPr>
          <w:rFonts w:hint="eastAsia" w:ascii="仿宋" w:hAnsi="仿宋" w:eastAsia="仿宋" w:cs="仿宋"/>
          <w:kern w:val="2"/>
          <w:sz w:val="28"/>
          <w:szCs w:val="28"/>
          <w:lang w:val="en-US" w:eastAsia="zh-CN" w:bidi="ar-SA"/>
        </w:rPr>
      </w:pPr>
      <w:bookmarkStart w:id="6" w:name="_GoBack"/>
      <w:bookmarkEnd w:id="6"/>
      <w:r>
        <w:rPr>
          <w:rFonts w:hint="eastAsia" w:ascii="仿宋" w:hAnsi="仿宋" w:eastAsia="仿宋" w:cs="仿宋"/>
          <w:kern w:val="2"/>
          <w:sz w:val="28"/>
          <w:szCs w:val="28"/>
          <w:lang w:val="en-US" w:eastAsia="zh-CN" w:bidi="ar-SA"/>
        </w:rPr>
        <w:t>（一）强化思想引领，政治立场坚定不动摇。一是抓实政治理论学习。始终把政治建设摆在首位，积极开展深入贯彻中央八项规定精神学习教育，党的二十届四中全会精神学习，引导班子成员及全体干部职工增强“四个意识”、坚定“四个自信”、做到“两个维护”。截至目前，开展理论中心组集中学习1</w:t>
      </w:r>
      <w:r>
        <w:rPr>
          <w:rFonts w:hint="default" w:ascii="仿宋" w:hAnsi="仿宋" w:eastAsia="仿宋" w:cs="仿宋"/>
          <w:kern w:val="2"/>
          <w:sz w:val="28"/>
          <w:szCs w:val="28"/>
          <w:lang w:val="en" w:eastAsia="zh-CN" w:bidi="ar-SA"/>
        </w:rPr>
        <w:t>2</w:t>
      </w:r>
      <w:r>
        <w:rPr>
          <w:rFonts w:hint="eastAsia" w:ascii="仿宋" w:hAnsi="仿宋" w:eastAsia="仿宋" w:cs="仿宋"/>
          <w:kern w:val="2"/>
          <w:sz w:val="28"/>
          <w:szCs w:val="28"/>
          <w:lang w:val="en-US" w:eastAsia="zh-CN" w:bidi="ar-SA"/>
        </w:rPr>
        <w:t>次，专题研讨</w:t>
      </w:r>
      <w:r>
        <w:rPr>
          <w:rFonts w:hint="default" w:ascii="仿宋" w:hAnsi="仿宋" w:eastAsia="仿宋" w:cs="仿宋"/>
          <w:kern w:val="2"/>
          <w:sz w:val="28"/>
          <w:szCs w:val="28"/>
          <w:lang w:val="en" w:eastAsia="zh-CN" w:bidi="ar-SA"/>
        </w:rPr>
        <w:t>12</w:t>
      </w:r>
      <w:r>
        <w:rPr>
          <w:rFonts w:hint="eastAsia" w:ascii="仿宋" w:hAnsi="仿宋" w:eastAsia="仿宋" w:cs="仿宋"/>
          <w:kern w:val="2"/>
          <w:sz w:val="28"/>
          <w:szCs w:val="28"/>
          <w:lang w:val="en-US" w:eastAsia="zh-CN" w:bidi="ar-SA"/>
        </w:rPr>
        <w:t>次；开展深入贯彻中央八项规定精神学习教育，举办专题读书班2期，集中学习研讨5次，县级领导上专题党课1次；召开了支部委员会12次和党员大会7次，支部书记上专题党课4次，主题党日活动12次。二是深化党风廉政建设。准确把握党中央全面从严治党战略部署，结合清廉道州建设，组织领导干部签订《党风廉政建设责任书》，所有党员签订《廉政承诺书》。常态化开展廉政警示教育，打造“濂溪清风”廉政教育示范点，引导干部职工遵循廉洁自律准则，坚决贯彻落实中央八项规定及其实施细则精神。严格执行“三重一大”集体决策制度，推动党建与管理深度融合。三是落实意识形态责任。及时调整意识形态领域工作领导小组，制定《意识形态工作责任制实施办法》，全年召开意识形态专题部署会2次、形势研判会2次。组织排查讲解词、宣传展板、文创产品等方面的风险点8处并及时整改到位。牢牢掌握意识形态工作主动权</w:t>
      </w:r>
      <w:r>
        <w:rPr>
          <w:rFonts w:hint="default" w:ascii="仿宋" w:hAnsi="仿宋" w:eastAsia="仿宋" w:cs="仿宋"/>
          <w:kern w:val="2"/>
          <w:sz w:val="28"/>
          <w:szCs w:val="28"/>
          <w:lang w:val="en" w:eastAsia="zh-CN" w:bidi="ar-SA"/>
        </w:rPr>
        <w:t>,</w:t>
      </w:r>
      <w:r>
        <w:rPr>
          <w:rFonts w:hint="eastAsia" w:ascii="仿宋" w:hAnsi="仿宋" w:eastAsia="仿宋" w:cs="仿宋"/>
          <w:kern w:val="2"/>
          <w:sz w:val="28"/>
          <w:szCs w:val="28"/>
          <w:lang w:val="en-US" w:eastAsia="zh-CN" w:bidi="ar-SA"/>
        </w:rPr>
        <w:t>严格落实网络信息“三审三校”制度，加强景区微信公众号等新媒体平台管理，组建舆情监测小组，妥善处置游客咨询类舆情，全年未发生重大网络负面事件。</w:t>
      </w:r>
    </w:p>
    <w:p w14:paraId="4165FC3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（二）优化宣传服务 ，擦亮濂溪文化名片。一是基地建设成效显著。不断拓展景区文化内涵，弘扬周敦颐廉洁思想的当代价值，将景区打造成党员干部倡廉树廉打卡地、理学文化传承传播地、湖湘文化探源研学地。2025年濂溪故里，获国防科技大学授与“廉洁文化育人基地”、获湖南劳动人事职业学院授与“大思政课”实践教学基地等荣誉。二是接待服务深受好评。今年来，党政机关廉政教育游、爱国主题教育游、中小学生研学游等游学项目持续火爆，游客数量、满意度不断攀升，全年接待各类游客大约40万人次。圆满完成全国妇联、全国书法协会、省委、省政府、永州市委、市政协、中国美术学院、国防科技大学等国家、省、市各级重宾考察、专家学者调研等接待任务，获上级领导和来宾一致好评。三是主题活动丰富出彩。结合“我们的节日”“中国旅游日”及周敦颐纪念日，举办“最美女生、欢聚濂溪”“清明缅怀先贤·传承清廉家风”“美好中国·幸福旅程”“莲香千年·理传万代”等系列主题活动，吸引了众多国内外学者、文化爱好者和游客前来参与，极大地提升了景区的知名度和影响力。四是宣传推广有声有色。拍摄《理学源乡·濂溪风光》《理学源乡·月岩仙踪》等宣传片，与国防科技大学合作打造《濂溪清风》廉洁教育思政作品，通过网络直播《走进千年廉脉，涵养廉洁之基》思政大课堂。与湖南劳动人事职业学院合作推出《爱莲种莲·说莲品莲》等八个作品，将濂溪故里打造成廉洁教育生动课堂。“濂溪书院许愿牌”等温暖小故事纷纷被新华社、人民网、中国军号、红网等主要官媒推介，传播爱国拥军正能量。联动湘超体育赛事，发布《从濂溪故里发往莲城深处的情书》《致岳麓书院：共溯“濂溪一脉”，同扬湘水余波》，有力提升了景区知名度。</w:t>
      </w:r>
    </w:p>
    <w:p w14:paraId="47986B62">
      <w:pPr>
        <w:adjustRightInd w:val="0"/>
        <w:snapToGrid w:val="0"/>
        <w:spacing w:line="560" w:lineRule="exact"/>
        <w:ind w:firstLine="560" w:firstLineChars="200"/>
        <w:rPr>
          <w:rFonts w:hint="eastAsia" w:ascii="仿宋" w:hAnsi="仿宋" w:eastAsia="仿宋" w:cs="仿宋"/>
          <w:kern w:val="2"/>
          <w:sz w:val="28"/>
          <w:szCs w:val="28"/>
          <w:lang w:val="en-US" w:eastAsia="zh-CN" w:bidi="ar-SA"/>
        </w:rPr>
      </w:pPr>
      <w:bookmarkStart w:id="0" w:name="OLE_LINK6"/>
      <w:bookmarkStart w:id="1" w:name="OLE_LINK5"/>
      <w:r>
        <w:rPr>
          <w:rFonts w:hint="eastAsia" w:ascii="仿宋" w:hAnsi="仿宋" w:eastAsia="仿宋" w:cs="仿宋"/>
          <w:kern w:val="2"/>
          <w:sz w:val="28"/>
          <w:szCs w:val="28"/>
          <w:lang w:val="en-US" w:eastAsia="zh-CN" w:bidi="ar-SA"/>
        </w:rPr>
        <w:t>（三）推进项目建设，夯实旅游发展基础。一是重点项目有序推进。濂溪故里景区提质升级项目，2025年2月27日完成招标，中标金额709.95万元，已完成濂溪书院木结构维修刷漆、荷花池补种、广场升降舞台维护等工作。月岩景区创AAA级旅游基础设施项目，含景区设施（估算1900万元）、道路改造（估算380万元）、S347路面改善（估算3560万元）三部分，目前已完成一期初步设计、地形测绘及选址论证，道路提质工程完成设计送审，S347路面改善工程9月19日完成招标（中标金额3329.23万元），预计2026年7月完工。化解拖欠企业账款项目13个，累计支付267.58万元，及时解决了历史遗留问题。还有2个50万元以上拖欠企业账款项目正在财政结算评审，年底可以完成。二是项目申报成效显著。积极申报了濂溪故里古建筑群防雷、月岩摩崖石刻文物本体修缮、月岩摩崖石刻数字化利用等项目。深化《玉蟾岩危岩体项目设计方案》修编，上报《濂溪故里古建筑群文物保护规划（2023-2035年）》，完成《玉蟾岩遗址保护规划》修编初稿并征求专家意见。实施完成濂溪故里古建筑群消防提质项目；成功申报安防项目获国家专项资金352万元（到位228万元），项目正在实施；古建筑群二期保护修缮项目通过市级初验，已向省文物局申请了终验。</w:t>
      </w:r>
      <w:bookmarkEnd w:id="0"/>
      <w:bookmarkEnd w:id="1"/>
    </w:p>
    <w:p w14:paraId="53FF29E9">
      <w:pPr>
        <w:adjustRightInd w:val="0"/>
        <w:snapToGrid w:val="0"/>
        <w:spacing w:line="600" w:lineRule="exact"/>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（四）抓实职责职能，提升景区管理水平。</w:t>
      </w:r>
      <w:bookmarkStart w:id="2" w:name="OLE_LINK9"/>
      <w:bookmarkStart w:id="3" w:name="OLE_LINK10"/>
      <w:r>
        <w:rPr>
          <w:rFonts w:hint="eastAsia" w:ascii="仿宋" w:hAnsi="仿宋" w:eastAsia="仿宋" w:cs="仿宋"/>
          <w:kern w:val="2"/>
          <w:sz w:val="28"/>
          <w:szCs w:val="28"/>
          <w:lang w:val="en-US" w:eastAsia="zh-CN" w:bidi="ar-SA"/>
        </w:rPr>
        <w:t>一是文物保护精准施策。聚焦濂溪故里古建筑群、月岩摩崖石刻和玉蟾岩遗址3处国家重点文物保护，严格落实“保护第一、加强管理”方针，完成核心文物定期监测与日常维护，重点强化18栋国保建筑防火工作，筑牢文物安全防线。二是设施设备定期维护。定期对景区内的道路、桥梁、栏杆、标识牌等基础设施进行检查和维护，确保游客的安全。同时，根据游客的需求和景区的发展，对濂溪书院进行提质改造，提升了游客的游览体验。三是景区管理精细规范。依据《周敦颐故里景区入驻物业公司考核办法》对入驻的物业公司进行管理，完善《景区绿化管养考核办法》《应急预案》等制度，成立安全管理委员会落实岗位责任制；新增4名保洁人员、加密垃圾清运频次，特别是在节假日活动期间，加大重点区域清扫力度；四是自然保护地有序推进。根据永州市林业局关于交办2025年度自然保护地全面监督生态环境问题线索的函，共现场核查图斑9个，均无需整改；完善项目审批流程，共审批建房申请6户、林业采伐申请5人次。</w:t>
      </w:r>
      <w:bookmarkEnd w:id="2"/>
      <w:bookmarkEnd w:id="3"/>
      <w:bookmarkStart w:id="4" w:name="OLE_LINK12"/>
      <w:bookmarkStart w:id="5" w:name="OLE_LINK11"/>
    </w:p>
    <w:p w14:paraId="4BB25313">
      <w:pPr>
        <w:adjustRightInd w:val="0"/>
        <w:snapToGrid w:val="0"/>
        <w:spacing w:line="600" w:lineRule="exact"/>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五）狠抓组织实施，提升中心工作质效。一是安全生产常抓不懈。压实安全生产责任，制定《安全生产责任考核表》，明确班子成员、各科室各岗位的安全生产职责。全年召开专题会议5次，针对景区古建筑群文物保护单位、游客密集场所、消防设施等重点领域，开展隐患排查36次，整改隐患6处、整改率100%；完善应急预案，组织消防、游客疏散演练2次；实行保安和消防控制室24小时值班，节假日增派人员巡逻监控，全年未发生安全事故。二是结对帮扶成效显著。紧扣乡村振兴战略，高质量完成月岩村结对帮扶任务，组织干部常态化入户走访，落实“五一个”活动要求，精准掌握结对户情况、解决实际问题。组织开展支部与帮扶村联建活动，联合上党课、开展主题党日活动，提升基层党组织凝聚力和战斗力。2025年月岩村集体经济收入稳步增长，脱贫攻坚成果得到持续巩固。三是学法用法规范到位。将党内法规及法律法规学习纳入干部队伍建设重点内容，推动学法用法常态化、制度化。梳理形成《应知应会党内法规清单》《景区管理相关法律法规规章清单》，涵盖《中国共产党章程》《中国共产党廉洁自律准则》《旅游法》《文物保护法》等。利用理论学习中心组、“三会一课”党员活动，组织管理处干部学习法律法规，全体干部职工参与全县普法培训考试，并将成绩纳入年终考核。严格执行文物保护、旅游服务、安全生产等方面的法律法规，强化依法履职，全年未发生违法违规行政行为，景区管理法治化水平显著提升。</w:t>
      </w:r>
    </w:p>
    <w:bookmarkEnd w:id="4"/>
    <w:bookmarkEnd w:id="5"/>
    <w:p w14:paraId="13BE014F">
      <w:pPr>
        <w:rPr>
          <w:rFonts w:ascii="仿宋" w:hAnsi="仿宋" w:eastAsia="仿宋" w:cs="仿宋"/>
          <w:b/>
          <w:bCs/>
          <w:sz w:val="30"/>
          <w:szCs w:val="30"/>
        </w:rPr>
      </w:pPr>
      <w:r>
        <w:rPr>
          <w:rFonts w:hint="eastAsia" w:ascii="仿宋" w:hAnsi="仿宋" w:eastAsia="仿宋" w:cs="仿宋"/>
          <w:b/>
          <w:bCs/>
          <w:sz w:val="30"/>
          <w:szCs w:val="30"/>
        </w:rPr>
        <w:t>七、存在的问题及原因分析</w:t>
      </w:r>
    </w:p>
    <w:p w14:paraId="2256AD17">
      <w:pPr>
        <w:pStyle w:val="10"/>
        <w:widowControl/>
        <w:spacing w:beforeAutospacing="0" w:afterAutospacing="0" w:line="33" w:lineRule="atLeast"/>
        <w:ind w:firstLine="420"/>
        <w:jc w:val="both"/>
        <w:rPr>
          <w:rFonts w:ascii="仿宋" w:hAnsi="仿宋" w:eastAsia="仿宋" w:cs="仿宋"/>
          <w:kern w:val="2"/>
          <w:sz w:val="28"/>
          <w:szCs w:val="28"/>
        </w:rPr>
      </w:pPr>
      <w:r>
        <w:rPr>
          <w:rFonts w:hint="eastAsia" w:ascii="仿宋" w:hAnsi="仿宋" w:eastAsia="仿宋" w:cs="仿宋"/>
          <w:kern w:val="2"/>
          <w:sz w:val="28"/>
          <w:szCs w:val="28"/>
        </w:rPr>
        <w:t>一是专项资金拨付不及时，资金使用与专项工作运行时间不对口，凸显出账目不规范。</w:t>
      </w:r>
    </w:p>
    <w:p w14:paraId="30B98048">
      <w:pPr>
        <w:pStyle w:val="10"/>
        <w:widowControl/>
        <w:spacing w:beforeAutospacing="0" w:afterAutospacing="0" w:line="33" w:lineRule="atLeast"/>
        <w:ind w:firstLine="420"/>
        <w:jc w:val="both"/>
        <w:rPr>
          <w:rFonts w:ascii="仿宋" w:hAnsi="仿宋" w:eastAsia="仿宋" w:cs="仿宋"/>
          <w:kern w:val="2"/>
          <w:sz w:val="28"/>
          <w:szCs w:val="28"/>
        </w:rPr>
      </w:pPr>
      <w:r>
        <w:rPr>
          <w:rFonts w:hint="eastAsia" w:ascii="仿宋" w:hAnsi="仿宋" w:eastAsia="仿宋" w:cs="仿宋"/>
          <w:kern w:val="2"/>
          <w:sz w:val="28"/>
          <w:szCs w:val="28"/>
        </w:rPr>
        <w:t>二是财政预算安排单项工作经费不足，难于足额保障开展专项工作。</w:t>
      </w:r>
    </w:p>
    <w:p w14:paraId="7FEDA7E6">
      <w:pPr>
        <w:ind w:firstLine="602" w:firstLineChars="200"/>
        <w:rPr>
          <w:rFonts w:ascii="仿宋" w:hAnsi="仿宋" w:eastAsia="仿宋" w:cs="仿宋"/>
          <w:b/>
          <w:bCs/>
          <w:sz w:val="30"/>
          <w:szCs w:val="30"/>
        </w:rPr>
      </w:pPr>
      <w:r>
        <w:rPr>
          <w:rFonts w:hint="eastAsia" w:ascii="仿宋" w:hAnsi="仿宋" w:eastAsia="仿宋" w:cs="仿宋"/>
          <w:b/>
          <w:bCs/>
          <w:sz w:val="30"/>
          <w:szCs w:val="30"/>
        </w:rPr>
        <w:t>八、下一步改进措施</w:t>
      </w:r>
    </w:p>
    <w:p w14:paraId="636C6C3C">
      <w:pPr>
        <w:ind w:firstLine="560" w:firstLineChars="200"/>
        <w:rPr>
          <w:rFonts w:ascii="仿宋" w:hAnsi="仿宋" w:eastAsia="仿宋" w:cs="仿宋"/>
          <w:sz w:val="28"/>
          <w:szCs w:val="28"/>
        </w:rPr>
      </w:pPr>
      <w:r>
        <w:rPr>
          <w:rFonts w:hint="eastAsia" w:ascii="仿宋" w:hAnsi="仿宋" w:eastAsia="仿宋" w:cs="仿宋"/>
          <w:sz w:val="28"/>
          <w:szCs w:val="28"/>
        </w:rPr>
        <w:t xml:space="preserve">    1、严格按照《会计法》、《行政事业单位会计制度》等规定执行财务核算，结合实际情况，完整、准确披露相关信息，做到决算和预算相结合。</w:t>
      </w:r>
    </w:p>
    <w:p w14:paraId="60BF2FCC">
      <w:pPr>
        <w:ind w:firstLine="560" w:firstLineChars="200"/>
        <w:rPr>
          <w:rFonts w:ascii="仿宋" w:hAnsi="仿宋" w:eastAsia="仿宋" w:cs="仿宋"/>
          <w:sz w:val="28"/>
          <w:szCs w:val="28"/>
        </w:rPr>
      </w:pPr>
      <w:r>
        <w:rPr>
          <w:rFonts w:hint="eastAsia" w:ascii="仿宋" w:hAnsi="仿宋" w:eastAsia="仿宋" w:cs="仿宋"/>
          <w:sz w:val="28"/>
          <w:szCs w:val="28"/>
        </w:rPr>
        <w:t>2、加强资金的使用管理，让各类资金用到实处。</w:t>
      </w:r>
    </w:p>
    <w:p w14:paraId="7F0449D8">
      <w:pPr>
        <w:ind w:firstLine="560" w:firstLineChars="200"/>
        <w:rPr>
          <w:rFonts w:ascii="仿宋" w:hAnsi="仿宋" w:eastAsia="仿宋" w:cs="仿宋"/>
          <w:sz w:val="28"/>
          <w:szCs w:val="28"/>
        </w:rPr>
      </w:pPr>
      <w:r>
        <w:rPr>
          <w:rFonts w:hint="eastAsia" w:ascii="仿宋" w:hAnsi="仿宋" w:eastAsia="仿宋" w:cs="仿宋"/>
          <w:sz w:val="28"/>
          <w:szCs w:val="28"/>
        </w:rPr>
        <w:t>3、加强队伍建设，抓好绩效评价管理部门的队伍建设和业务指导，培养部门的绩效管理队伍，建立绩效评价的长期机制。</w:t>
      </w:r>
    </w:p>
    <w:p w14:paraId="05E60A6A">
      <w:pPr>
        <w:ind w:firstLine="602" w:firstLineChars="200"/>
        <w:rPr>
          <w:rFonts w:ascii="仿宋" w:hAnsi="仿宋" w:eastAsia="仿宋" w:cs="仿宋"/>
          <w:b/>
          <w:bCs/>
          <w:sz w:val="30"/>
          <w:szCs w:val="30"/>
        </w:rPr>
      </w:pPr>
      <w:r>
        <w:rPr>
          <w:rFonts w:hint="eastAsia" w:ascii="仿宋" w:hAnsi="仿宋" w:eastAsia="仿宋" w:cs="仿宋"/>
          <w:b/>
          <w:bCs/>
          <w:sz w:val="30"/>
          <w:szCs w:val="30"/>
        </w:rPr>
        <w:t>九、绩效自评结果拟应用和公开情况</w:t>
      </w:r>
    </w:p>
    <w:p w14:paraId="70482BE1">
      <w:pPr>
        <w:ind w:firstLine="560" w:firstLineChars="200"/>
        <w:rPr>
          <w:rFonts w:ascii="仿宋" w:hAnsi="仿宋" w:eastAsia="仿宋" w:cs="仿宋"/>
          <w:sz w:val="28"/>
          <w:szCs w:val="28"/>
        </w:rPr>
      </w:pPr>
      <w:r>
        <w:rPr>
          <w:rFonts w:hint="eastAsia" w:ascii="仿宋" w:hAnsi="仿宋" w:eastAsia="仿宋" w:cs="仿宋"/>
          <w:sz w:val="28"/>
          <w:szCs w:val="28"/>
        </w:rPr>
        <w:t>本年度绩效自评结果为90分。按规定时间内将</w:t>
      </w:r>
      <w:r>
        <w:rPr>
          <w:rFonts w:hint="eastAsia" w:ascii="仿宋" w:hAnsi="仿宋" w:eastAsia="仿宋" w:cs="仿宋"/>
          <w:sz w:val="28"/>
          <w:szCs w:val="28"/>
          <w:lang w:eastAsia="zh-CN"/>
        </w:rPr>
        <w:t>2025年</w:t>
      </w:r>
      <w:r>
        <w:rPr>
          <w:rFonts w:hint="eastAsia" w:ascii="仿宋" w:hAnsi="仿宋" w:eastAsia="仿宋" w:cs="仿宋"/>
          <w:sz w:val="28"/>
          <w:szCs w:val="28"/>
        </w:rPr>
        <w:t>度专项资金绩效自评报告、整体部门支出绩效自评报告在本部门门户网站公开，并接受社会监督。</w:t>
      </w:r>
    </w:p>
    <w:p w14:paraId="3054E518">
      <w:pPr>
        <w:ind w:firstLine="560" w:firstLineChars="200"/>
        <w:rPr>
          <w:rFonts w:ascii="仿宋" w:hAnsi="仿宋" w:eastAsia="仿宋" w:cs="仿宋"/>
          <w:sz w:val="28"/>
          <w:szCs w:val="28"/>
        </w:rPr>
      </w:pPr>
    </w:p>
    <w:p w14:paraId="27F0FDAC">
      <w:pPr>
        <w:ind w:firstLine="3640" w:firstLineChars="1300"/>
        <w:rPr>
          <w:rFonts w:ascii="仿宋" w:hAnsi="仿宋" w:eastAsia="仿宋" w:cs="仿宋"/>
          <w:sz w:val="28"/>
          <w:szCs w:val="28"/>
        </w:rPr>
      </w:pPr>
      <w:r>
        <w:rPr>
          <w:rFonts w:hint="eastAsia" w:ascii="仿宋" w:hAnsi="仿宋" w:eastAsia="仿宋" w:cs="仿宋"/>
          <w:sz w:val="28"/>
          <w:szCs w:val="28"/>
        </w:rPr>
        <w:t>月岩-周敦颐故里风景名胜区管理处</w:t>
      </w:r>
    </w:p>
    <w:p w14:paraId="596E209F">
      <w:pPr>
        <w:ind w:firstLine="5040" w:firstLineChars="1800"/>
        <w:rPr>
          <w:rFonts w:ascii="仿宋" w:hAnsi="仿宋" w:eastAsia="仿宋" w:cs="仿宋"/>
          <w:sz w:val="28"/>
          <w:szCs w:val="28"/>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11</w:t>
      </w:r>
      <w:r>
        <w:rPr>
          <w:rFonts w:hint="eastAsia" w:ascii="仿宋" w:hAnsi="仿宋" w:eastAsia="仿宋" w:cs="仿宋"/>
          <w:sz w:val="28"/>
          <w:szCs w:val="28"/>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A18EF">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ADEB">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FB6DD"/>
    <w:multiLevelType w:val="singleLevel"/>
    <w:tmpl w:val="937FB6DD"/>
    <w:lvl w:ilvl="0" w:tentative="0">
      <w:start w:val="1"/>
      <w:numFmt w:val="chineseCounting"/>
      <w:suff w:val="nothing"/>
      <w:lvlText w:val="（%1）"/>
      <w:lvlJc w:val="left"/>
      <w:rPr>
        <w:rFonts w:hint="eastAsia"/>
      </w:rPr>
    </w:lvl>
  </w:abstractNum>
  <w:abstractNum w:abstractNumId="1">
    <w:nsid w:val="4F828F93"/>
    <w:multiLevelType w:val="singleLevel"/>
    <w:tmpl w:val="4F828F93"/>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4F006C35"/>
    <w:rsid w:val="0012622B"/>
    <w:rsid w:val="001820FC"/>
    <w:rsid w:val="0032682F"/>
    <w:rsid w:val="00364CC6"/>
    <w:rsid w:val="00414E00"/>
    <w:rsid w:val="005001F2"/>
    <w:rsid w:val="005F3A01"/>
    <w:rsid w:val="006F03CD"/>
    <w:rsid w:val="007F6F53"/>
    <w:rsid w:val="008756EB"/>
    <w:rsid w:val="00904B91"/>
    <w:rsid w:val="009754F9"/>
    <w:rsid w:val="00991945"/>
    <w:rsid w:val="009970B9"/>
    <w:rsid w:val="00A273F1"/>
    <w:rsid w:val="00B87628"/>
    <w:rsid w:val="00BC79E5"/>
    <w:rsid w:val="00C83028"/>
    <w:rsid w:val="00D91D64"/>
    <w:rsid w:val="00DB0C25"/>
    <w:rsid w:val="01C374A4"/>
    <w:rsid w:val="0716706A"/>
    <w:rsid w:val="07D948DF"/>
    <w:rsid w:val="085E716A"/>
    <w:rsid w:val="09E60C62"/>
    <w:rsid w:val="09F31EAA"/>
    <w:rsid w:val="0C9A3229"/>
    <w:rsid w:val="0CFC7C9D"/>
    <w:rsid w:val="0DD70DB2"/>
    <w:rsid w:val="14163CCF"/>
    <w:rsid w:val="157F6A54"/>
    <w:rsid w:val="16866209"/>
    <w:rsid w:val="17CC54FE"/>
    <w:rsid w:val="18245CDA"/>
    <w:rsid w:val="18A64941"/>
    <w:rsid w:val="1A5B57DB"/>
    <w:rsid w:val="1B184C46"/>
    <w:rsid w:val="1C9F4596"/>
    <w:rsid w:val="1EF33F6B"/>
    <w:rsid w:val="1FEB1AFE"/>
    <w:rsid w:val="223C00C4"/>
    <w:rsid w:val="22D8603F"/>
    <w:rsid w:val="240551AC"/>
    <w:rsid w:val="263C7466"/>
    <w:rsid w:val="269E3638"/>
    <w:rsid w:val="274218B7"/>
    <w:rsid w:val="2A5166A8"/>
    <w:rsid w:val="2A6E153E"/>
    <w:rsid w:val="2C106B5A"/>
    <w:rsid w:val="2CDC0EAA"/>
    <w:rsid w:val="2D0B0DBF"/>
    <w:rsid w:val="2F5527C5"/>
    <w:rsid w:val="2FB074B5"/>
    <w:rsid w:val="30721C2C"/>
    <w:rsid w:val="31061FC9"/>
    <w:rsid w:val="32877139"/>
    <w:rsid w:val="334353D9"/>
    <w:rsid w:val="34AE49D0"/>
    <w:rsid w:val="35093A19"/>
    <w:rsid w:val="357340DF"/>
    <w:rsid w:val="358931C8"/>
    <w:rsid w:val="379255DF"/>
    <w:rsid w:val="397D4DF2"/>
    <w:rsid w:val="39E00A56"/>
    <w:rsid w:val="3AC747F7"/>
    <w:rsid w:val="3B0C4810"/>
    <w:rsid w:val="3EDF341D"/>
    <w:rsid w:val="42ED4D97"/>
    <w:rsid w:val="44A80D14"/>
    <w:rsid w:val="45D946F3"/>
    <w:rsid w:val="46C93D6D"/>
    <w:rsid w:val="4BA315D5"/>
    <w:rsid w:val="4CA3296A"/>
    <w:rsid w:val="4F006C35"/>
    <w:rsid w:val="504B75A0"/>
    <w:rsid w:val="50693AB1"/>
    <w:rsid w:val="50C80BF1"/>
    <w:rsid w:val="50FE4613"/>
    <w:rsid w:val="52176237"/>
    <w:rsid w:val="55AE33DC"/>
    <w:rsid w:val="567E4586"/>
    <w:rsid w:val="56FD1342"/>
    <w:rsid w:val="59E940B2"/>
    <w:rsid w:val="59FC2416"/>
    <w:rsid w:val="5B486143"/>
    <w:rsid w:val="5CFA1828"/>
    <w:rsid w:val="5FBE38EB"/>
    <w:rsid w:val="63612F0B"/>
    <w:rsid w:val="63883F0F"/>
    <w:rsid w:val="64B928D3"/>
    <w:rsid w:val="666F001B"/>
    <w:rsid w:val="669058B5"/>
    <w:rsid w:val="680D0D29"/>
    <w:rsid w:val="68E6659E"/>
    <w:rsid w:val="69D25FD9"/>
    <w:rsid w:val="6A356EA0"/>
    <w:rsid w:val="6D9E7CFB"/>
    <w:rsid w:val="6E8F4ADF"/>
    <w:rsid w:val="6F40256E"/>
    <w:rsid w:val="6F7B5355"/>
    <w:rsid w:val="73415548"/>
    <w:rsid w:val="73434E2C"/>
    <w:rsid w:val="75297AE2"/>
    <w:rsid w:val="760B5C09"/>
    <w:rsid w:val="76BB5CB8"/>
    <w:rsid w:val="779D6FAB"/>
    <w:rsid w:val="78D868D2"/>
    <w:rsid w:val="78F46879"/>
    <w:rsid w:val="7A543372"/>
    <w:rsid w:val="7A8D4CD4"/>
    <w:rsid w:val="7D7F0706"/>
    <w:rsid w:val="7DDB02E8"/>
    <w:rsid w:val="7E5F70DF"/>
    <w:rsid w:val="7FD949EC"/>
    <w:rsid w:val="7FFA7A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rPr>
      <w:rFonts w:ascii="Times New Roman" w:hAnsi="Times New Roman" w:eastAsia="宋体" w:cs="Times New Roman"/>
    </w:rPr>
  </w:style>
  <w:style w:type="paragraph" w:styleId="3">
    <w:name w:val="Body Text"/>
    <w:basedOn w:val="1"/>
    <w:next w:val="4"/>
    <w:autoRedefine/>
    <w:unhideWhenUsed/>
    <w:qFormat/>
    <w:uiPriority w:val="99"/>
    <w:pPr>
      <w:spacing w:after="120"/>
    </w:pPr>
  </w:style>
  <w:style w:type="paragraph" w:customStyle="1" w:styleId="4">
    <w:name w:val="正文首行缩进1"/>
    <w:basedOn w:val="1"/>
    <w:qFormat/>
    <w:uiPriority w:val="0"/>
    <w:pPr>
      <w:spacing w:after="120"/>
      <w:ind w:firstLine="420" w:firstLineChars="100"/>
    </w:pPr>
    <w:rPr>
      <w:rFonts w:ascii="Times New Roman" w:hAnsi="Times New Roman" w:eastAsia="宋体" w:cs="Times New Roman"/>
    </w:rPr>
  </w:style>
  <w:style w:type="paragraph" w:styleId="5">
    <w:name w:val="Normal Indent"/>
    <w:basedOn w:val="1"/>
    <w:autoRedefine/>
    <w:qFormat/>
    <w:uiPriority w:val="0"/>
    <w:pPr>
      <w:ind w:firstLine="420" w:firstLineChars="200"/>
    </w:pPr>
  </w:style>
  <w:style w:type="paragraph" w:styleId="6">
    <w:name w:val="Body Text Indent 2"/>
    <w:basedOn w:val="1"/>
    <w:autoRedefine/>
    <w:qFormat/>
    <w:uiPriority w:val="0"/>
    <w:pPr>
      <w:spacing w:after="120" w:line="480" w:lineRule="auto"/>
      <w:ind w:left="420" w:leftChars="200"/>
    </w:pPr>
  </w:style>
  <w:style w:type="paragraph" w:styleId="7">
    <w:name w:val="Balloon Text"/>
    <w:basedOn w:val="1"/>
    <w:autoRedefine/>
    <w:qFormat/>
    <w:uiPriority w:val="0"/>
    <w:rPr>
      <w:sz w:val="18"/>
    </w:rPr>
  </w:style>
  <w:style w:type="paragraph" w:styleId="8">
    <w:name w:val="footer"/>
    <w:basedOn w:val="1"/>
    <w:link w:val="16"/>
    <w:autoRedefine/>
    <w:qFormat/>
    <w:uiPriority w:val="0"/>
    <w:pPr>
      <w:tabs>
        <w:tab w:val="center" w:pos="4153"/>
        <w:tab w:val="right" w:pos="8306"/>
      </w:tabs>
      <w:snapToGrid w:val="0"/>
      <w:jc w:val="left"/>
    </w:pPr>
    <w:rPr>
      <w:sz w:val="18"/>
      <w:szCs w:val="18"/>
    </w:rPr>
  </w:style>
  <w:style w:type="paragraph" w:styleId="9">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spacing w:beforeAutospacing="1" w:afterAutospacing="1"/>
      <w:jc w:val="left"/>
    </w:pPr>
    <w:rPr>
      <w:rFonts w:cs="Times New Roman"/>
      <w:kern w:val="0"/>
      <w:sz w:val="24"/>
    </w:rPr>
  </w:style>
  <w:style w:type="character" w:styleId="13">
    <w:name w:val="Strong"/>
    <w:basedOn w:val="12"/>
    <w:autoRedefine/>
    <w:qFormat/>
    <w:uiPriority w:val="0"/>
    <w:rPr>
      <w:b/>
    </w:rPr>
  </w:style>
  <w:style w:type="character" w:styleId="14">
    <w:name w:val="Hyperlink"/>
    <w:basedOn w:val="12"/>
    <w:autoRedefine/>
    <w:qFormat/>
    <w:uiPriority w:val="0"/>
    <w:rPr>
      <w:color w:val="0000FF"/>
      <w:u w:val="single"/>
    </w:rPr>
  </w:style>
  <w:style w:type="character" w:customStyle="1" w:styleId="15">
    <w:name w:val="页眉 Char"/>
    <w:basedOn w:val="12"/>
    <w:link w:val="9"/>
    <w:autoRedefine/>
    <w:qFormat/>
    <w:uiPriority w:val="0"/>
    <w:rPr>
      <w:rFonts w:asciiTheme="minorHAnsi" w:hAnsiTheme="minorHAnsi" w:eastAsiaTheme="minorEastAsia" w:cstheme="minorBidi"/>
      <w:kern w:val="2"/>
      <w:sz w:val="18"/>
      <w:szCs w:val="18"/>
    </w:rPr>
  </w:style>
  <w:style w:type="character" w:customStyle="1" w:styleId="16">
    <w:name w:val="页脚 Char"/>
    <w:basedOn w:val="12"/>
    <w:link w:val="8"/>
    <w:autoRedefine/>
    <w:qFormat/>
    <w:uiPriority w:val="0"/>
    <w:rPr>
      <w:rFonts w:asciiTheme="minorHAnsi" w:hAnsiTheme="minorHAnsi" w:eastAsiaTheme="minorEastAsia" w:cstheme="minorBidi"/>
      <w:kern w:val="2"/>
      <w:sz w:val="18"/>
      <w:szCs w:val="18"/>
    </w:rPr>
  </w:style>
  <w:style w:type="paragraph" w:styleId="17">
    <w:name w:val="List Paragraph"/>
    <w:basedOn w:val="1"/>
    <w:autoRedefine/>
    <w:unhideWhenUsed/>
    <w:qFormat/>
    <w:uiPriority w:val="99"/>
    <w:pPr>
      <w:ind w:firstLine="420" w:firstLineChars="200"/>
    </w:pPr>
  </w:style>
  <w:style w:type="paragraph" w:customStyle="1" w:styleId="18">
    <w:name w:val="列出段落1"/>
    <w:autoRedefine/>
    <w:qFormat/>
    <w:uiPriority w:val="0"/>
    <w:pPr>
      <w:widowControl w:val="0"/>
      <w:ind w:firstLine="420"/>
      <w:jc w:val="both"/>
    </w:pPr>
    <w:rPr>
      <w:rFonts w:ascii="Times New Roman" w:hAnsi="Times New Roman" w:eastAsia="宋体" w:cs="黑体"/>
      <w:kern w:val="2"/>
      <w:sz w:val="21"/>
      <w:szCs w:val="24"/>
      <w:lang w:val="en-US" w:eastAsia="zh-CN" w:bidi="ar-SA"/>
    </w:rPr>
  </w:style>
  <w:style w:type="character" w:customStyle="1" w:styleId="19">
    <w:name w:val="style401"/>
    <w:basedOn w:val="12"/>
    <w:autoRedefine/>
    <w:qFormat/>
    <w:uiPriority w:val="0"/>
    <w:rPr>
      <w:rFonts w:hint="default" w:ascii="Calibri" w:hAnsi="Calibri" w:eastAsia="宋体" w:cs="Arial"/>
      <w:sz w:val="20"/>
      <w:szCs w:val="20"/>
    </w:rPr>
  </w:style>
  <w:style w:type="paragraph" w:customStyle="1" w:styleId="20">
    <w:name w:val="p0"/>
    <w:basedOn w:val="1"/>
    <w:autoRedefine/>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686</Words>
  <Characters>3915</Characters>
  <Lines>32</Lines>
  <Paragraphs>9</Paragraphs>
  <TotalTime>0</TotalTime>
  <ScaleCrop>false</ScaleCrop>
  <LinksUpToDate>false</LinksUpToDate>
  <CharactersWithSpaces>4592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2025-06-14T02:50:00Z</dcterms:created>
  <dc:creator>WPS_1483577055</dc:creator>
  <cp:lastModifiedBy>Administrator</cp:lastModifiedBy>
  <dcterms:modified xsi:type="dcterms:W3CDTF">2026-05-18T08:26:13Z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7E608180D5D54223AF6B4B56B36202DE_13</vt:lpwstr>
  </property>
</Properties>
</file>