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7755BB">
      <w:pPr>
        <w:jc w:val="center"/>
        <w:rPr>
          <w:rFonts w:ascii="仿宋" w:hAnsi="仿宋" w:eastAsia="仿宋" w:cs="仿宋"/>
          <w:b/>
          <w:bCs/>
          <w:sz w:val="36"/>
          <w:szCs w:val="36"/>
        </w:rPr>
      </w:pPr>
      <w:r>
        <w:rPr>
          <w:rFonts w:hint="eastAsia" w:ascii="仿宋" w:hAnsi="仿宋" w:eastAsia="仿宋" w:cs="仿宋"/>
          <w:b/>
          <w:bCs/>
          <w:sz w:val="36"/>
          <w:szCs w:val="36"/>
          <w:lang w:eastAsia="zh-CN"/>
        </w:rPr>
        <w:t>2025年</w:t>
      </w:r>
      <w:r>
        <w:rPr>
          <w:rFonts w:hint="eastAsia" w:ascii="仿宋" w:hAnsi="仿宋" w:eastAsia="仿宋" w:cs="仿宋"/>
          <w:b/>
          <w:bCs/>
          <w:sz w:val="36"/>
          <w:szCs w:val="36"/>
        </w:rPr>
        <w:t>道县东门街道办事处绩效自评报告</w:t>
      </w:r>
    </w:p>
    <w:p w14:paraId="696B717D">
      <w:pPr>
        <w:numPr>
          <w:ilvl w:val="0"/>
          <w:numId w:val="1"/>
        </w:numPr>
        <w:rPr>
          <w:rFonts w:ascii="仿宋" w:hAnsi="仿宋" w:eastAsia="仿宋" w:cs="仿宋"/>
          <w:b/>
          <w:bCs/>
          <w:sz w:val="30"/>
          <w:szCs w:val="30"/>
        </w:rPr>
      </w:pPr>
      <w:r>
        <w:rPr>
          <w:rFonts w:hint="eastAsia" w:ascii="仿宋" w:hAnsi="仿宋" w:eastAsia="仿宋" w:cs="仿宋"/>
          <w:b/>
          <w:bCs/>
          <w:sz w:val="30"/>
          <w:szCs w:val="30"/>
        </w:rPr>
        <w:t>基本情况</w:t>
      </w:r>
    </w:p>
    <w:p w14:paraId="3A0A3EE5">
      <w:pPr>
        <w:numPr>
          <w:ilvl w:val="0"/>
          <w:numId w:val="2"/>
        </w:numPr>
        <w:rPr>
          <w:rFonts w:ascii="仿宋" w:hAnsi="仿宋" w:eastAsia="仿宋" w:cs="仿宋"/>
          <w:sz w:val="28"/>
          <w:szCs w:val="28"/>
        </w:rPr>
      </w:pPr>
      <w:r>
        <w:rPr>
          <w:rFonts w:hint="eastAsia" w:ascii="仿宋" w:hAnsi="仿宋" w:eastAsia="仿宋" w:cs="仿宋"/>
          <w:sz w:val="28"/>
          <w:szCs w:val="28"/>
        </w:rPr>
        <w:t>部门（单位）基本情况</w:t>
      </w:r>
    </w:p>
    <w:p w14:paraId="56B43449">
      <w:pPr>
        <w:rPr>
          <w:rFonts w:ascii="仿宋" w:hAnsi="仿宋" w:eastAsia="仿宋" w:cs="宋体"/>
          <w:color w:val="333333"/>
          <w:kern w:val="0"/>
          <w:sz w:val="30"/>
          <w:szCs w:val="30"/>
        </w:rPr>
      </w:pPr>
      <w:r>
        <w:rPr>
          <w:rFonts w:hint="eastAsia" w:ascii="仿宋" w:hAnsi="仿宋" w:eastAsia="仿宋" w:cs="仿宋"/>
          <w:sz w:val="28"/>
          <w:szCs w:val="28"/>
        </w:rPr>
        <w:t xml:space="preserve">    人员概括：</w:t>
      </w:r>
      <w:r>
        <w:rPr>
          <w:rFonts w:hint="eastAsia" w:ascii="仿宋" w:hAnsi="仿宋" w:eastAsia="仿宋" w:cs="宋体"/>
          <w:color w:val="333333"/>
          <w:kern w:val="0"/>
          <w:sz w:val="30"/>
          <w:szCs w:val="30"/>
        </w:rPr>
        <w:t>我单位为正科级全额拨款行政单位，内设办公室、财务室、民政室、计生办、综治办等5个职能部室。行政编制22人，事业编制28 人。现实有在编人数61人，退休人员119人，配有小车一辆。</w:t>
      </w:r>
    </w:p>
    <w:p w14:paraId="0D0B9349">
      <w:pPr>
        <w:rPr>
          <w:rFonts w:ascii="仿宋" w:hAnsi="仿宋" w:eastAsia="仿宋" w:cs="仿宋"/>
          <w:i/>
          <w:sz w:val="28"/>
          <w:szCs w:val="28"/>
        </w:rPr>
      </w:pPr>
      <w:r>
        <w:rPr>
          <w:rFonts w:hint="eastAsia" w:ascii="仿宋" w:hAnsi="仿宋" w:eastAsia="仿宋" w:cs="仿宋"/>
          <w:sz w:val="28"/>
          <w:szCs w:val="28"/>
        </w:rPr>
        <w:t xml:space="preserve">    主要职能 ：根据《中华人民共和国宪法》规定，本单位主要工作职责是:执行本级人民代表大会的决议和上级国家行政机关的决定和命</w:t>
      </w:r>
      <w:r>
        <w:rPr>
          <w:rFonts w:hint="eastAsia" w:ascii="仿宋" w:hAnsi="仿宋" w:eastAsia="仿宋" w:cs="仿宋"/>
          <w:i/>
          <w:sz w:val="28"/>
          <w:szCs w:val="28"/>
        </w:rPr>
        <w:t>令，管理本行政区域内的行政工作。</w:t>
      </w:r>
    </w:p>
    <w:p w14:paraId="5F12E1DB">
      <w:pPr>
        <w:numPr>
          <w:ilvl w:val="0"/>
          <w:numId w:val="2"/>
        </w:numPr>
        <w:rPr>
          <w:rFonts w:ascii="仿宋" w:hAnsi="仿宋" w:eastAsia="仿宋" w:cs="仿宋"/>
          <w:sz w:val="28"/>
          <w:szCs w:val="28"/>
        </w:rPr>
      </w:pPr>
      <w:r>
        <w:rPr>
          <w:rFonts w:hint="eastAsia" w:ascii="仿宋" w:hAnsi="仿宋" w:eastAsia="仿宋" w:cs="仿宋"/>
          <w:sz w:val="28"/>
          <w:szCs w:val="28"/>
        </w:rPr>
        <w:t>部门（单位）年度整体支出绩效目标，省级专项资金绩效目标、其他项目支出（除省级专项资金以外）绩效目标</w:t>
      </w:r>
    </w:p>
    <w:p w14:paraId="3FE500EA">
      <w:pPr>
        <w:ind w:left="150"/>
        <w:rPr>
          <w:rFonts w:ascii="仿宋" w:hAnsi="仿宋" w:eastAsia="仿宋" w:cs="仿宋"/>
          <w:sz w:val="28"/>
          <w:szCs w:val="28"/>
        </w:rPr>
      </w:pPr>
      <w:r>
        <w:rPr>
          <w:rFonts w:hint="eastAsia" w:ascii="仿宋" w:hAnsi="仿宋" w:eastAsia="仿宋" w:cs="仿宋"/>
          <w:sz w:val="28"/>
          <w:szCs w:val="28"/>
        </w:rPr>
        <w:t>1、年度总体支出绩效目标：</w:t>
      </w:r>
    </w:p>
    <w:p w14:paraId="790009D6">
      <w:pPr>
        <w:ind w:left="150"/>
        <w:rPr>
          <w:rFonts w:ascii="仿宋" w:hAnsi="仿宋" w:eastAsia="仿宋" w:cs="仿宋"/>
          <w:sz w:val="28"/>
          <w:szCs w:val="28"/>
        </w:rPr>
      </w:pPr>
      <w:r>
        <w:rPr>
          <w:rFonts w:hint="eastAsia" w:ascii="仿宋" w:hAnsi="仿宋" w:eastAsia="仿宋" w:cs="仿宋"/>
          <w:sz w:val="28"/>
          <w:szCs w:val="28"/>
        </w:rPr>
        <w:t>(1)制定并落实本行政区域的经济计划和措施，促进产业结构调整及其他经济保持平衡协调发展，全面提高人民群众的生活水平和生活质量。</w:t>
      </w:r>
    </w:p>
    <w:p w14:paraId="011F24BF">
      <w:pPr>
        <w:ind w:left="150"/>
        <w:rPr>
          <w:rFonts w:ascii="仿宋" w:hAnsi="仿宋" w:eastAsia="仿宋" w:cs="仿宋"/>
          <w:sz w:val="28"/>
          <w:szCs w:val="28"/>
        </w:rPr>
      </w:pPr>
      <w:r>
        <w:rPr>
          <w:rFonts w:hint="eastAsia" w:ascii="仿宋" w:hAnsi="仿宋" w:eastAsia="仿宋" w:cs="仿宋"/>
          <w:sz w:val="28"/>
          <w:szCs w:val="28"/>
        </w:rPr>
        <w:t>(2)加强办事处财政的监督和管理，按计划组织、管理办事处财政收入和支出，执行国家有关财经纪律和政策，保证国家财政收入的完成。</w:t>
      </w:r>
    </w:p>
    <w:p w14:paraId="51B745AA">
      <w:pPr>
        <w:ind w:left="150"/>
        <w:rPr>
          <w:rFonts w:ascii="仿宋" w:hAnsi="仿宋" w:eastAsia="仿宋" w:cs="仿宋"/>
          <w:sz w:val="28"/>
          <w:szCs w:val="28"/>
        </w:rPr>
      </w:pPr>
      <w:r>
        <w:rPr>
          <w:rFonts w:hint="eastAsia" w:ascii="仿宋" w:hAnsi="仿宋" w:eastAsia="仿宋" w:cs="仿宋"/>
          <w:sz w:val="28"/>
          <w:szCs w:val="28"/>
        </w:rPr>
        <w:t>(3)严格支出管理，强化预算约束。</w:t>
      </w:r>
    </w:p>
    <w:p w14:paraId="572BBB4D">
      <w:pPr>
        <w:ind w:left="150"/>
        <w:rPr>
          <w:rFonts w:ascii="仿宋" w:hAnsi="仿宋" w:eastAsia="仿宋" w:cs="仿宋"/>
          <w:sz w:val="28"/>
          <w:szCs w:val="28"/>
        </w:rPr>
      </w:pPr>
      <w:r>
        <w:rPr>
          <w:rFonts w:hint="eastAsia" w:ascii="仿宋" w:hAnsi="仿宋" w:eastAsia="仿宋" w:cs="仿宋"/>
          <w:sz w:val="28"/>
          <w:szCs w:val="28"/>
        </w:rPr>
        <w:t>2、省级专项资金绩效目标（无）</w:t>
      </w:r>
    </w:p>
    <w:p w14:paraId="66522DD5">
      <w:pPr>
        <w:rPr>
          <w:rFonts w:ascii="仿宋" w:hAnsi="仿宋" w:eastAsia="仿宋" w:cs="仿宋"/>
          <w:sz w:val="28"/>
          <w:szCs w:val="28"/>
        </w:rPr>
      </w:pPr>
      <w:r>
        <w:rPr>
          <w:rFonts w:hint="eastAsia" w:ascii="仿宋" w:hAnsi="仿宋" w:eastAsia="仿宋" w:cs="仿宋"/>
          <w:sz w:val="28"/>
          <w:szCs w:val="28"/>
        </w:rPr>
        <w:t xml:space="preserve"> 3、其他项目支出（除省级专项资金以外）绩效目标（无）</w:t>
      </w:r>
    </w:p>
    <w:p w14:paraId="3FA1CFEA">
      <w:pPr>
        <w:numPr>
          <w:ilvl w:val="0"/>
          <w:numId w:val="1"/>
        </w:numPr>
        <w:rPr>
          <w:rFonts w:ascii="仿宋" w:hAnsi="仿宋" w:eastAsia="仿宋" w:cs="仿宋"/>
          <w:b/>
          <w:bCs/>
          <w:sz w:val="30"/>
          <w:szCs w:val="30"/>
        </w:rPr>
      </w:pPr>
      <w:r>
        <w:rPr>
          <w:rFonts w:hint="eastAsia" w:ascii="仿宋" w:hAnsi="仿宋" w:eastAsia="仿宋" w:cs="仿宋"/>
          <w:b/>
          <w:bCs/>
          <w:sz w:val="30"/>
          <w:szCs w:val="30"/>
        </w:rPr>
        <w:t>一般公共预算支出情况</w:t>
      </w:r>
    </w:p>
    <w:p w14:paraId="0800EEBE">
      <w:pPr>
        <w:adjustRightInd w:val="0"/>
        <w:snapToGrid w:val="0"/>
        <w:spacing w:line="600" w:lineRule="exact"/>
        <w:ind w:firstLine="641"/>
        <w:rPr>
          <w:rFonts w:ascii="仿宋" w:hAnsi="仿宋" w:eastAsia="仿宋" w:cs="仿宋"/>
          <w:b/>
          <w:bCs/>
          <w:sz w:val="28"/>
          <w:szCs w:val="28"/>
        </w:rPr>
      </w:pPr>
      <w:r>
        <w:rPr>
          <w:rFonts w:hint="eastAsia" w:ascii="仿宋" w:hAnsi="仿宋" w:eastAsia="仿宋" w:cs="仿宋"/>
          <w:sz w:val="28"/>
          <w:szCs w:val="28"/>
          <w:lang w:eastAsia="zh-CN"/>
        </w:rPr>
        <w:t>2025年</w:t>
      </w:r>
      <w:r>
        <w:rPr>
          <w:rFonts w:hint="eastAsia" w:ascii="仿宋" w:hAnsi="仿宋" w:eastAsia="仿宋" w:cs="仿宋"/>
          <w:sz w:val="28"/>
          <w:szCs w:val="28"/>
        </w:rPr>
        <w:t>道县东门街道办事处整体支出</w:t>
      </w:r>
      <w:r>
        <w:rPr>
          <w:rFonts w:hint="eastAsia" w:ascii="仿宋" w:hAnsi="仿宋" w:eastAsia="仿宋" w:cs="仿宋"/>
          <w:sz w:val="28"/>
          <w:szCs w:val="28"/>
          <w:lang w:val="en-US" w:eastAsia="zh-CN"/>
        </w:rPr>
        <w:t>1137.03</w:t>
      </w:r>
      <w:r>
        <w:rPr>
          <w:rFonts w:hint="eastAsia" w:ascii="仿宋" w:hAnsi="仿宋" w:eastAsia="仿宋" w:cs="仿宋"/>
          <w:sz w:val="28"/>
          <w:szCs w:val="28"/>
        </w:rPr>
        <w:t>万元。一般公共预算财政拨款收入</w:t>
      </w:r>
      <w:r>
        <w:rPr>
          <w:rFonts w:hint="eastAsia" w:ascii="仿宋" w:hAnsi="仿宋" w:eastAsia="仿宋" w:cs="仿宋"/>
          <w:sz w:val="28"/>
          <w:szCs w:val="28"/>
          <w:lang w:val="en-US" w:eastAsia="zh-CN"/>
        </w:rPr>
        <w:t>1131.03</w:t>
      </w:r>
      <w:r>
        <w:rPr>
          <w:rFonts w:hint="eastAsia" w:ascii="仿宋" w:hAnsi="仿宋" w:eastAsia="仿宋" w:cs="仿宋"/>
          <w:sz w:val="28"/>
          <w:szCs w:val="28"/>
        </w:rPr>
        <w:t>万元。</w:t>
      </w:r>
    </w:p>
    <w:p w14:paraId="3CC1393E">
      <w:pPr>
        <w:widowControl/>
        <w:ind w:firstLine="560" w:firstLineChars="200"/>
        <w:rPr>
          <w:rFonts w:ascii="仿宋" w:hAnsi="仿宋" w:eastAsia="仿宋" w:cs="仿宋"/>
          <w:sz w:val="28"/>
          <w:szCs w:val="28"/>
        </w:rPr>
      </w:pPr>
      <w:r>
        <w:rPr>
          <w:rFonts w:hint="eastAsia" w:ascii="仿宋" w:hAnsi="仿宋" w:eastAsia="仿宋" w:cs="仿宋"/>
          <w:sz w:val="28"/>
          <w:szCs w:val="28"/>
        </w:rPr>
        <w:t>基本支出基本支出</w:t>
      </w:r>
      <w:r>
        <w:rPr>
          <w:rFonts w:hint="eastAsia" w:ascii="仿宋" w:hAnsi="仿宋" w:eastAsia="仿宋" w:cs="仿宋"/>
          <w:sz w:val="28"/>
          <w:szCs w:val="28"/>
          <w:lang w:val="en-US" w:eastAsia="zh-CN"/>
        </w:rPr>
        <w:t>764.68</w:t>
      </w:r>
      <w:r>
        <w:rPr>
          <w:rFonts w:hint="eastAsia" w:ascii="仿宋" w:hAnsi="仿宋" w:eastAsia="仿宋" w:cs="仿宋"/>
          <w:sz w:val="28"/>
          <w:szCs w:val="28"/>
        </w:rPr>
        <w:t>万元， 1、工资福利支出</w:t>
      </w:r>
      <w:r>
        <w:rPr>
          <w:rFonts w:hint="eastAsia" w:ascii="仿宋" w:hAnsi="仿宋" w:eastAsia="仿宋" w:cs="仿宋"/>
          <w:sz w:val="28"/>
          <w:szCs w:val="28"/>
          <w:lang w:val="en-US" w:eastAsia="zh-CN"/>
        </w:rPr>
        <w:t>660.15</w:t>
      </w:r>
      <w:r>
        <w:rPr>
          <w:rFonts w:hint="eastAsia" w:ascii="仿宋" w:hAnsi="仿宋" w:eastAsia="仿宋" w:cs="仿宋"/>
          <w:sz w:val="28"/>
          <w:szCs w:val="28"/>
        </w:rPr>
        <w:t>万元：基本工资</w:t>
      </w:r>
      <w:r>
        <w:rPr>
          <w:rFonts w:hint="eastAsia" w:ascii="仿宋" w:hAnsi="仿宋" w:eastAsia="仿宋" w:cs="仿宋"/>
          <w:sz w:val="28"/>
          <w:szCs w:val="28"/>
          <w:lang w:val="en-US" w:eastAsia="zh-CN"/>
        </w:rPr>
        <w:t>292.21</w:t>
      </w:r>
      <w:r>
        <w:rPr>
          <w:rFonts w:hint="eastAsia" w:ascii="仿宋" w:hAnsi="仿宋" w:eastAsia="仿宋" w:cs="仿宋"/>
          <w:sz w:val="28"/>
          <w:szCs w:val="28"/>
        </w:rPr>
        <w:t>万元;</w:t>
      </w:r>
      <w:r>
        <w:rPr>
          <w:rFonts w:hint="eastAsia"/>
        </w:rPr>
        <w:t xml:space="preserve"> </w:t>
      </w:r>
      <w:r>
        <w:rPr>
          <w:rFonts w:hint="eastAsia" w:ascii="仿宋" w:hAnsi="仿宋" w:eastAsia="仿宋" w:cs="仿宋"/>
          <w:sz w:val="28"/>
          <w:szCs w:val="28"/>
        </w:rPr>
        <w:t>津贴补贴</w:t>
      </w:r>
      <w:r>
        <w:rPr>
          <w:rFonts w:hint="eastAsia" w:ascii="仿宋" w:hAnsi="仿宋" w:eastAsia="仿宋" w:cs="仿宋"/>
          <w:sz w:val="28"/>
          <w:szCs w:val="28"/>
          <w:lang w:val="en-US" w:eastAsia="zh-CN"/>
        </w:rPr>
        <w:t>98.65</w:t>
      </w:r>
      <w:r>
        <w:rPr>
          <w:rFonts w:hint="eastAsia" w:ascii="仿宋" w:hAnsi="仿宋" w:eastAsia="仿宋" w:cs="仿宋"/>
          <w:sz w:val="28"/>
          <w:szCs w:val="28"/>
        </w:rPr>
        <w:t>万元；奖金</w:t>
      </w:r>
      <w:r>
        <w:rPr>
          <w:rFonts w:hint="eastAsia" w:ascii="仿宋" w:hAnsi="仿宋" w:eastAsia="仿宋" w:cs="仿宋"/>
          <w:sz w:val="28"/>
          <w:szCs w:val="28"/>
          <w:lang w:val="en-US" w:eastAsia="zh-CN"/>
        </w:rPr>
        <w:t>110.38</w:t>
      </w:r>
      <w:r>
        <w:rPr>
          <w:rFonts w:hint="eastAsia" w:ascii="仿宋" w:hAnsi="仿宋" w:eastAsia="仿宋" w:cs="仿宋"/>
          <w:sz w:val="28"/>
          <w:szCs w:val="28"/>
        </w:rPr>
        <w:t>万元；绩效工资</w:t>
      </w:r>
      <w:r>
        <w:rPr>
          <w:rFonts w:hint="eastAsia" w:ascii="仿宋" w:hAnsi="仿宋" w:eastAsia="仿宋" w:cs="仿宋"/>
          <w:sz w:val="28"/>
          <w:szCs w:val="28"/>
          <w:lang w:val="en-US" w:eastAsia="zh-CN"/>
        </w:rPr>
        <w:t>28.49</w:t>
      </w:r>
      <w:r>
        <w:rPr>
          <w:rFonts w:hint="eastAsia" w:ascii="仿宋" w:hAnsi="仿宋" w:eastAsia="仿宋" w:cs="仿宋"/>
          <w:sz w:val="28"/>
          <w:szCs w:val="28"/>
        </w:rPr>
        <w:t>万元；养老保险</w:t>
      </w:r>
      <w:r>
        <w:rPr>
          <w:rFonts w:hint="eastAsia" w:ascii="仿宋" w:hAnsi="仿宋" w:eastAsia="仿宋" w:cs="仿宋"/>
          <w:sz w:val="28"/>
          <w:szCs w:val="28"/>
          <w:lang w:val="en-US" w:eastAsia="zh-CN"/>
        </w:rPr>
        <w:t>60.79</w:t>
      </w:r>
      <w:r>
        <w:rPr>
          <w:rFonts w:hint="eastAsia" w:ascii="仿宋" w:hAnsi="仿宋" w:eastAsia="仿宋" w:cs="仿宋"/>
          <w:sz w:val="28"/>
          <w:szCs w:val="28"/>
        </w:rPr>
        <w:t>万元；基本医疗保险经费</w:t>
      </w:r>
      <w:r>
        <w:rPr>
          <w:rFonts w:hint="eastAsia" w:ascii="仿宋" w:hAnsi="仿宋" w:eastAsia="仿宋" w:cs="仿宋"/>
          <w:sz w:val="28"/>
          <w:szCs w:val="28"/>
          <w:lang w:val="en-US" w:eastAsia="zh-CN"/>
        </w:rPr>
        <w:t>33.06</w:t>
      </w:r>
      <w:r>
        <w:rPr>
          <w:rFonts w:hint="eastAsia" w:ascii="仿宋" w:hAnsi="仿宋" w:eastAsia="仿宋" w:cs="仿宋"/>
          <w:sz w:val="28"/>
          <w:szCs w:val="28"/>
        </w:rPr>
        <w:t>万元；住房公积金</w:t>
      </w:r>
      <w:r>
        <w:rPr>
          <w:rFonts w:hint="eastAsia" w:ascii="仿宋" w:hAnsi="仿宋" w:eastAsia="仿宋" w:cs="仿宋"/>
          <w:sz w:val="28"/>
          <w:szCs w:val="28"/>
          <w:lang w:val="en-US" w:eastAsia="zh-CN"/>
        </w:rPr>
        <w:t>36.57</w:t>
      </w:r>
      <w:r>
        <w:rPr>
          <w:rFonts w:hint="eastAsia" w:ascii="仿宋" w:hAnsi="仿宋" w:eastAsia="仿宋" w:cs="仿宋"/>
          <w:sz w:val="28"/>
          <w:szCs w:val="28"/>
        </w:rPr>
        <w:t>万元。2、一般商品服务支出</w:t>
      </w:r>
      <w:r>
        <w:rPr>
          <w:rFonts w:hint="eastAsia" w:ascii="仿宋" w:hAnsi="仿宋" w:eastAsia="仿宋" w:cs="仿宋"/>
          <w:sz w:val="28"/>
          <w:szCs w:val="28"/>
          <w:lang w:val="en-US" w:eastAsia="zh-CN"/>
        </w:rPr>
        <w:t>98.32</w:t>
      </w:r>
      <w:r>
        <w:rPr>
          <w:rFonts w:hint="eastAsia" w:ascii="仿宋" w:hAnsi="仿宋" w:eastAsia="仿宋" w:cs="仿宋"/>
          <w:sz w:val="28"/>
          <w:szCs w:val="28"/>
        </w:rPr>
        <w:t>万元：办公费</w:t>
      </w:r>
      <w:r>
        <w:rPr>
          <w:rFonts w:hint="eastAsia" w:ascii="仿宋" w:hAnsi="仿宋" w:eastAsia="仿宋" w:cs="仿宋"/>
          <w:sz w:val="28"/>
          <w:szCs w:val="28"/>
          <w:lang w:val="en-US" w:eastAsia="zh-CN"/>
        </w:rPr>
        <w:t>22.30</w:t>
      </w:r>
      <w:r>
        <w:rPr>
          <w:rFonts w:hint="eastAsia" w:ascii="仿宋" w:hAnsi="仿宋" w:eastAsia="仿宋" w:cs="仿宋"/>
          <w:sz w:val="28"/>
          <w:szCs w:val="28"/>
        </w:rPr>
        <w:t>万元，印刷费</w:t>
      </w:r>
      <w:r>
        <w:rPr>
          <w:rFonts w:hint="eastAsia" w:ascii="仿宋" w:hAnsi="仿宋" w:eastAsia="仿宋" w:cs="仿宋"/>
          <w:sz w:val="28"/>
          <w:szCs w:val="28"/>
          <w:lang w:val="en-US" w:eastAsia="zh-CN"/>
        </w:rPr>
        <w:t>9.64</w:t>
      </w:r>
      <w:r>
        <w:rPr>
          <w:rFonts w:hint="eastAsia" w:ascii="仿宋" w:hAnsi="仿宋" w:eastAsia="仿宋" w:cs="仿宋"/>
          <w:sz w:val="28"/>
          <w:szCs w:val="28"/>
        </w:rPr>
        <w:t>万元，邮电费</w:t>
      </w:r>
      <w:r>
        <w:rPr>
          <w:rFonts w:hint="eastAsia" w:ascii="仿宋" w:hAnsi="仿宋" w:eastAsia="仿宋" w:cs="仿宋"/>
          <w:sz w:val="28"/>
          <w:szCs w:val="28"/>
          <w:lang w:val="en-US" w:eastAsia="zh-CN"/>
        </w:rPr>
        <w:t>1.70</w:t>
      </w:r>
      <w:r>
        <w:rPr>
          <w:rFonts w:hint="eastAsia" w:ascii="仿宋" w:hAnsi="仿宋" w:eastAsia="仿宋" w:cs="仿宋"/>
          <w:sz w:val="28"/>
          <w:szCs w:val="28"/>
        </w:rPr>
        <w:t>万元，差旅费</w:t>
      </w:r>
      <w:r>
        <w:rPr>
          <w:rFonts w:hint="eastAsia" w:ascii="仿宋" w:hAnsi="仿宋" w:eastAsia="仿宋" w:cs="仿宋"/>
          <w:sz w:val="28"/>
          <w:szCs w:val="28"/>
          <w:lang w:val="en-US" w:eastAsia="zh-CN"/>
        </w:rPr>
        <w:t>0.61</w:t>
      </w:r>
      <w:r>
        <w:rPr>
          <w:rFonts w:hint="eastAsia" w:ascii="仿宋" w:hAnsi="仿宋" w:eastAsia="仿宋" w:cs="仿宋"/>
          <w:sz w:val="28"/>
          <w:szCs w:val="28"/>
        </w:rPr>
        <w:t>万元，</w:t>
      </w:r>
      <w:r>
        <w:rPr>
          <w:rFonts w:hint="eastAsia" w:ascii="仿宋" w:hAnsi="仿宋" w:eastAsia="仿宋" w:cs="仿宋"/>
          <w:sz w:val="28"/>
          <w:szCs w:val="28"/>
          <w:lang w:eastAsia="zh-CN"/>
        </w:rPr>
        <w:t>维修（护）费</w:t>
      </w:r>
      <w:r>
        <w:rPr>
          <w:rFonts w:hint="eastAsia" w:ascii="仿宋" w:hAnsi="仿宋" w:eastAsia="仿宋" w:cs="仿宋"/>
          <w:sz w:val="28"/>
          <w:szCs w:val="28"/>
          <w:lang w:val="en-US" w:eastAsia="zh-CN"/>
        </w:rPr>
        <w:t>4.47万元，</w:t>
      </w:r>
      <w:r>
        <w:rPr>
          <w:rFonts w:hint="eastAsia" w:ascii="仿宋" w:hAnsi="仿宋" w:eastAsia="仿宋" w:cs="仿宋"/>
          <w:sz w:val="28"/>
          <w:szCs w:val="28"/>
        </w:rPr>
        <w:t>工会经费</w:t>
      </w:r>
      <w:r>
        <w:rPr>
          <w:rFonts w:hint="eastAsia" w:ascii="仿宋" w:hAnsi="仿宋" w:eastAsia="仿宋" w:cs="仿宋"/>
          <w:sz w:val="28"/>
          <w:szCs w:val="28"/>
          <w:lang w:val="en-US" w:eastAsia="zh-CN"/>
        </w:rPr>
        <w:t>11.87万元，</w:t>
      </w:r>
      <w:r>
        <w:rPr>
          <w:rFonts w:hint="eastAsia" w:ascii="仿宋" w:hAnsi="仿宋" w:eastAsia="仿宋" w:cs="仿宋"/>
          <w:sz w:val="28"/>
          <w:szCs w:val="28"/>
          <w:lang w:eastAsia="zh-CN"/>
        </w:rPr>
        <w:t>福利费</w:t>
      </w:r>
      <w:r>
        <w:rPr>
          <w:rFonts w:hint="eastAsia" w:ascii="仿宋" w:hAnsi="仿宋" w:eastAsia="仿宋" w:cs="仿宋"/>
          <w:sz w:val="28"/>
          <w:szCs w:val="28"/>
          <w:lang w:val="en-US" w:eastAsia="zh-CN"/>
        </w:rPr>
        <w:t>24.21</w:t>
      </w:r>
      <w:r>
        <w:rPr>
          <w:rFonts w:hint="eastAsia" w:ascii="仿宋" w:hAnsi="仿宋" w:eastAsia="仿宋" w:cs="仿宋"/>
          <w:sz w:val="28"/>
          <w:szCs w:val="28"/>
        </w:rPr>
        <w:t>万元，公务用车运行维护费4.4</w:t>
      </w:r>
      <w:r>
        <w:rPr>
          <w:rFonts w:hint="eastAsia" w:ascii="仿宋" w:hAnsi="仿宋" w:eastAsia="仿宋" w:cs="仿宋"/>
          <w:sz w:val="28"/>
          <w:szCs w:val="28"/>
          <w:lang w:val="en-US" w:eastAsia="zh-CN"/>
        </w:rPr>
        <w:t>0</w:t>
      </w:r>
      <w:r>
        <w:rPr>
          <w:rFonts w:hint="eastAsia" w:ascii="仿宋" w:hAnsi="仿宋" w:eastAsia="仿宋" w:cs="仿宋"/>
          <w:sz w:val="28"/>
          <w:szCs w:val="28"/>
        </w:rPr>
        <w:t>万元，其他交通费用</w:t>
      </w:r>
      <w:r>
        <w:rPr>
          <w:rFonts w:hint="eastAsia" w:ascii="仿宋" w:hAnsi="仿宋" w:eastAsia="仿宋" w:cs="仿宋"/>
          <w:sz w:val="28"/>
          <w:szCs w:val="28"/>
          <w:lang w:val="en-US" w:eastAsia="zh-CN"/>
        </w:rPr>
        <w:t>19.12</w:t>
      </w:r>
      <w:r>
        <w:rPr>
          <w:rFonts w:hint="eastAsia" w:ascii="仿宋" w:hAnsi="仿宋" w:eastAsia="仿宋" w:cs="仿宋"/>
          <w:sz w:val="28"/>
          <w:szCs w:val="28"/>
        </w:rPr>
        <w:t>万元。3、对个人和家庭补助支出</w:t>
      </w:r>
      <w:r>
        <w:rPr>
          <w:rFonts w:hint="eastAsia" w:ascii="仿宋" w:hAnsi="仿宋" w:eastAsia="仿宋" w:cs="仿宋"/>
          <w:sz w:val="28"/>
          <w:szCs w:val="28"/>
          <w:lang w:val="en-US" w:eastAsia="zh-CN"/>
        </w:rPr>
        <w:t>6.21</w:t>
      </w:r>
      <w:r>
        <w:rPr>
          <w:rFonts w:hint="eastAsia" w:ascii="仿宋" w:hAnsi="仿宋" w:eastAsia="仿宋" w:cs="仿宋"/>
          <w:sz w:val="28"/>
          <w:szCs w:val="28"/>
        </w:rPr>
        <w:t>万元：抚恤金</w:t>
      </w:r>
      <w:r>
        <w:rPr>
          <w:rFonts w:hint="eastAsia" w:ascii="仿宋" w:hAnsi="仿宋" w:eastAsia="仿宋" w:cs="仿宋"/>
          <w:sz w:val="28"/>
          <w:szCs w:val="28"/>
          <w:lang w:val="en-US" w:eastAsia="zh-CN"/>
        </w:rPr>
        <w:t>6.21</w:t>
      </w:r>
      <w:r>
        <w:rPr>
          <w:rFonts w:hint="eastAsia" w:ascii="仿宋" w:hAnsi="仿宋" w:eastAsia="仿宋" w:cs="仿宋"/>
          <w:sz w:val="28"/>
          <w:szCs w:val="28"/>
        </w:rPr>
        <w:t>万元。</w:t>
      </w:r>
    </w:p>
    <w:p w14:paraId="4AC4F70B">
      <w:pPr>
        <w:widowControl/>
        <w:rPr>
          <w:rFonts w:ascii="仿宋" w:hAnsi="仿宋" w:eastAsia="仿宋" w:cs="仿宋"/>
          <w:b/>
          <w:bCs/>
          <w:sz w:val="30"/>
          <w:szCs w:val="30"/>
        </w:rPr>
      </w:pPr>
      <w:r>
        <w:rPr>
          <w:rFonts w:hint="eastAsia" w:ascii="仿宋" w:hAnsi="仿宋" w:eastAsia="仿宋" w:cs="仿宋"/>
          <w:sz w:val="28"/>
          <w:szCs w:val="28"/>
        </w:rPr>
        <w:t xml:space="preserve">   项目支出</w:t>
      </w:r>
      <w:r>
        <w:rPr>
          <w:rFonts w:hint="eastAsia" w:ascii="仿宋" w:hAnsi="仿宋" w:eastAsia="仿宋" w:cs="仿宋"/>
          <w:sz w:val="28"/>
          <w:szCs w:val="28"/>
          <w:lang w:val="en-US" w:eastAsia="zh-CN"/>
        </w:rPr>
        <w:t>360.35</w:t>
      </w:r>
      <w:r>
        <w:rPr>
          <w:rFonts w:hint="eastAsia" w:ascii="仿宋" w:hAnsi="仿宋" w:eastAsia="仿宋" w:cs="仿宋"/>
          <w:sz w:val="28"/>
          <w:szCs w:val="28"/>
        </w:rPr>
        <w:t>万元；其中：</w:t>
      </w:r>
      <w:r>
        <w:rPr>
          <w:rFonts w:hint="eastAsia" w:ascii="仿宋" w:hAnsi="仿宋" w:eastAsia="仿宋" w:cs="仿宋"/>
          <w:sz w:val="28"/>
          <w:szCs w:val="28"/>
          <w:lang w:eastAsia="zh-CN"/>
        </w:rPr>
        <w:t>各单位拨入经费</w:t>
      </w:r>
      <w:r>
        <w:rPr>
          <w:rFonts w:hint="eastAsia" w:ascii="仿宋" w:hAnsi="仿宋" w:eastAsia="仿宋" w:cs="仿宋"/>
          <w:sz w:val="28"/>
          <w:szCs w:val="28"/>
          <w:lang w:val="en-US" w:eastAsia="zh-CN"/>
        </w:rPr>
        <w:t>25.41万元；</w:t>
      </w:r>
      <w:r>
        <w:rPr>
          <w:rFonts w:hint="eastAsia" w:ascii="仿宋" w:hAnsi="仿宋" w:eastAsia="仿宋" w:cs="仿宋"/>
          <w:sz w:val="28"/>
          <w:szCs w:val="28"/>
        </w:rPr>
        <w:t>法院南边配套设施建设</w:t>
      </w:r>
      <w:r>
        <w:rPr>
          <w:rFonts w:hint="eastAsia" w:ascii="仿宋" w:hAnsi="仿宋" w:eastAsia="仿宋" w:cs="仿宋"/>
          <w:sz w:val="28"/>
          <w:szCs w:val="28"/>
          <w:lang w:val="en-US" w:eastAsia="zh-CN"/>
        </w:rPr>
        <w:t>30.00</w:t>
      </w:r>
      <w:r>
        <w:rPr>
          <w:rFonts w:hint="eastAsia" w:ascii="仿宋" w:hAnsi="仿宋" w:eastAsia="仿宋" w:cs="仿宋"/>
          <w:sz w:val="28"/>
          <w:szCs w:val="28"/>
        </w:rPr>
        <w:t>万元；农村公益事业奖补</w:t>
      </w:r>
      <w:r>
        <w:rPr>
          <w:rFonts w:hint="eastAsia" w:ascii="仿宋" w:hAnsi="仿宋" w:eastAsia="仿宋" w:cs="仿宋"/>
          <w:sz w:val="28"/>
          <w:szCs w:val="28"/>
          <w:lang w:val="en-US" w:eastAsia="zh-CN"/>
        </w:rPr>
        <w:t>31.92</w:t>
      </w:r>
      <w:r>
        <w:rPr>
          <w:rFonts w:hint="eastAsia" w:ascii="仿宋" w:hAnsi="仿宋" w:eastAsia="仿宋" w:cs="仿宋"/>
          <w:sz w:val="28"/>
          <w:szCs w:val="28"/>
        </w:rPr>
        <w:t>万元；为民服务专项</w:t>
      </w:r>
      <w:r>
        <w:rPr>
          <w:rFonts w:hint="eastAsia" w:ascii="仿宋" w:hAnsi="仿宋" w:eastAsia="仿宋" w:cs="仿宋"/>
          <w:sz w:val="28"/>
          <w:szCs w:val="28"/>
          <w:lang w:val="en-US" w:eastAsia="zh-CN"/>
        </w:rPr>
        <w:t>33.00</w:t>
      </w:r>
      <w:r>
        <w:rPr>
          <w:rFonts w:hint="eastAsia" w:ascii="仿宋" w:hAnsi="仿宋" w:eastAsia="仿宋" w:cs="仿宋"/>
          <w:sz w:val="28"/>
          <w:szCs w:val="28"/>
        </w:rPr>
        <w:t>万元；村级</w:t>
      </w:r>
      <w:r>
        <w:rPr>
          <w:rFonts w:hint="eastAsia" w:ascii="仿宋" w:hAnsi="仿宋" w:eastAsia="仿宋" w:cs="仿宋"/>
          <w:sz w:val="28"/>
          <w:szCs w:val="28"/>
          <w:lang w:eastAsia="zh-CN"/>
        </w:rPr>
        <w:t>办公</w:t>
      </w:r>
      <w:r>
        <w:rPr>
          <w:rFonts w:hint="eastAsia" w:ascii="仿宋" w:hAnsi="仿宋" w:eastAsia="仿宋" w:cs="仿宋"/>
          <w:sz w:val="28"/>
          <w:szCs w:val="28"/>
        </w:rPr>
        <w:t>费</w:t>
      </w:r>
      <w:r>
        <w:rPr>
          <w:rFonts w:hint="eastAsia" w:ascii="仿宋" w:hAnsi="仿宋" w:eastAsia="仿宋" w:cs="仿宋"/>
          <w:sz w:val="28"/>
          <w:szCs w:val="28"/>
          <w:lang w:val="en-US" w:eastAsia="zh-CN"/>
        </w:rPr>
        <w:t>4.00</w:t>
      </w:r>
      <w:r>
        <w:rPr>
          <w:rFonts w:hint="eastAsia" w:ascii="仿宋" w:hAnsi="仿宋" w:eastAsia="仿宋" w:cs="仿宋"/>
          <w:sz w:val="28"/>
          <w:szCs w:val="28"/>
        </w:rPr>
        <w:t>万元；村干部报酬</w:t>
      </w:r>
      <w:r>
        <w:rPr>
          <w:rFonts w:hint="eastAsia" w:ascii="仿宋" w:hAnsi="仿宋" w:eastAsia="仿宋" w:cs="仿宋"/>
          <w:sz w:val="28"/>
          <w:szCs w:val="28"/>
          <w:lang w:val="en-US" w:eastAsia="zh-CN"/>
        </w:rPr>
        <w:t>230.02</w:t>
      </w:r>
      <w:r>
        <w:rPr>
          <w:rFonts w:hint="eastAsia" w:ascii="仿宋" w:hAnsi="仿宋" w:eastAsia="仿宋" w:cs="仿宋"/>
          <w:sz w:val="28"/>
          <w:szCs w:val="28"/>
        </w:rPr>
        <w:t>万元。</w:t>
      </w:r>
    </w:p>
    <w:p w14:paraId="62B08871">
      <w:pPr>
        <w:widowControl/>
        <w:numPr>
          <w:ilvl w:val="0"/>
          <w:numId w:val="1"/>
        </w:numPr>
        <w:rPr>
          <w:rFonts w:ascii="仿宋" w:hAnsi="仿宋" w:eastAsia="仿宋" w:cs="仿宋"/>
          <w:b/>
          <w:bCs/>
          <w:sz w:val="30"/>
          <w:szCs w:val="30"/>
        </w:rPr>
      </w:pPr>
      <w:r>
        <w:rPr>
          <w:rFonts w:hint="eastAsia" w:ascii="仿宋" w:hAnsi="仿宋" w:eastAsia="仿宋" w:cs="仿宋"/>
          <w:b/>
          <w:bCs/>
          <w:sz w:val="30"/>
          <w:szCs w:val="30"/>
        </w:rPr>
        <w:t>政府性基金预算支出情况</w:t>
      </w:r>
    </w:p>
    <w:p w14:paraId="4DE792B0">
      <w:pPr>
        <w:widowControl/>
        <w:rPr>
          <w:rFonts w:ascii="仿宋" w:hAnsi="仿宋" w:eastAsia="仿宋" w:cs="仿宋"/>
          <w:sz w:val="28"/>
          <w:szCs w:val="28"/>
        </w:rPr>
      </w:pPr>
      <w:r>
        <w:rPr>
          <w:rFonts w:hint="eastAsia" w:ascii="仿宋" w:hAnsi="仿宋" w:eastAsia="仿宋" w:cs="仿宋"/>
          <w:sz w:val="28"/>
          <w:szCs w:val="28"/>
        </w:rPr>
        <w:t>道县东门街道办事处</w:t>
      </w:r>
      <w:r>
        <w:rPr>
          <w:rFonts w:hint="eastAsia" w:ascii="仿宋" w:hAnsi="仿宋" w:eastAsia="仿宋" w:cs="仿宋"/>
          <w:sz w:val="28"/>
          <w:szCs w:val="28"/>
          <w:lang w:eastAsia="zh-CN"/>
        </w:rPr>
        <w:t>2025年</w:t>
      </w:r>
      <w:r>
        <w:rPr>
          <w:rFonts w:hint="eastAsia" w:ascii="仿宋" w:hAnsi="仿宋" w:eastAsia="仿宋" w:cs="仿宋"/>
          <w:sz w:val="28"/>
          <w:szCs w:val="28"/>
        </w:rPr>
        <w:t>政府性基金预算支出</w:t>
      </w:r>
      <w:r>
        <w:rPr>
          <w:rFonts w:hint="eastAsia" w:ascii="仿宋" w:hAnsi="仿宋" w:eastAsia="仿宋" w:cs="仿宋"/>
          <w:sz w:val="28"/>
          <w:szCs w:val="28"/>
          <w:lang w:val="en-US" w:eastAsia="zh-CN"/>
        </w:rPr>
        <w:t>6.00</w:t>
      </w:r>
      <w:r>
        <w:rPr>
          <w:rFonts w:hint="eastAsia" w:ascii="仿宋" w:hAnsi="仿宋" w:eastAsia="仿宋" w:cs="仿宋"/>
          <w:sz w:val="28"/>
          <w:szCs w:val="28"/>
        </w:rPr>
        <w:t>万元，用于法院南边安置区道路及临时排水管网项目建设。</w:t>
      </w:r>
    </w:p>
    <w:p w14:paraId="394DCC41">
      <w:pPr>
        <w:numPr>
          <w:ilvl w:val="0"/>
          <w:numId w:val="1"/>
        </w:numPr>
        <w:rPr>
          <w:rFonts w:ascii="仿宋" w:hAnsi="仿宋" w:eastAsia="仿宋" w:cs="仿宋"/>
          <w:b/>
          <w:bCs/>
          <w:sz w:val="30"/>
          <w:szCs w:val="30"/>
        </w:rPr>
      </w:pPr>
      <w:r>
        <w:rPr>
          <w:rFonts w:hint="eastAsia" w:ascii="仿宋" w:hAnsi="仿宋" w:eastAsia="仿宋" w:cs="仿宋"/>
          <w:b/>
          <w:bCs/>
          <w:sz w:val="30"/>
          <w:szCs w:val="30"/>
        </w:rPr>
        <w:t>国有资本经营预算支出情况</w:t>
      </w:r>
    </w:p>
    <w:p w14:paraId="3CB16BA7">
      <w:pPr>
        <w:widowControl/>
        <w:rPr>
          <w:rFonts w:ascii="仿宋" w:hAnsi="仿宋" w:eastAsia="仿宋" w:cs="仿宋"/>
          <w:sz w:val="28"/>
          <w:szCs w:val="28"/>
        </w:rPr>
      </w:pPr>
      <w:r>
        <w:rPr>
          <w:rFonts w:hint="eastAsia" w:ascii="仿宋" w:hAnsi="仿宋" w:eastAsia="仿宋" w:cs="仿宋"/>
          <w:sz w:val="28"/>
          <w:szCs w:val="28"/>
        </w:rPr>
        <w:t>道县东门街道办事处</w:t>
      </w:r>
      <w:r>
        <w:rPr>
          <w:rFonts w:hint="eastAsia" w:ascii="仿宋" w:hAnsi="仿宋" w:eastAsia="仿宋" w:cs="仿宋"/>
          <w:sz w:val="28"/>
          <w:szCs w:val="28"/>
          <w:lang w:eastAsia="zh-CN"/>
        </w:rPr>
        <w:t>2025年</w:t>
      </w:r>
      <w:r>
        <w:rPr>
          <w:rFonts w:hint="eastAsia" w:ascii="仿宋" w:hAnsi="仿宋" w:eastAsia="仿宋" w:cs="仿宋"/>
          <w:sz w:val="28"/>
          <w:szCs w:val="28"/>
        </w:rPr>
        <w:t>无国有资本经营预算支出。</w:t>
      </w:r>
    </w:p>
    <w:p w14:paraId="4941CB33">
      <w:pPr>
        <w:numPr>
          <w:ilvl w:val="0"/>
          <w:numId w:val="1"/>
        </w:numPr>
        <w:rPr>
          <w:rFonts w:ascii="仿宋" w:hAnsi="仿宋" w:eastAsia="仿宋" w:cs="仿宋"/>
          <w:b/>
          <w:bCs/>
          <w:sz w:val="30"/>
          <w:szCs w:val="30"/>
        </w:rPr>
      </w:pPr>
      <w:r>
        <w:rPr>
          <w:rFonts w:hint="eastAsia" w:ascii="仿宋" w:hAnsi="仿宋" w:eastAsia="仿宋" w:cs="仿宋"/>
          <w:b/>
          <w:bCs/>
          <w:sz w:val="30"/>
          <w:szCs w:val="30"/>
        </w:rPr>
        <w:t>社会保险基金预算支出情况</w:t>
      </w:r>
    </w:p>
    <w:p w14:paraId="1999BE4D">
      <w:pPr>
        <w:rPr>
          <w:rFonts w:ascii="仿宋" w:hAnsi="仿宋" w:eastAsia="仿宋" w:cs="仿宋"/>
          <w:sz w:val="30"/>
          <w:szCs w:val="30"/>
        </w:rPr>
      </w:pPr>
      <w:r>
        <w:rPr>
          <w:rFonts w:hint="eastAsia" w:ascii="仿宋" w:hAnsi="仿宋" w:eastAsia="仿宋" w:cs="仿宋"/>
          <w:sz w:val="28"/>
          <w:szCs w:val="28"/>
        </w:rPr>
        <w:t>道县东门街道办事处</w:t>
      </w:r>
      <w:r>
        <w:rPr>
          <w:rFonts w:hint="eastAsia" w:ascii="仿宋" w:hAnsi="仿宋" w:eastAsia="仿宋" w:cs="仿宋"/>
          <w:sz w:val="28"/>
          <w:szCs w:val="28"/>
          <w:lang w:eastAsia="zh-CN"/>
        </w:rPr>
        <w:t>2025年</w:t>
      </w:r>
      <w:r>
        <w:rPr>
          <w:rFonts w:hint="eastAsia" w:ascii="仿宋" w:hAnsi="仿宋" w:eastAsia="仿宋" w:cs="仿宋"/>
          <w:sz w:val="28"/>
          <w:szCs w:val="28"/>
        </w:rPr>
        <w:t>无社会保险基金预算支出。</w:t>
      </w:r>
    </w:p>
    <w:p w14:paraId="150C9B56">
      <w:pPr>
        <w:rPr>
          <w:rFonts w:ascii="仿宋" w:hAnsi="仿宋" w:eastAsia="仿宋" w:cs="仿宋"/>
          <w:b/>
          <w:bCs/>
          <w:sz w:val="30"/>
          <w:szCs w:val="30"/>
        </w:rPr>
      </w:pPr>
      <w:r>
        <w:rPr>
          <w:rFonts w:hint="eastAsia" w:ascii="仿宋" w:hAnsi="仿宋" w:eastAsia="仿宋" w:cs="仿宋"/>
          <w:b/>
          <w:bCs/>
          <w:sz w:val="30"/>
          <w:szCs w:val="30"/>
        </w:rPr>
        <w:t>六、部门整体支出绩效情况</w:t>
      </w:r>
    </w:p>
    <w:p w14:paraId="28440007">
      <w:pPr>
        <w:keepNext w:val="0"/>
        <w:keepLines w:val="0"/>
        <w:pageBreakBefore w:val="0"/>
        <w:widowControl w:val="0"/>
        <w:kinsoku/>
        <w:wordWrap/>
        <w:overflowPunct/>
        <w:topLinePunct w:val="0"/>
        <w:autoSpaceDE/>
        <w:autoSpaceDN/>
        <w:bidi w:val="0"/>
        <w:adjustRightInd/>
        <w:snapToGrid/>
        <w:spacing w:line="520" w:lineRule="exact"/>
        <w:ind w:firstLine="602" w:firstLineChars="200"/>
        <w:textAlignment w:val="auto"/>
        <w:rPr>
          <w:rFonts w:hint="default" w:ascii="仿宋" w:hAnsi="仿宋" w:eastAsia="仿宋" w:cs="仿宋"/>
          <w:b/>
          <w:bCs/>
          <w:color w:val="auto"/>
          <w:sz w:val="32"/>
          <w:szCs w:val="32"/>
          <w:lang w:val="en-US" w:eastAsia="zh-CN"/>
        </w:rPr>
      </w:pPr>
      <w:r>
        <w:rPr>
          <w:rFonts w:hint="eastAsia" w:ascii="仿宋" w:hAnsi="仿宋" w:eastAsia="仿宋" w:cs="仿宋"/>
          <w:b/>
          <w:bCs/>
          <w:sz w:val="30"/>
          <w:szCs w:val="30"/>
        </w:rPr>
        <w:t xml:space="preserve"> </w:t>
      </w:r>
      <w:r>
        <w:rPr>
          <w:rFonts w:hint="eastAsia" w:ascii="仿宋" w:hAnsi="仿宋" w:eastAsia="仿宋" w:cs="仿宋"/>
          <w:color w:val="auto"/>
          <w:sz w:val="32"/>
          <w:szCs w:val="32"/>
          <w:lang w:val="en-US" w:eastAsia="zh-CN"/>
        </w:rPr>
        <w:t>2025年东门街道党工委、办事处在县委、县政府的坚强领导下，坚持以高质量发展为主题，以民生服务为核心，紧扣全县“十大产业项目、十大基础设施项目、十大改革事项、十大重点民生实事”年度目标，按照街道既定的“112345”工作计划，团结带领广大党员干部群众凝心聚力、攻坚克难，取得了阶段性工作成效。现将有关工作开展情况汇报如下：</w:t>
      </w:r>
    </w:p>
    <w:p w14:paraId="7DACDDC7">
      <w:pPr>
        <w:keepNext w:val="0"/>
        <w:keepLines w:val="0"/>
        <w:pageBreakBefore w:val="0"/>
        <w:widowControl w:val="0"/>
        <w:kinsoku/>
        <w:wordWrap/>
        <w:overflowPunct/>
        <w:topLinePunct w:val="0"/>
        <w:autoSpaceDE/>
        <w:autoSpaceDN/>
        <w:bidi w:val="0"/>
        <w:adjustRightInd/>
        <w:snapToGrid/>
        <w:spacing w:line="520" w:lineRule="exact"/>
        <w:ind w:left="0" w:leftChars="0" w:firstLine="643" w:firstLineChars="200"/>
        <w:textAlignment w:val="auto"/>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一）、坚持强基固本，全面加强党的建设</w:t>
      </w:r>
    </w:p>
    <w:p w14:paraId="48435B57">
      <w:pPr>
        <w:autoSpaceDE w:val="0"/>
        <w:spacing w:line="520" w:lineRule="exact"/>
        <w:ind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始终把党的政治建设摆在首位，严格落实全面从严治党主体责任，持续提升基层党组织政治功能和组织功能。</w:t>
      </w:r>
    </w:p>
    <w:p w14:paraId="55D1DE4F">
      <w:pPr>
        <w:autoSpaceDE w:val="0"/>
        <w:spacing w:line="520" w:lineRule="exact"/>
        <w:ind w:firstLine="643" w:firstLineChars="200"/>
        <w:rPr>
          <w:rFonts w:ascii="仿宋" w:hAnsi="仿宋" w:eastAsia="仿宋"/>
          <w:sz w:val="32"/>
          <w:szCs w:val="32"/>
        </w:rPr>
      </w:pPr>
      <w:r>
        <w:rPr>
          <w:rFonts w:ascii="仿宋" w:hAnsi="仿宋" w:eastAsia="仿宋"/>
          <w:b/>
          <w:sz w:val="32"/>
          <w:szCs w:val="32"/>
        </w:rPr>
        <w:t>1. 深化理论武装，夯实基层政治根基。</w:t>
      </w:r>
      <w:r>
        <w:rPr>
          <w:rFonts w:hint="eastAsia" w:ascii="仿宋" w:hAnsi="仿宋" w:eastAsia="仿宋" w:cs="宋体"/>
          <w:b/>
          <w:bCs/>
          <w:sz w:val="32"/>
          <w:szCs w:val="32"/>
        </w:rPr>
        <w:t>一是</w:t>
      </w:r>
      <w:r>
        <w:rPr>
          <w:rFonts w:ascii="仿宋" w:hAnsi="仿宋" w:eastAsia="仿宋"/>
          <w:sz w:val="32"/>
          <w:szCs w:val="32"/>
        </w:rPr>
        <w:t>持续深化政治理论学习，落实</w:t>
      </w:r>
      <w:r>
        <w:rPr>
          <w:rFonts w:hint="eastAsia" w:ascii="仿宋" w:hAnsi="仿宋" w:eastAsia="仿宋"/>
          <w:sz w:val="32"/>
          <w:szCs w:val="32"/>
          <w:lang w:eastAsia="zh-CN"/>
        </w:rPr>
        <w:t>“</w:t>
      </w:r>
      <w:r>
        <w:rPr>
          <w:rFonts w:hint="eastAsia" w:ascii="仿宋" w:hAnsi="仿宋" w:eastAsia="仿宋"/>
          <w:sz w:val="32"/>
          <w:szCs w:val="32"/>
          <w:lang w:val="en-US" w:eastAsia="zh-CN"/>
        </w:rPr>
        <w:t>第一议题</w:t>
      </w:r>
      <w:r>
        <w:rPr>
          <w:rFonts w:hint="eastAsia" w:ascii="仿宋" w:hAnsi="仿宋" w:eastAsia="仿宋"/>
          <w:sz w:val="32"/>
          <w:szCs w:val="32"/>
          <w:lang w:eastAsia="zh-CN"/>
        </w:rPr>
        <w:t>”、</w:t>
      </w:r>
      <w:r>
        <w:rPr>
          <w:rFonts w:ascii="仿宋" w:hAnsi="仿宋" w:eastAsia="仿宋"/>
          <w:sz w:val="32"/>
          <w:szCs w:val="32"/>
        </w:rPr>
        <w:t>“三会一课”、主题党日等制度，运用街道党校、党员活动室等载体，采取课堂讲授、案例教学、现场体验等方式，开展党员经常性学习教育10余场次，覆盖党员860余人次。</w:t>
      </w:r>
      <w:r>
        <w:rPr>
          <w:rFonts w:hint="eastAsia" w:ascii="仿宋" w:hAnsi="仿宋" w:eastAsia="仿宋" w:cs="宋体"/>
          <w:b/>
          <w:bCs/>
          <w:sz w:val="32"/>
          <w:szCs w:val="32"/>
        </w:rPr>
        <w:t>二是</w:t>
      </w:r>
      <w:r>
        <w:rPr>
          <w:rFonts w:ascii="仿宋" w:hAnsi="仿宋" w:eastAsia="仿宋"/>
          <w:sz w:val="32"/>
          <w:szCs w:val="32"/>
        </w:rPr>
        <w:t>压实意识形态责任。强化正面宣传引导，在县级以上主流媒体刊发稿件件112篇（其中市级102篇、省级10篇），筑牢思想安全防线；严密筑牢舆情防线，精准排查化解社会舆情10余宗，</w:t>
      </w:r>
      <w:r>
        <w:rPr>
          <w:rFonts w:hint="eastAsia" w:ascii="仿宋" w:hAnsi="仿宋" w:eastAsia="仿宋"/>
          <w:sz w:val="32"/>
          <w:szCs w:val="32"/>
          <w:lang w:val="en-US" w:eastAsia="zh-CN"/>
        </w:rPr>
        <w:t>落实对基督教堂的等宗教场所日常监管机制，</w:t>
      </w:r>
      <w:r>
        <w:rPr>
          <w:rFonts w:ascii="仿宋" w:hAnsi="仿宋" w:eastAsia="仿宋"/>
          <w:sz w:val="32"/>
          <w:szCs w:val="32"/>
        </w:rPr>
        <w:t>确保意识形态领域安全稳定。</w:t>
      </w:r>
    </w:p>
    <w:p w14:paraId="527CBE59">
      <w:pPr>
        <w:autoSpaceDE w:val="0"/>
        <w:spacing w:line="500" w:lineRule="exact"/>
        <w:ind w:firstLine="643" w:firstLineChars="200"/>
        <w:rPr>
          <w:rFonts w:ascii="仿宋" w:hAnsi="仿宋" w:eastAsia="仿宋"/>
          <w:sz w:val="32"/>
          <w:szCs w:val="32"/>
        </w:rPr>
      </w:pPr>
      <w:r>
        <w:rPr>
          <w:rFonts w:ascii="仿宋" w:hAnsi="仿宋" w:eastAsia="仿宋"/>
          <w:b/>
          <w:sz w:val="32"/>
          <w:szCs w:val="32"/>
        </w:rPr>
        <w:t>2. 开展“四个一”进小区，激活小区基层治理。</w:t>
      </w:r>
      <w:r>
        <w:rPr>
          <w:rFonts w:ascii="仿宋" w:hAnsi="仿宋" w:eastAsia="仿宋"/>
          <w:sz w:val="32"/>
          <w:szCs w:val="32"/>
        </w:rPr>
        <w:t>街道下辖18个楼盘小区，社情民意复杂。为此，街道全面推行“一名党政领导、一名社区干部、一名辅警、一名民生网格员”进小区服务机制，精准帮助业主与物业公司化解矛盾纠纷。同时，对条件成熟的小区，依法依规成立业主委员会；暂不具备条件的，依法成立物业管理委员会，并引导小区党支部书记兼任业委会主任，积极探索小区基层治理新模式。</w:t>
      </w:r>
    </w:p>
    <w:p w14:paraId="0139B838">
      <w:pPr>
        <w:autoSpaceDE w:val="0"/>
        <w:spacing w:line="500" w:lineRule="exact"/>
        <w:ind w:firstLine="643" w:firstLineChars="200"/>
        <w:rPr>
          <w:rFonts w:ascii="仿宋" w:hAnsi="仿宋" w:eastAsia="仿宋"/>
          <w:sz w:val="32"/>
          <w:szCs w:val="32"/>
        </w:rPr>
      </w:pPr>
      <w:r>
        <w:rPr>
          <w:rFonts w:ascii="仿宋" w:hAnsi="仿宋" w:eastAsia="仿宋"/>
          <w:b/>
          <w:sz w:val="32"/>
          <w:szCs w:val="32"/>
        </w:rPr>
        <w:t>3. 聚焦新兴领域，推进党建“两个全覆盖”。</w:t>
      </w:r>
      <w:r>
        <w:rPr>
          <w:rFonts w:ascii="仿宋" w:hAnsi="仿宋" w:eastAsia="仿宋"/>
          <w:sz w:val="32"/>
          <w:szCs w:val="32"/>
        </w:rPr>
        <w:t>全面完成辖区18个小区、13家“三有”非公企业党员底数摸排，建立健全动态管理台账，夯实党建工作基础。推动小区党组织建设提质增效，持续扩大组织覆盖：10月</w:t>
      </w:r>
      <w:r>
        <w:rPr>
          <w:rFonts w:hint="eastAsia" w:ascii="仿宋" w:hAnsi="仿宋" w:eastAsia="仿宋"/>
          <w:sz w:val="32"/>
          <w:szCs w:val="32"/>
          <w:lang w:val="en-US" w:eastAsia="zh-CN"/>
        </w:rPr>
        <w:t>在</w:t>
      </w:r>
      <w:r>
        <w:rPr>
          <w:rFonts w:ascii="仿宋" w:hAnsi="仿宋" w:eastAsia="仿宋"/>
          <w:sz w:val="32"/>
          <w:szCs w:val="32"/>
        </w:rPr>
        <w:t>珊瑚海</w:t>
      </w:r>
      <w:r>
        <w:rPr>
          <w:rFonts w:hint="eastAsia" w:ascii="仿宋" w:hAnsi="仿宋" w:eastAsia="仿宋"/>
          <w:sz w:val="32"/>
          <w:szCs w:val="32"/>
          <w:lang w:val="en-US" w:eastAsia="zh-CN"/>
        </w:rPr>
        <w:t>小区开展为业主集中办证活动得到了县委的充分肯定，县委要求该经验在</w:t>
      </w:r>
      <w:r>
        <w:rPr>
          <w:rFonts w:hint="eastAsia" w:ascii="仿宋" w:hAnsi="仿宋" w:eastAsia="仿宋"/>
          <w:b/>
          <w:bCs/>
          <w:sz w:val="32"/>
          <w:szCs w:val="32"/>
          <w:lang w:val="en-US" w:eastAsia="zh-CN"/>
        </w:rPr>
        <w:t>全县示范推广</w:t>
      </w:r>
      <w:r>
        <w:rPr>
          <w:rFonts w:hint="eastAsia" w:ascii="仿宋" w:hAnsi="仿宋" w:eastAsia="仿宋"/>
          <w:sz w:val="32"/>
          <w:szCs w:val="32"/>
          <w:lang w:val="en-US" w:eastAsia="zh-CN"/>
        </w:rPr>
        <w:t>并</w:t>
      </w:r>
      <w:r>
        <w:rPr>
          <w:rFonts w:ascii="仿宋" w:hAnsi="仿宋" w:eastAsia="仿宋"/>
          <w:sz w:val="32"/>
          <w:szCs w:val="32"/>
        </w:rPr>
        <w:t>成功</w:t>
      </w:r>
      <w:r>
        <w:rPr>
          <w:rFonts w:hint="eastAsia" w:ascii="仿宋" w:hAnsi="仿宋" w:eastAsia="仿宋"/>
          <w:sz w:val="32"/>
          <w:szCs w:val="32"/>
          <w:lang w:val="en-US" w:eastAsia="zh-CN"/>
        </w:rPr>
        <w:t>组建</w:t>
      </w:r>
      <w:r>
        <w:rPr>
          <w:rFonts w:ascii="仿宋" w:hAnsi="仿宋" w:eastAsia="仿宋"/>
          <w:sz w:val="32"/>
          <w:szCs w:val="32"/>
        </w:rPr>
        <w:t>珊瑚海小区党支部</w:t>
      </w:r>
      <w:r>
        <w:rPr>
          <w:rFonts w:hint="eastAsia" w:ascii="仿宋" w:hAnsi="仿宋" w:eastAsia="仿宋"/>
          <w:sz w:val="32"/>
          <w:szCs w:val="32"/>
          <w:lang w:eastAsia="zh-CN"/>
        </w:rPr>
        <w:t>；</w:t>
      </w:r>
      <w:r>
        <w:rPr>
          <w:rFonts w:ascii="仿宋" w:hAnsi="仿宋" w:eastAsia="仿宋"/>
          <w:sz w:val="32"/>
          <w:szCs w:val="32"/>
        </w:rPr>
        <w:t>11月</w:t>
      </w:r>
      <w:r>
        <w:rPr>
          <w:rFonts w:hint="eastAsia" w:ascii="仿宋" w:hAnsi="仿宋" w:eastAsia="仿宋"/>
          <w:sz w:val="32"/>
          <w:szCs w:val="32"/>
          <w:lang w:val="en-US" w:eastAsia="zh-CN"/>
        </w:rPr>
        <w:t>成功新建</w:t>
      </w:r>
      <w:r>
        <w:rPr>
          <w:rFonts w:ascii="仿宋" w:hAnsi="仿宋" w:eastAsia="仿宋"/>
          <w:sz w:val="32"/>
          <w:szCs w:val="32"/>
        </w:rPr>
        <w:t>东方丽都小区党支部，同步</w:t>
      </w:r>
      <w:r>
        <w:rPr>
          <w:rFonts w:hint="eastAsia" w:ascii="仿宋" w:hAnsi="仿宋" w:eastAsia="仿宋"/>
          <w:sz w:val="32"/>
          <w:szCs w:val="32"/>
          <w:lang w:val="en-US" w:eastAsia="zh-CN"/>
        </w:rPr>
        <w:t>筹备</w:t>
      </w:r>
      <w:r>
        <w:rPr>
          <w:rFonts w:ascii="仿宋" w:hAnsi="仿宋" w:eastAsia="仿宋"/>
          <w:sz w:val="32"/>
          <w:szCs w:val="32"/>
        </w:rPr>
        <w:t>碧桂园小区党支部换届</w:t>
      </w:r>
      <w:r>
        <w:rPr>
          <w:rFonts w:hint="eastAsia" w:ascii="仿宋" w:hAnsi="仿宋" w:eastAsia="仿宋"/>
          <w:sz w:val="32"/>
          <w:szCs w:val="32"/>
          <w:lang w:val="en-US" w:eastAsia="zh-CN"/>
        </w:rPr>
        <w:t>和其他楼盘小区党支部成立</w:t>
      </w:r>
      <w:r>
        <w:rPr>
          <w:rFonts w:ascii="仿宋" w:hAnsi="仿宋" w:eastAsia="仿宋"/>
          <w:sz w:val="32"/>
          <w:szCs w:val="32"/>
        </w:rPr>
        <w:t>，切实筑牢基层战斗堡垒。精准选派10名党建指导员下沉一线，强化非公企业与小区党建指导力度，同时扎实</w:t>
      </w:r>
      <w:r>
        <w:rPr>
          <w:rFonts w:hint="eastAsia" w:ascii="仿宋" w:hAnsi="仿宋" w:eastAsia="仿宋"/>
          <w:sz w:val="32"/>
          <w:szCs w:val="32"/>
          <w:lang w:val="en-US" w:eastAsia="zh-CN"/>
        </w:rPr>
        <w:t>推进</w:t>
      </w:r>
      <w:r>
        <w:rPr>
          <w:rFonts w:ascii="仿宋" w:hAnsi="仿宋" w:eastAsia="仿宋"/>
          <w:sz w:val="32"/>
          <w:szCs w:val="32"/>
        </w:rPr>
        <w:t>村（社区）“两委”班子换届选举工作，确保换届工作平稳有序推进。</w:t>
      </w:r>
    </w:p>
    <w:p w14:paraId="4243BB01">
      <w:pPr>
        <w:autoSpaceDE w:val="0"/>
        <w:spacing w:line="500" w:lineRule="exact"/>
        <w:ind w:firstLine="643" w:firstLineChars="200"/>
        <w:rPr>
          <w:rFonts w:hint="eastAsia" w:ascii="仿宋" w:hAnsi="仿宋" w:eastAsia="仿宋" w:cs="仿宋"/>
          <w:color w:val="auto"/>
          <w:sz w:val="32"/>
          <w:szCs w:val="32"/>
          <w:lang w:val="en-US" w:eastAsia="zh-CN"/>
        </w:rPr>
      </w:pPr>
      <w:r>
        <w:rPr>
          <w:rFonts w:ascii="仿宋" w:hAnsi="仿宋" w:eastAsia="仿宋"/>
          <w:b/>
          <w:sz w:val="32"/>
          <w:szCs w:val="32"/>
        </w:rPr>
        <w:t>4. 精准减负赋能，提升基层治理效能。</w:t>
      </w:r>
      <w:r>
        <w:rPr>
          <w:rFonts w:ascii="仿宋" w:hAnsi="仿宋" w:eastAsia="仿宋"/>
          <w:sz w:val="32"/>
          <w:szCs w:val="32"/>
        </w:rPr>
        <w:t>高质量完成履职事项清单编制工作，通过清单化管理理清职责、提升治理效能。目前已公示基本履职事项108项、配合事项99项，依法依规收回非必要履职事项108项，切实为基层松绑减负，让干部有更多精力服务群众。</w:t>
      </w:r>
    </w:p>
    <w:p w14:paraId="44022B38">
      <w:pPr>
        <w:keepNext w:val="0"/>
        <w:keepLines w:val="0"/>
        <w:pageBreakBefore w:val="0"/>
        <w:widowControl w:val="0"/>
        <w:kinsoku/>
        <w:wordWrap/>
        <w:overflowPunct/>
        <w:topLinePunct w:val="0"/>
        <w:autoSpaceDE/>
        <w:autoSpaceDN/>
        <w:bidi w:val="0"/>
        <w:adjustRightInd/>
        <w:snapToGrid/>
        <w:spacing w:line="520" w:lineRule="exact"/>
        <w:ind w:left="0" w:leftChars="0" w:firstLine="643" w:firstLineChars="200"/>
        <w:textAlignment w:val="auto"/>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二、抓牢安全稳定，全程夯实发展根基</w:t>
      </w:r>
    </w:p>
    <w:p w14:paraId="0E95F2F7">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始终把安全稳定作为底线工作，统筹推进安全生产、平安建设、综治信访，确保辖区大局和谐稳定。</w:t>
      </w:r>
    </w:p>
    <w:p w14:paraId="2257809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textAlignment w:val="auto"/>
        <w:rPr>
          <w:rFonts w:hint="eastAsia" w:ascii="仿宋" w:hAnsi="仿宋" w:eastAsia="仿宋" w:cs="仿宋"/>
          <w:color w:val="auto"/>
          <w:sz w:val="32"/>
          <w:szCs w:val="32"/>
          <w:lang w:val="en-US" w:eastAsia="zh-CN"/>
        </w:rPr>
      </w:pPr>
      <w:r>
        <w:rPr>
          <w:rFonts w:hint="eastAsia" w:ascii="仿宋" w:hAnsi="仿宋" w:eastAsia="仿宋" w:cs="仿宋"/>
          <w:b/>
          <w:bCs/>
          <w:color w:val="auto"/>
          <w:sz w:val="32"/>
          <w:szCs w:val="32"/>
          <w:lang w:val="en-US" w:eastAsia="zh-CN"/>
        </w:rPr>
        <w:t>1.安全生产常抓不懈。</w:t>
      </w:r>
      <w:r>
        <w:rPr>
          <w:rFonts w:hint="eastAsia" w:ascii="仿宋" w:hAnsi="仿宋" w:eastAsia="仿宋" w:cs="仿宋"/>
          <w:color w:val="auto"/>
          <w:sz w:val="32"/>
          <w:szCs w:val="32"/>
          <w:lang w:val="en-US" w:eastAsia="zh-CN"/>
        </w:rPr>
        <w:t>推进安全生产治本攻坚三年行动，健全“三抓三查三严”长效机制，在刚刚举行的应急队伍技能比赛中</w:t>
      </w:r>
      <w:r>
        <w:rPr>
          <w:rFonts w:hint="eastAsia" w:ascii="仿宋" w:hAnsi="仿宋" w:eastAsia="仿宋" w:cs="仿宋"/>
          <w:b/>
          <w:bCs/>
          <w:color w:val="auto"/>
          <w:sz w:val="32"/>
          <w:szCs w:val="32"/>
          <w:lang w:val="en-US" w:eastAsia="zh-CN"/>
        </w:rPr>
        <w:t>东门街道考核为优秀。</w:t>
      </w:r>
    </w:p>
    <w:p w14:paraId="5411AA3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textAlignment w:val="auto"/>
        <w:rPr>
          <w:rFonts w:hint="eastAsia" w:ascii="仿宋" w:hAnsi="仿宋" w:eastAsia="仿宋" w:cs="仿宋"/>
          <w:color w:val="auto"/>
          <w:sz w:val="32"/>
          <w:szCs w:val="32"/>
          <w:lang w:val="en-US" w:eastAsia="zh-CN"/>
        </w:rPr>
      </w:pPr>
      <w:r>
        <w:rPr>
          <w:rFonts w:hint="eastAsia" w:ascii="仿宋" w:hAnsi="仿宋" w:eastAsia="仿宋" w:cs="仿宋"/>
          <w:b/>
          <w:bCs/>
          <w:color w:val="auto"/>
          <w:sz w:val="32"/>
          <w:szCs w:val="32"/>
          <w:lang w:val="en-US" w:eastAsia="zh-CN"/>
        </w:rPr>
        <w:t>2.平安建设纵深推进。</w:t>
      </w:r>
      <w:r>
        <w:rPr>
          <w:rFonts w:hint="eastAsia" w:ascii="仿宋" w:hAnsi="仿宋" w:eastAsia="仿宋" w:cs="仿宋"/>
          <w:color w:val="auto"/>
          <w:sz w:val="32"/>
          <w:szCs w:val="32"/>
          <w:lang w:val="en-US" w:eastAsia="zh-CN"/>
        </w:rPr>
        <w:t>开展法治宣传“五进”活动10场次，发放资料8000余份，提升了群众及辖区学生反电诈、反毒品、防性侵意识。</w:t>
      </w:r>
    </w:p>
    <w:p w14:paraId="3A4050A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3"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b/>
          <w:bCs/>
          <w:color w:val="auto"/>
          <w:sz w:val="32"/>
          <w:szCs w:val="32"/>
          <w:lang w:val="en-US" w:eastAsia="zh-CN"/>
        </w:rPr>
        <w:t>3. 综治信访高效处置。</w:t>
      </w:r>
      <w:r>
        <w:rPr>
          <w:rFonts w:hint="eastAsia" w:ascii="仿宋" w:hAnsi="仿宋" w:eastAsia="仿宋" w:cs="仿宋"/>
          <w:color w:val="auto"/>
          <w:sz w:val="32"/>
          <w:szCs w:val="32"/>
          <w:lang w:val="en-US" w:eastAsia="zh-CN"/>
        </w:rPr>
        <w:t>依托社会治理“1+4+2”机制，充分发挥“政法五老”、片组邻“三长制”作用，受理信访件17件（办结12件、办理中5件），化解矛盾纠纷64件（办结率94%），成功化解了林某某等</w:t>
      </w:r>
      <w:r>
        <w:rPr>
          <w:rFonts w:hint="eastAsia" w:ascii="仿宋" w:hAnsi="仿宋" w:eastAsia="仿宋" w:cs="仿宋"/>
          <w:b/>
          <w:bCs/>
          <w:color w:val="auto"/>
          <w:sz w:val="32"/>
          <w:szCs w:val="32"/>
          <w:lang w:val="en-US" w:eastAsia="zh-CN"/>
        </w:rPr>
        <w:t>三大信访积案。</w:t>
      </w:r>
    </w:p>
    <w:p w14:paraId="34DCC9F2">
      <w:pPr>
        <w:keepNext w:val="0"/>
        <w:keepLines w:val="0"/>
        <w:pageBreakBefore w:val="0"/>
        <w:widowControl w:val="0"/>
        <w:kinsoku/>
        <w:wordWrap/>
        <w:overflowPunct/>
        <w:topLinePunct w:val="0"/>
        <w:autoSpaceDE/>
        <w:autoSpaceDN/>
        <w:bidi w:val="0"/>
        <w:adjustRightInd/>
        <w:snapToGrid/>
        <w:spacing w:line="520" w:lineRule="exact"/>
        <w:ind w:left="0" w:leftChars="0" w:firstLine="643" w:firstLineChars="200"/>
        <w:textAlignment w:val="auto"/>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三）、聚焦民生福祉，全心办好民生实事</w:t>
      </w:r>
    </w:p>
    <w:p w14:paraId="061A2F17">
      <w:pPr>
        <w:autoSpaceDE w:val="0"/>
        <w:spacing w:line="500" w:lineRule="exact"/>
        <w:ind w:firstLine="640" w:firstLineChars="200"/>
        <w:rPr>
          <w:rFonts w:hint="eastAsia" w:ascii="仿宋" w:hAnsi="仿宋" w:eastAsia="仿宋"/>
          <w:sz w:val="32"/>
          <w:szCs w:val="32"/>
        </w:rPr>
      </w:pPr>
      <w:r>
        <w:rPr>
          <w:rFonts w:ascii="仿宋" w:hAnsi="仿宋" w:eastAsia="仿宋"/>
          <w:sz w:val="32"/>
          <w:szCs w:val="32"/>
        </w:rPr>
        <w:t>坚持以人民为中心的发展思想，全面推进民生</w:t>
      </w:r>
      <w:r>
        <w:rPr>
          <w:rFonts w:hint="eastAsia" w:ascii="仿宋" w:hAnsi="仿宋" w:eastAsia="仿宋"/>
          <w:sz w:val="32"/>
          <w:szCs w:val="32"/>
          <w:lang w:val="en-US" w:eastAsia="zh-CN"/>
        </w:rPr>
        <w:t>实事</w:t>
      </w:r>
      <w:r>
        <w:rPr>
          <w:rFonts w:ascii="仿宋" w:hAnsi="仿宋" w:eastAsia="仿宋"/>
          <w:sz w:val="32"/>
          <w:szCs w:val="32"/>
        </w:rPr>
        <w:t>项目实施，不断提升</w:t>
      </w:r>
      <w:r>
        <w:rPr>
          <w:rFonts w:hint="eastAsia" w:ascii="仿宋" w:hAnsi="仿宋" w:eastAsia="仿宋"/>
          <w:sz w:val="32"/>
          <w:szCs w:val="32"/>
          <w:lang w:val="en-US" w:eastAsia="zh-CN"/>
        </w:rPr>
        <w:t>人民</w:t>
      </w:r>
      <w:r>
        <w:rPr>
          <w:rFonts w:ascii="仿宋" w:hAnsi="仿宋" w:eastAsia="仿宋"/>
          <w:sz w:val="32"/>
          <w:szCs w:val="32"/>
        </w:rPr>
        <w:t>群众获得感和幸福感。</w:t>
      </w:r>
    </w:p>
    <w:p w14:paraId="612397CE">
      <w:pPr>
        <w:autoSpaceDE w:val="0"/>
        <w:spacing w:line="500" w:lineRule="exact"/>
        <w:ind w:firstLine="643" w:firstLineChars="200"/>
        <w:rPr>
          <w:rFonts w:hint="eastAsia" w:ascii="仿宋" w:hAnsi="仿宋" w:eastAsia="仿宋" w:cs="仿宋"/>
          <w:sz w:val="32"/>
          <w:szCs w:val="32"/>
        </w:rPr>
      </w:pPr>
      <w:r>
        <w:rPr>
          <w:rFonts w:hint="eastAsia" w:ascii="仿宋" w:hAnsi="仿宋" w:eastAsia="仿宋" w:cs="仿宋"/>
          <w:b/>
          <w:sz w:val="32"/>
          <w:szCs w:val="32"/>
        </w:rPr>
        <w:t>1. 全力服务重点项目。</w:t>
      </w:r>
      <w:r>
        <w:rPr>
          <w:rFonts w:hint="eastAsia" w:ascii="仿宋" w:hAnsi="仿宋" w:eastAsia="仿宋" w:cs="仿宋"/>
          <w:b/>
          <w:bCs/>
          <w:sz w:val="32"/>
          <w:szCs w:val="32"/>
        </w:rPr>
        <w:t>一是攻坚解决了一批历史遗留难题。</w:t>
      </w:r>
      <w:r>
        <w:rPr>
          <w:rFonts w:hint="eastAsia" w:ascii="仿宋" w:hAnsi="仿宋" w:eastAsia="仿宋" w:cs="仿宋"/>
          <w:sz w:val="32"/>
          <w:szCs w:val="32"/>
        </w:rPr>
        <w:t>如：乌家山断头路（营阳大道至绍基公园段）2019年招标后6年未推进的项目，2个月内完成竣工通车。街道仅以40元/平方米的搬迁补助标准，高效完成中球法拍地冯家市场46个经营户搬迁工作。</w:t>
      </w:r>
      <w:r>
        <w:rPr>
          <w:rFonts w:hint="eastAsia" w:ascii="仿宋" w:hAnsi="仿宋" w:eastAsia="仿宋" w:cs="仿宋"/>
          <w:b/>
          <w:bCs/>
          <w:sz w:val="32"/>
          <w:szCs w:val="32"/>
        </w:rPr>
        <w:t>二是争取了一批民生项目上马</w:t>
      </w:r>
      <w:r>
        <w:rPr>
          <w:rFonts w:hint="eastAsia" w:ascii="仿宋" w:hAnsi="仿宋" w:eastAsia="仿宋" w:cs="仿宋"/>
          <w:sz w:val="32"/>
          <w:szCs w:val="32"/>
        </w:rPr>
        <w:t>。如加速推进工业园至双塘村道路提质改造</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将</w:t>
      </w:r>
      <w:r>
        <w:rPr>
          <w:rFonts w:hint="eastAsia" w:ascii="仿宋" w:hAnsi="仿宋" w:eastAsia="仿宋" w:cs="仿宋"/>
          <w:b/>
          <w:bCs/>
          <w:sz w:val="32"/>
          <w:szCs w:val="32"/>
          <w:lang w:val="en-US" w:eastAsia="zh-CN"/>
        </w:rPr>
        <w:t>率先实现街道到村主干道通柏油路目标；</w:t>
      </w:r>
      <w:r>
        <w:rPr>
          <w:rFonts w:hint="eastAsia" w:ascii="仿宋" w:hAnsi="仿宋" w:eastAsia="仿宋" w:cs="仿宋"/>
          <w:sz w:val="32"/>
          <w:szCs w:val="32"/>
        </w:rPr>
        <w:t>城东防洪堤建设一期工程沿河大道南门口拆迁和湘源东路路灯亮化工程</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新立村和冯家社区道路加宽、北门社区道路硬化和高车、东门机耕道建设等项目</w:t>
      </w:r>
      <w:r>
        <w:rPr>
          <w:rFonts w:hint="eastAsia" w:ascii="仿宋" w:hAnsi="仿宋" w:eastAsia="仿宋" w:cs="仿宋"/>
          <w:sz w:val="32"/>
          <w:szCs w:val="32"/>
        </w:rPr>
        <w:t>如期完成；全面启动谷源学校道路加宽、东洲学校停车场、珊瑚海小区内涝排洪项目建设；</w:t>
      </w:r>
      <w:r>
        <w:rPr>
          <w:rFonts w:hint="eastAsia" w:ascii="仿宋" w:hAnsi="仿宋" w:eastAsia="仿宋" w:cs="仿宋"/>
          <w:sz w:val="32"/>
          <w:szCs w:val="32"/>
          <w:lang w:val="en-US" w:eastAsia="zh-CN"/>
        </w:rPr>
        <w:t>年前实现</w:t>
      </w:r>
      <w:r>
        <w:rPr>
          <w:rFonts w:hint="eastAsia" w:ascii="仿宋" w:hAnsi="仿宋" w:eastAsia="仿宋" w:cs="仿宋"/>
          <w:sz w:val="32"/>
          <w:szCs w:val="32"/>
        </w:rPr>
        <w:t>白泥塘</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高车、双塘、新立</w:t>
      </w:r>
      <w:r>
        <w:rPr>
          <w:rFonts w:hint="eastAsia" w:ascii="仿宋" w:hAnsi="仿宋" w:eastAsia="仿宋" w:cs="仿宋"/>
          <w:sz w:val="32"/>
          <w:szCs w:val="32"/>
        </w:rPr>
        <w:t>等四村城乡供水一体化</w:t>
      </w:r>
      <w:r>
        <w:rPr>
          <w:rFonts w:hint="eastAsia" w:ascii="仿宋" w:hAnsi="仿宋" w:eastAsia="仿宋" w:cs="仿宋"/>
          <w:sz w:val="32"/>
          <w:szCs w:val="32"/>
          <w:lang w:val="en-US" w:eastAsia="zh-CN"/>
        </w:rPr>
        <w:t>工程主水管贯通，</w:t>
      </w:r>
      <w:r>
        <w:rPr>
          <w:rFonts w:hint="eastAsia" w:ascii="仿宋" w:hAnsi="仿宋" w:eastAsia="仿宋" w:cs="仿宋"/>
          <w:b/>
          <w:bCs/>
          <w:sz w:val="32"/>
          <w:szCs w:val="32"/>
          <w:lang w:val="en-US" w:eastAsia="zh-CN"/>
        </w:rPr>
        <w:t>率先实现全街道村村通自来水目标</w:t>
      </w:r>
      <w:r>
        <w:rPr>
          <w:rFonts w:hint="eastAsia" w:ascii="仿宋" w:hAnsi="仿宋" w:eastAsia="仿宋" w:cs="仿宋"/>
          <w:sz w:val="32"/>
          <w:szCs w:val="32"/>
          <w:lang w:val="en-US" w:eastAsia="zh-CN"/>
        </w:rPr>
        <w:t>；力争</w:t>
      </w:r>
      <w:r>
        <w:rPr>
          <w:rFonts w:hint="eastAsia" w:ascii="仿宋" w:hAnsi="仿宋" w:eastAsia="仿宋" w:cs="仿宋"/>
          <w:sz w:val="32"/>
          <w:szCs w:val="32"/>
        </w:rPr>
        <w:t>状元路东洲学校段、冯家社区安置区（富园五路）排涝工程、东门何绍基故里创3A景区</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工业新村的排水工程、东洲社区广场美化绿化及防洪提质改造、县六小食堂改扩建</w:t>
      </w:r>
      <w:r>
        <w:rPr>
          <w:rFonts w:hint="eastAsia" w:ascii="仿宋" w:hAnsi="仿宋" w:eastAsia="仿宋" w:cs="仿宋"/>
          <w:sz w:val="32"/>
          <w:szCs w:val="32"/>
        </w:rPr>
        <w:t>等项目早日开工。</w:t>
      </w:r>
    </w:p>
    <w:p w14:paraId="45F9B57A">
      <w:pPr>
        <w:autoSpaceDE w:val="0"/>
        <w:spacing w:line="500" w:lineRule="exact"/>
        <w:ind w:firstLine="643" w:firstLineChars="200"/>
        <w:rPr>
          <w:rFonts w:hint="eastAsia" w:ascii="仿宋" w:hAnsi="仿宋" w:eastAsia="仿宋" w:cs="仿宋"/>
          <w:sz w:val="32"/>
          <w:szCs w:val="32"/>
        </w:rPr>
      </w:pPr>
      <w:r>
        <w:rPr>
          <w:rFonts w:hint="eastAsia" w:ascii="仿宋" w:hAnsi="仿宋" w:eastAsia="仿宋" w:cs="仿宋"/>
          <w:b/>
          <w:sz w:val="32"/>
          <w:szCs w:val="32"/>
        </w:rPr>
        <w:t>2. 社会保障精准发力。</w:t>
      </w:r>
      <w:r>
        <w:rPr>
          <w:rFonts w:hint="eastAsia" w:ascii="仿宋" w:hAnsi="仿宋" w:eastAsia="仿宋" w:cs="仿宋"/>
          <w:sz w:val="32"/>
          <w:szCs w:val="32"/>
        </w:rPr>
        <w:t>教育帮扶全覆盖，春季资助脱贫家庭学生309人（20.97万元），落实“雨露计划”84人（1.6万元）；健康帮扶见实效，特殊人群基本医保参保率100%；住房安全有保障，排查住房安全500余户，整改隐患12处；兜底与就业保障有力，发放各类救助资金153万元，760名脱贫劳动力稳定就业6个月以上，开发公益性岗位56个，人均月增收1000元</w:t>
      </w:r>
      <w:r>
        <w:rPr>
          <w:rFonts w:hint="eastAsia" w:ascii="仿宋" w:hAnsi="仿宋" w:eastAsia="仿宋" w:cs="仿宋"/>
          <w:sz w:val="32"/>
          <w:szCs w:val="32"/>
          <w:lang w:eastAsia="zh-CN"/>
        </w:rPr>
        <w:t>，</w:t>
      </w:r>
      <w:r>
        <w:rPr>
          <w:rFonts w:hint="eastAsia" w:ascii="仿宋" w:hAnsi="仿宋" w:eastAsia="仿宋" w:cs="仿宋"/>
          <w:b/>
          <w:bCs/>
          <w:sz w:val="32"/>
          <w:szCs w:val="32"/>
          <w:lang w:val="en-US" w:eastAsia="zh-CN"/>
        </w:rPr>
        <w:t>其中2026年医保缴费工作排在全县第三名</w:t>
      </w:r>
      <w:r>
        <w:rPr>
          <w:rFonts w:hint="eastAsia" w:ascii="仿宋" w:hAnsi="仿宋" w:eastAsia="仿宋" w:cs="仿宋"/>
          <w:b/>
          <w:bCs/>
          <w:sz w:val="32"/>
          <w:szCs w:val="32"/>
        </w:rPr>
        <w:t>。</w:t>
      </w:r>
    </w:p>
    <w:p w14:paraId="45E6BFAA">
      <w:pPr>
        <w:autoSpaceDE w:val="0"/>
        <w:spacing w:line="500" w:lineRule="exact"/>
        <w:ind w:firstLine="643" w:firstLineChars="200"/>
        <w:rPr>
          <w:rFonts w:hint="eastAsia" w:ascii="仿宋" w:hAnsi="仿宋" w:eastAsia="仿宋" w:cs="仿宋"/>
          <w:color w:val="auto"/>
          <w:sz w:val="32"/>
          <w:szCs w:val="32"/>
          <w:lang w:val="en-US" w:eastAsia="zh-CN"/>
        </w:rPr>
      </w:pPr>
      <w:r>
        <w:rPr>
          <w:rFonts w:hint="eastAsia" w:ascii="仿宋" w:hAnsi="仿宋" w:eastAsia="仿宋" w:cs="仿宋"/>
          <w:b/>
          <w:sz w:val="32"/>
          <w:szCs w:val="32"/>
        </w:rPr>
        <w:t>3. 人居环境持续改善。</w:t>
      </w:r>
      <w:r>
        <w:rPr>
          <w:rFonts w:hint="eastAsia" w:ascii="仿宋" w:hAnsi="仿宋" w:eastAsia="仿宋" w:cs="仿宋"/>
          <w:sz w:val="32"/>
          <w:szCs w:val="32"/>
        </w:rPr>
        <w:t>制定农村人居环境整治方案及考核办法，实行每月巡查全覆盖和问题清单销号管理；学习“千万工程”经验，推行党员包户、每月评比等五项制度，辖区环境显著改善，多次获县级暗访点名表扬，</w:t>
      </w:r>
      <w:r>
        <w:rPr>
          <w:rFonts w:hint="eastAsia" w:ascii="仿宋" w:hAnsi="仿宋" w:eastAsia="仿宋" w:cs="仿宋"/>
          <w:sz w:val="32"/>
          <w:szCs w:val="32"/>
          <w:lang w:val="en-US" w:eastAsia="zh-CN"/>
        </w:rPr>
        <w:t>新立村</w:t>
      </w:r>
      <w:r>
        <w:rPr>
          <w:rFonts w:hint="eastAsia" w:ascii="仿宋" w:hAnsi="仿宋" w:eastAsia="仿宋" w:cs="仿宋"/>
          <w:sz w:val="32"/>
          <w:szCs w:val="32"/>
        </w:rPr>
        <w:t>成功申报市美丽乡村示范村创建。</w:t>
      </w:r>
    </w:p>
    <w:p w14:paraId="6E985520">
      <w:pPr>
        <w:keepNext w:val="0"/>
        <w:keepLines w:val="0"/>
        <w:pageBreakBefore w:val="0"/>
        <w:widowControl w:val="0"/>
        <w:kinsoku/>
        <w:wordWrap/>
        <w:overflowPunct/>
        <w:topLinePunct w:val="0"/>
        <w:autoSpaceDE/>
        <w:autoSpaceDN/>
        <w:bidi w:val="0"/>
        <w:adjustRightInd/>
        <w:snapToGrid/>
        <w:spacing w:line="520" w:lineRule="exact"/>
        <w:ind w:left="0" w:leftChars="0" w:firstLine="643" w:firstLineChars="200"/>
        <w:textAlignment w:val="auto"/>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四）、深化乡村振兴，全力推动城乡融合</w:t>
      </w:r>
    </w:p>
    <w:p w14:paraId="7431E3E7">
      <w:pPr>
        <w:autoSpaceDE w:val="0"/>
        <w:spacing w:line="500" w:lineRule="exact"/>
        <w:ind w:firstLine="640" w:firstLineChars="200"/>
        <w:rPr>
          <w:rFonts w:hint="eastAsia" w:ascii="仿宋" w:hAnsi="仿宋" w:eastAsia="仿宋"/>
          <w:sz w:val="32"/>
          <w:szCs w:val="32"/>
        </w:rPr>
      </w:pPr>
      <w:r>
        <w:rPr>
          <w:rFonts w:ascii="仿宋" w:hAnsi="仿宋" w:eastAsia="仿宋"/>
          <w:sz w:val="32"/>
          <w:szCs w:val="32"/>
        </w:rPr>
        <w:t>紧紧围绕“产业兴旺、生态宜居、治理有效、生活富裕”目标，巩固拓展脱贫攻坚成果，推进乡村全面振兴。</w:t>
      </w:r>
    </w:p>
    <w:p w14:paraId="147B44B0">
      <w:pPr>
        <w:autoSpaceDE w:val="0"/>
        <w:spacing w:line="500" w:lineRule="exact"/>
        <w:ind w:firstLine="643" w:firstLineChars="200"/>
        <w:rPr>
          <w:rFonts w:ascii="仿宋" w:hAnsi="仿宋" w:eastAsia="仿宋"/>
          <w:b/>
          <w:bCs/>
          <w:sz w:val="32"/>
          <w:szCs w:val="32"/>
        </w:rPr>
      </w:pPr>
      <w:r>
        <w:rPr>
          <w:rFonts w:ascii="仿宋" w:hAnsi="仿宋" w:eastAsia="仿宋"/>
          <w:b/>
          <w:sz w:val="32"/>
          <w:szCs w:val="32"/>
        </w:rPr>
        <w:t>1. 巩固衔接精准有力。</w:t>
      </w:r>
      <w:r>
        <w:rPr>
          <w:rFonts w:ascii="仿宋" w:hAnsi="仿宋" w:eastAsia="仿宋"/>
          <w:sz w:val="32"/>
          <w:szCs w:val="32"/>
        </w:rPr>
        <w:t>强化动态监测，消除风险监测户14户48人；发展脐橙、食用菌等产业带动就业630余人，年产值超900万元，发放就业补贴22.18万元；落实“三色档案”管理，对56户监测户动态调整帮扶措施，完成率100%。</w:t>
      </w:r>
      <w:r>
        <w:rPr>
          <w:rFonts w:hint="eastAsia" w:ascii="仿宋" w:hAnsi="仿宋" w:eastAsia="仿宋" w:cs="宋体"/>
          <w:b/>
          <w:bCs/>
          <w:sz w:val="32"/>
          <w:szCs w:val="32"/>
        </w:rPr>
        <w:t>新立村成为全县面上村乡村振兴立标打样示范村，冯家安置点高分通过市级考核，白泥塘村代表省里成功通过国家农业农村部二轮延包试点督查验收</w:t>
      </w:r>
      <w:r>
        <w:rPr>
          <w:rFonts w:hint="eastAsia" w:ascii="仿宋" w:hAnsi="仿宋" w:eastAsia="仿宋" w:cs="宋体"/>
          <w:b/>
          <w:bCs/>
          <w:sz w:val="32"/>
          <w:szCs w:val="32"/>
          <w:lang w:val="en-US" w:eastAsia="zh-CN"/>
        </w:rPr>
        <w:t>,乡村振兴工作2025年度考核位列全县前三名</w:t>
      </w:r>
      <w:r>
        <w:rPr>
          <w:rFonts w:hint="eastAsia" w:ascii="仿宋" w:hAnsi="仿宋" w:eastAsia="仿宋" w:cs="宋体"/>
          <w:b/>
          <w:bCs/>
          <w:sz w:val="32"/>
          <w:szCs w:val="32"/>
        </w:rPr>
        <w:t>。</w:t>
      </w:r>
    </w:p>
    <w:p w14:paraId="7D36F83F">
      <w:pPr>
        <w:autoSpaceDE w:val="0"/>
        <w:spacing w:line="500" w:lineRule="exact"/>
        <w:ind w:firstLine="643" w:firstLineChars="200"/>
        <w:rPr>
          <w:rFonts w:ascii="仿宋" w:hAnsi="仿宋" w:eastAsia="仿宋"/>
          <w:sz w:val="32"/>
          <w:szCs w:val="32"/>
        </w:rPr>
      </w:pPr>
      <w:r>
        <w:rPr>
          <w:rFonts w:ascii="仿宋" w:hAnsi="仿宋" w:eastAsia="仿宋"/>
          <w:b/>
          <w:sz w:val="32"/>
          <w:szCs w:val="32"/>
        </w:rPr>
        <w:t>2. 扛稳粮食安全责任。</w:t>
      </w:r>
      <w:r>
        <w:rPr>
          <w:rFonts w:ascii="仿宋" w:hAnsi="仿宋" w:eastAsia="仿宋"/>
          <w:sz w:val="32"/>
          <w:szCs w:val="32"/>
        </w:rPr>
        <w:t>完善耕地保护制度，完成粮食种植8000亩（新立村建成千亩示范片）、油菜种植3500亩，筑牢粮食安全根基。</w:t>
      </w:r>
    </w:p>
    <w:p w14:paraId="14F3C346">
      <w:pPr>
        <w:autoSpaceDE w:val="0"/>
        <w:spacing w:line="500" w:lineRule="exact"/>
        <w:ind w:firstLine="643" w:firstLineChars="200"/>
        <w:rPr>
          <w:rFonts w:ascii="仿宋" w:hAnsi="仿宋" w:eastAsia="仿宋"/>
          <w:sz w:val="32"/>
          <w:szCs w:val="32"/>
        </w:rPr>
      </w:pPr>
      <w:r>
        <w:rPr>
          <w:rFonts w:ascii="仿宋" w:hAnsi="仿宋" w:eastAsia="仿宋"/>
          <w:b/>
          <w:sz w:val="32"/>
          <w:szCs w:val="32"/>
        </w:rPr>
        <w:t>3. 特色产业提质增效。</w:t>
      </w:r>
      <w:r>
        <w:rPr>
          <w:rFonts w:ascii="仿宋" w:hAnsi="仿宋" w:eastAsia="仿宋"/>
          <w:sz w:val="32"/>
          <w:szCs w:val="32"/>
        </w:rPr>
        <w:t>一是建成东洲等4个村（社区）粤港澳蔬菜供应基地。二是</w:t>
      </w:r>
      <w:r>
        <w:rPr>
          <w:rFonts w:hint="eastAsia" w:ascii="仿宋" w:hAnsi="仿宋" w:eastAsia="仿宋"/>
          <w:sz w:val="32"/>
          <w:szCs w:val="32"/>
          <w:lang w:val="en-US" w:eastAsia="zh-CN"/>
        </w:rPr>
        <w:t>利用移民整村推进项目600万元</w:t>
      </w:r>
      <w:r>
        <w:rPr>
          <w:rFonts w:ascii="仿宋" w:hAnsi="仿宋" w:eastAsia="仿宋"/>
          <w:sz w:val="32"/>
          <w:szCs w:val="32"/>
        </w:rPr>
        <w:t>发展新立村食用菌“飞地”农光互补项目，壮大北门、下关、双塘村集体经济。三是引进良好农业公司在高车村打造绿色蔬菜示范基地。</w:t>
      </w:r>
    </w:p>
    <w:p w14:paraId="4BC7DA71">
      <w:pPr>
        <w:keepNext w:val="0"/>
        <w:keepLines w:val="0"/>
        <w:pageBreakBefore w:val="0"/>
        <w:widowControl w:val="0"/>
        <w:kinsoku/>
        <w:wordWrap/>
        <w:overflowPunct/>
        <w:topLinePunct w:val="0"/>
        <w:autoSpaceDE/>
        <w:autoSpaceDN/>
        <w:bidi w:val="0"/>
        <w:adjustRightInd/>
        <w:snapToGrid/>
        <w:spacing w:line="520" w:lineRule="exact"/>
        <w:ind w:left="0" w:leftChars="0" w:firstLine="643" w:firstLineChars="200"/>
        <w:textAlignment w:val="auto"/>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五）、深化党风廉政建设，全民厚植清风正气。</w:t>
      </w:r>
    </w:p>
    <w:p w14:paraId="4F6294DE">
      <w:pPr>
        <w:autoSpaceDE w:val="0"/>
        <w:spacing w:line="5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坚决扛牢</w:t>
      </w:r>
      <w:r>
        <w:rPr>
          <w:rFonts w:hint="eastAsia" w:ascii="仿宋" w:hAnsi="仿宋" w:eastAsia="仿宋" w:cs="仿宋"/>
          <w:sz w:val="32"/>
          <w:szCs w:val="32"/>
          <w:lang w:val="en-US" w:eastAsia="zh-CN"/>
        </w:rPr>
        <w:t>全面</w:t>
      </w:r>
      <w:r>
        <w:rPr>
          <w:rFonts w:hint="eastAsia" w:ascii="仿宋" w:hAnsi="仿宋" w:eastAsia="仿宋" w:cs="仿宋"/>
          <w:sz w:val="32"/>
          <w:szCs w:val="32"/>
        </w:rPr>
        <w:t>从严治党</w:t>
      </w:r>
      <w:r>
        <w:rPr>
          <w:rFonts w:hint="eastAsia" w:ascii="仿宋" w:hAnsi="仿宋" w:eastAsia="仿宋" w:cs="仿宋"/>
          <w:sz w:val="32"/>
          <w:szCs w:val="32"/>
          <w:lang w:val="en-US" w:eastAsia="zh-CN"/>
        </w:rPr>
        <w:t>的</w:t>
      </w:r>
      <w:r>
        <w:rPr>
          <w:rFonts w:hint="eastAsia" w:ascii="仿宋" w:hAnsi="仿宋" w:eastAsia="仿宋" w:cs="仿宋"/>
          <w:sz w:val="32"/>
          <w:szCs w:val="32"/>
        </w:rPr>
        <w:t>政治责任，持续整治群众身边不正之风和腐败问题，加大线索排查处置力度</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全面开展违规吃喝问题集中整治</w:t>
      </w:r>
      <w:r>
        <w:rPr>
          <w:rFonts w:hint="eastAsia" w:ascii="仿宋" w:hAnsi="仿宋" w:eastAsia="仿宋" w:cs="仿宋"/>
          <w:sz w:val="32"/>
          <w:szCs w:val="32"/>
        </w:rPr>
        <w:t>。全年累计下发作风督查通报6期，约谈不作为、慢作为党员干部10余人，对支部书记开展集中谈话2次；组织观看警示教育片4次，覆盖200余人次。立案4人，已结案</w:t>
      </w:r>
      <w:r>
        <w:rPr>
          <w:rFonts w:hint="eastAsia" w:ascii="仿宋" w:hAnsi="仿宋" w:eastAsia="仿宋" w:cs="仿宋"/>
          <w:sz w:val="32"/>
          <w:szCs w:val="32"/>
          <w:lang w:val="en-US" w:eastAsia="zh-CN"/>
        </w:rPr>
        <w:t>4</w:t>
      </w:r>
      <w:r>
        <w:rPr>
          <w:rFonts w:hint="eastAsia" w:ascii="仿宋" w:hAnsi="仿宋" w:eastAsia="仿宋" w:cs="仿宋"/>
          <w:sz w:val="32"/>
          <w:szCs w:val="32"/>
        </w:rPr>
        <w:t>人（分别给予严重警告</w:t>
      </w:r>
      <w:r>
        <w:rPr>
          <w:rFonts w:hint="eastAsia" w:ascii="仿宋" w:hAnsi="仿宋" w:eastAsia="仿宋" w:cs="仿宋"/>
          <w:sz w:val="32"/>
          <w:szCs w:val="32"/>
          <w:lang w:val="en-US" w:eastAsia="zh-CN"/>
        </w:rPr>
        <w:t>1人</w:t>
      </w:r>
      <w:r>
        <w:rPr>
          <w:rFonts w:hint="eastAsia" w:ascii="仿宋" w:hAnsi="仿宋" w:eastAsia="仿宋" w:cs="仿宋"/>
          <w:sz w:val="32"/>
          <w:szCs w:val="32"/>
        </w:rPr>
        <w:t>、党内警告处分</w:t>
      </w:r>
      <w:r>
        <w:rPr>
          <w:rFonts w:hint="eastAsia" w:ascii="仿宋" w:hAnsi="仿宋" w:eastAsia="仿宋" w:cs="仿宋"/>
          <w:sz w:val="32"/>
          <w:szCs w:val="32"/>
          <w:lang w:val="en-US" w:eastAsia="zh-CN"/>
        </w:rPr>
        <w:t>2</w:t>
      </w:r>
      <w:r>
        <w:rPr>
          <w:rFonts w:hint="eastAsia" w:ascii="仿宋" w:hAnsi="仿宋" w:eastAsia="仿宋" w:cs="仿宋"/>
          <w:sz w:val="32"/>
          <w:szCs w:val="32"/>
        </w:rPr>
        <w:t>人</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政务警告1人</w:t>
      </w:r>
      <w:r>
        <w:rPr>
          <w:rFonts w:hint="eastAsia" w:ascii="仿宋" w:hAnsi="仿宋" w:eastAsia="仿宋" w:cs="仿宋"/>
          <w:sz w:val="32"/>
          <w:szCs w:val="32"/>
        </w:rPr>
        <w:t>），退缴资金</w:t>
      </w:r>
      <w:r>
        <w:rPr>
          <w:rFonts w:hint="eastAsia" w:ascii="仿宋" w:hAnsi="仿宋" w:eastAsia="仿宋" w:cs="仿宋"/>
          <w:sz w:val="32"/>
          <w:szCs w:val="32"/>
          <w:lang w:val="en-US" w:eastAsia="zh-CN"/>
        </w:rPr>
        <w:t>9</w:t>
      </w:r>
      <w:r>
        <w:rPr>
          <w:rFonts w:hint="eastAsia" w:ascii="仿宋" w:hAnsi="仿宋" w:eastAsia="仿宋" w:cs="仿宋"/>
          <w:sz w:val="32"/>
          <w:szCs w:val="32"/>
        </w:rPr>
        <w:t>.6万余元。</w:t>
      </w:r>
      <w:r>
        <w:rPr>
          <w:rFonts w:hint="eastAsia" w:ascii="仿宋" w:hAnsi="仿宋" w:eastAsia="仿宋" w:cs="仿宋"/>
          <w:sz w:val="32"/>
          <w:szCs w:val="32"/>
          <w:lang w:val="en-US" w:eastAsia="zh-CN"/>
        </w:rPr>
        <w:t>2025年全年职务职级晋升公务员5人，事业编1人，调整村社区干部3人，激励干部担当作为，为干事者站台，让有为者出圈出彩站C位。</w:t>
      </w:r>
    </w:p>
    <w:p w14:paraId="39000F4E">
      <w:pPr>
        <w:autoSpaceDE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此外，武装工作扎实推进，林长制与河长制全面落实，防汛抗旱工作准备充分，公共卫生服务精准到位，民政社工、团工委、妇联、关工委等各项工作各具特色。</w:t>
      </w:r>
    </w:p>
    <w:p w14:paraId="160A3BDA">
      <w:pPr>
        <w:pStyle w:val="5"/>
        <w:widowControl/>
        <w:spacing w:beforeAutospacing="0" w:afterAutospacing="0" w:line="520" w:lineRule="exact"/>
        <w:ind w:left="-210" w:leftChars="-100" w:right="-315" w:rightChars="-150" w:firstLine="640"/>
        <w:jc w:val="both"/>
        <w:rPr>
          <w:rFonts w:ascii="仿宋" w:hAnsi="仿宋" w:eastAsia="仿宋" w:cs="仿宋"/>
          <w:color w:val="000000"/>
          <w:kern w:val="2"/>
          <w:sz w:val="30"/>
          <w:szCs w:val="32"/>
        </w:rPr>
      </w:pPr>
    </w:p>
    <w:p w14:paraId="566842AE">
      <w:pPr>
        <w:spacing w:line="540" w:lineRule="exact"/>
        <w:ind w:firstLine="560" w:firstLineChars="200"/>
        <w:rPr>
          <w:rFonts w:ascii="仿宋" w:hAnsi="仿宋" w:eastAsia="仿宋" w:cs="仿宋"/>
          <w:sz w:val="28"/>
          <w:szCs w:val="28"/>
        </w:rPr>
      </w:pPr>
    </w:p>
    <w:p w14:paraId="1CE9AAED">
      <w:pPr>
        <w:rPr>
          <w:rFonts w:ascii="仿宋" w:hAnsi="仿宋" w:eastAsia="仿宋" w:cs="仿宋"/>
          <w:b/>
          <w:bCs/>
          <w:sz w:val="30"/>
          <w:szCs w:val="30"/>
        </w:rPr>
      </w:pPr>
      <w:r>
        <w:rPr>
          <w:rFonts w:hint="eastAsia" w:ascii="仿宋" w:hAnsi="仿宋" w:eastAsia="仿宋" w:cs="仿宋"/>
          <w:b/>
          <w:bCs/>
          <w:sz w:val="30"/>
          <w:szCs w:val="30"/>
        </w:rPr>
        <w:t>七、存在的问题及原因分析</w:t>
      </w:r>
    </w:p>
    <w:p w14:paraId="373074ED">
      <w:pPr>
        <w:pStyle w:val="5"/>
        <w:widowControl/>
        <w:spacing w:beforeAutospacing="0" w:afterAutospacing="0" w:line="33" w:lineRule="atLeast"/>
        <w:ind w:firstLine="420"/>
        <w:jc w:val="both"/>
        <w:rPr>
          <w:rFonts w:ascii="仿宋" w:hAnsi="仿宋" w:eastAsia="仿宋" w:cs="仿宋"/>
          <w:kern w:val="2"/>
          <w:sz w:val="28"/>
          <w:szCs w:val="28"/>
        </w:rPr>
      </w:pPr>
      <w:r>
        <w:rPr>
          <w:rFonts w:hint="eastAsia" w:ascii="仿宋" w:hAnsi="仿宋" w:eastAsia="仿宋" w:cs="仿宋"/>
          <w:kern w:val="2"/>
          <w:sz w:val="28"/>
          <w:szCs w:val="28"/>
        </w:rPr>
        <w:t>一是专项资金拨付不及时，资金使用与专项工作运行时间不对口，凸显出账目不规范。</w:t>
      </w:r>
    </w:p>
    <w:p w14:paraId="52506381">
      <w:pPr>
        <w:pStyle w:val="5"/>
        <w:widowControl/>
        <w:spacing w:beforeAutospacing="0" w:afterAutospacing="0" w:line="33" w:lineRule="atLeast"/>
        <w:ind w:firstLine="420"/>
        <w:jc w:val="both"/>
        <w:rPr>
          <w:rFonts w:ascii="仿宋" w:hAnsi="仿宋" w:eastAsia="仿宋" w:cs="仿宋"/>
          <w:kern w:val="2"/>
          <w:sz w:val="28"/>
          <w:szCs w:val="28"/>
        </w:rPr>
      </w:pPr>
      <w:r>
        <w:rPr>
          <w:rFonts w:hint="eastAsia" w:ascii="仿宋" w:hAnsi="仿宋" w:eastAsia="仿宋" w:cs="仿宋"/>
          <w:kern w:val="2"/>
          <w:sz w:val="28"/>
          <w:szCs w:val="28"/>
        </w:rPr>
        <w:t>二是财政预算安排单项工作经费不足，难于足额保障开展专项工作。</w:t>
      </w:r>
    </w:p>
    <w:p w14:paraId="3028E3A5">
      <w:pPr>
        <w:rPr>
          <w:rFonts w:ascii="仿宋" w:hAnsi="仿宋" w:eastAsia="仿宋" w:cs="仿宋"/>
          <w:b/>
          <w:bCs/>
          <w:sz w:val="30"/>
          <w:szCs w:val="30"/>
        </w:rPr>
      </w:pPr>
      <w:r>
        <w:rPr>
          <w:rFonts w:hint="eastAsia" w:ascii="仿宋" w:hAnsi="仿宋" w:eastAsia="仿宋" w:cs="仿宋"/>
          <w:b/>
          <w:bCs/>
          <w:sz w:val="30"/>
          <w:szCs w:val="30"/>
        </w:rPr>
        <w:t>八、下一步改进措施</w:t>
      </w:r>
    </w:p>
    <w:p w14:paraId="0D1C2E98">
      <w:pPr>
        <w:numPr>
          <w:ilvl w:val="0"/>
          <w:numId w:val="3"/>
        </w:numPr>
        <w:rPr>
          <w:rFonts w:ascii="仿宋" w:hAnsi="仿宋" w:eastAsia="仿宋" w:cs="仿宋"/>
          <w:sz w:val="28"/>
          <w:szCs w:val="28"/>
        </w:rPr>
      </w:pPr>
      <w:r>
        <w:rPr>
          <w:rFonts w:hint="eastAsia" w:ascii="仿宋" w:hAnsi="仿宋" w:eastAsia="仿宋" w:cs="仿宋"/>
          <w:sz w:val="28"/>
          <w:szCs w:val="28"/>
        </w:rPr>
        <w:t>严格按照《会计法》、《行政事业单位会计制度》等规定执行财务核算，结合实际情况，完整、准确披露相关信息，做到决算和预算相结合。</w:t>
      </w:r>
    </w:p>
    <w:p w14:paraId="6057D7CB">
      <w:pPr>
        <w:numPr>
          <w:ilvl w:val="0"/>
          <w:numId w:val="3"/>
        </w:numPr>
        <w:rPr>
          <w:rFonts w:ascii="仿宋" w:hAnsi="仿宋" w:eastAsia="仿宋" w:cs="仿宋"/>
          <w:sz w:val="28"/>
          <w:szCs w:val="28"/>
        </w:rPr>
      </w:pPr>
      <w:r>
        <w:rPr>
          <w:rFonts w:hint="eastAsia" w:ascii="仿宋" w:hAnsi="仿宋" w:eastAsia="仿宋" w:cs="仿宋"/>
          <w:sz w:val="28"/>
          <w:szCs w:val="28"/>
        </w:rPr>
        <w:t>加强资金的使用管理，让各类资金用到实处。</w:t>
      </w:r>
    </w:p>
    <w:p w14:paraId="3CA45387">
      <w:pPr>
        <w:rPr>
          <w:rFonts w:ascii="仿宋" w:hAnsi="仿宋" w:eastAsia="仿宋" w:cs="仿宋"/>
          <w:sz w:val="28"/>
          <w:szCs w:val="28"/>
        </w:rPr>
      </w:pPr>
      <w:r>
        <w:rPr>
          <w:rFonts w:hint="eastAsia" w:ascii="仿宋" w:hAnsi="仿宋" w:eastAsia="仿宋" w:cs="仿宋"/>
          <w:color w:val="000000"/>
          <w:sz w:val="24"/>
        </w:rPr>
        <w:t>3</w:t>
      </w:r>
      <w:r>
        <w:rPr>
          <w:rFonts w:hint="eastAsia" w:ascii="仿宋" w:hAnsi="仿宋" w:eastAsia="仿宋" w:cs="仿宋"/>
          <w:color w:val="000000"/>
          <w:sz w:val="30"/>
          <w:szCs w:val="30"/>
        </w:rPr>
        <w:t>、</w:t>
      </w:r>
      <w:r>
        <w:rPr>
          <w:rFonts w:hint="eastAsia" w:ascii="仿宋" w:hAnsi="仿宋" w:eastAsia="仿宋" w:cs="仿宋"/>
          <w:color w:val="000000"/>
          <w:sz w:val="28"/>
          <w:szCs w:val="28"/>
        </w:rPr>
        <w:t>加强队伍建设，抓好绩效评价管理部门的队伍建设和业务指导，培养部门的绩效管理队伍，建立绩效评价的长期机制</w:t>
      </w:r>
      <w:r>
        <w:rPr>
          <w:rFonts w:hint="eastAsia" w:ascii="仿宋" w:hAnsi="仿宋" w:eastAsia="仿宋" w:cs="仿宋"/>
          <w:sz w:val="28"/>
          <w:szCs w:val="28"/>
        </w:rPr>
        <w:t>。</w:t>
      </w:r>
    </w:p>
    <w:p w14:paraId="3BA969D3">
      <w:pPr>
        <w:rPr>
          <w:rFonts w:ascii="仿宋" w:hAnsi="仿宋" w:eastAsia="仿宋" w:cs="仿宋"/>
          <w:sz w:val="28"/>
          <w:szCs w:val="28"/>
        </w:rPr>
      </w:pPr>
    </w:p>
    <w:p w14:paraId="0D800474">
      <w:pPr>
        <w:rPr>
          <w:rFonts w:ascii="仿宋" w:hAnsi="仿宋" w:eastAsia="仿宋" w:cs="仿宋"/>
          <w:b/>
          <w:bCs/>
          <w:sz w:val="30"/>
          <w:szCs w:val="30"/>
        </w:rPr>
      </w:pPr>
      <w:r>
        <w:rPr>
          <w:rFonts w:hint="eastAsia" w:ascii="仿宋" w:hAnsi="仿宋" w:eastAsia="仿宋" w:cs="仿宋"/>
          <w:b/>
          <w:bCs/>
          <w:sz w:val="30"/>
          <w:szCs w:val="30"/>
        </w:rPr>
        <w:t>九、绩效自评结果拟应用和公开情况</w:t>
      </w:r>
    </w:p>
    <w:p w14:paraId="49DFD518">
      <w:pPr>
        <w:ind w:firstLine="560" w:firstLineChars="200"/>
        <w:rPr>
          <w:rFonts w:ascii="仿宋" w:hAnsi="仿宋" w:eastAsia="仿宋" w:cs="仿宋"/>
          <w:sz w:val="30"/>
          <w:szCs w:val="30"/>
        </w:rPr>
      </w:pPr>
      <w:r>
        <w:rPr>
          <w:rFonts w:hint="eastAsia" w:ascii="仿宋" w:hAnsi="仿宋" w:eastAsia="仿宋" w:cs="仿宋"/>
          <w:sz w:val="28"/>
          <w:szCs w:val="28"/>
        </w:rPr>
        <w:t>本年度绩效自评结果为98分。按规定时间内将</w:t>
      </w:r>
      <w:r>
        <w:rPr>
          <w:rFonts w:hint="eastAsia" w:ascii="仿宋" w:hAnsi="仿宋" w:eastAsia="仿宋" w:cs="仿宋"/>
          <w:sz w:val="28"/>
          <w:szCs w:val="28"/>
          <w:lang w:eastAsia="zh-CN"/>
        </w:rPr>
        <w:t>2025年</w:t>
      </w:r>
      <w:r>
        <w:rPr>
          <w:rFonts w:hint="eastAsia" w:ascii="仿宋" w:hAnsi="仿宋" w:eastAsia="仿宋" w:cs="仿宋"/>
          <w:sz w:val="28"/>
          <w:szCs w:val="28"/>
        </w:rPr>
        <w:t>度专项资金绩效自评报告、整体部门支出绩效自评报告在本部门门户网站公开，并接受社会监督。</w:t>
      </w:r>
    </w:p>
    <w:p w14:paraId="6D8DC3AE">
      <w:pPr>
        <w:rPr>
          <w:rFonts w:ascii="仿宋" w:hAnsi="仿宋" w:eastAsia="仿宋" w:cs="仿宋"/>
          <w:sz w:val="28"/>
          <w:szCs w:val="28"/>
        </w:rPr>
      </w:pPr>
      <w:r>
        <w:rPr>
          <w:rFonts w:hint="eastAsia" w:ascii="仿宋" w:hAnsi="仿宋" w:eastAsia="仿宋" w:cs="仿宋"/>
          <w:b/>
          <w:bCs/>
          <w:sz w:val="28"/>
          <w:szCs w:val="28"/>
        </w:rPr>
        <w:t xml:space="preserve">                              </w:t>
      </w:r>
      <w:r>
        <w:rPr>
          <w:rFonts w:hint="eastAsia" w:ascii="仿宋" w:hAnsi="仿宋" w:eastAsia="仿宋" w:cs="仿宋"/>
          <w:sz w:val="28"/>
          <w:szCs w:val="28"/>
        </w:rPr>
        <w:t xml:space="preserve"> </w:t>
      </w:r>
    </w:p>
    <w:p w14:paraId="48C3D910">
      <w:pPr>
        <w:ind w:firstLine="4480" w:firstLineChars="1600"/>
        <w:rPr>
          <w:rFonts w:ascii="仿宋" w:hAnsi="仿宋" w:eastAsia="仿宋" w:cs="仿宋"/>
          <w:sz w:val="28"/>
          <w:szCs w:val="28"/>
        </w:rPr>
      </w:pPr>
      <w:r>
        <w:rPr>
          <w:rFonts w:hint="eastAsia" w:ascii="仿宋" w:hAnsi="仿宋" w:eastAsia="仿宋" w:cs="仿宋"/>
          <w:sz w:val="28"/>
          <w:szCs w:val="28"/>
        </w:rPr>
        <w:t xml:space="preserve">       道县东门街道办事处</w:t>
      </w:r>
    </w:p>
    <w:p w14:paraId="491FB0AD">
      <w:pPr>
        <w:ind w:firstLine="5600" w:firstLineChars="2000"/>
        <w:rPr>
          <w:rFonts w:ascii="仿宋" w:hAnsi="仿宋" w:eastAsia="仿宋" w:cs="仿宋"/>
          <w:sz w:val="28"/>
          <w:szCs w:val="28"/>
        </w:rPr>
      </w:pPr>
      <w:r>
        <w:rPr>
          <w:rFonts w:hint="eastAsia" w:ascii="仿宋" w:hAnsi="仿宋" w:eastAsia="仿宋" w:cs="仿宋"/>
          <w:sz w:val="28"/>
          <w:szCs w:val="28"/>
          <w:lang w:eastAsia="zh-CN"/>
        </w:rPr>
        <w:t>202</w:t>
      </w:r>
      <w:r>
        <w:rPr>
          <w:rFonts w:hint="eastAsia" w:ascii="仿宋" w:hAnsi="仿宋" w:eastAsia="仿宋" w:cs="仿宋"/>
          <w:sz w:val="28"/>
          <w:szCs w:val="28"/>
          <w:lang w:val="en-US" w:eastAsia="zh-CN"/>
        </w:rPr>
        <w:t>6</w:t>
      </w:r>
      <w:r>
        <w:rPr>
          <w:rFonts w:hint="eastAsia" w:ascii="仿宋" w:hAnsi="仿宋" w:eastAsia="仿宋" w:cs="仿宋"/>
          <w:sz w:val="28"/>
          <w:szCs w:val="28"/>
          <w:lang w:eastAsia="zh-CN"/>
        </w:rPr>
        <w:t>年</w:t>
      </w:r>
      <w:r>
        <w:rPr>
          <w:rFonts w:hint="eastAsia" w:ascii="仿宋" w:hAnsi="仿宋" w:eastAsia="仿宋" w:cs="仿宋"/>
          <w:sz w:val="28"/>
          <w:szCs w:val="28"/>
          <w:lang w:val="en-US" w:eastAsia="zh-CN"/>
        </w:rPr>
        <w:t>5</w:t>
      </w:r>
      <w:r>
        <w:rPr>
          <w:rFonts w:hint="eastAsia" w:ascii="仿宋" w:hAnsi="仿宋" w:eastAsia="仿宋" w:cs="仿宋"/>
          <w:sz w:val="28"/>
          <w:szCs w:val="28"/>
        </w:rPr>
        <w:t>月</w:t>
      </w:r>
      <w:r>
        <w:rPr>
          <w:rFonts w:hint="eastAsia" w:ascii="仿宋" w:hAnsi="仿宋" w:eastAsia="仿宋" w:cs="仿宋"/>
          <w:sz w:val="28"/>
          <w:szCs w:val="28"/>
          <w:lang w:val="en-US" w:eastAsia="zh-CN"/>
        </w:rPr>
        <w:t>11</w:t>
      </w:r>
      <w:bookmarkStart w:id="0" w:name="_GoBack"/>
      <w:bookmarkEnd w:id="0"/>
      <w:r>
        <w:rPr>
          <w:rFonts w:hint="eastAsia" w:ascii="仿宋" w:hAnsi="仿宋" w:eastAsia="仿宋" w:cs="仿宋"/>
          <w:sz w:val="28"/>
          <w:szCs w:val="28"/>
        </w:rPr>
        <w:t>日</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002649"/>
      <w:docPartObj>
        <w:docPartGallery w:val="AutoText"/>
      </w:docPartObj>
    </w:sdtPr>
    <w:sdtContent>
      <w:p w14:paraId="42253BF5">
        <w:pPr>
          <w:pStyle w:val="3"/>
          <w:jc w:val="center"/>
        </w:pPr>
        <w:r>
          <w:fldChar w:fldCharType="begin"/>
        </w:r>
        <w:r>
          <w:instrText xml:space="preserve"> PAGE   \* MERGEFORMAT </w:instrText>
        </w:r>
        <w:r>
          <w:fldChar w:fldCharType="separate"/>
        </w:r>
        <w:r>
          <w:rPr>
            <w:lang w:val="zh-CN"/>
          </w:rPr>
          <w:t>2</w:t>
        </w:r>
        <w:r>
          <w:rPr>
            <w:lang w:val="zh-CN"/>
          </w:rPr>
          <w:fldChar w:fldCharType="end"/>
        </w:r>
      </w:p>
    </w:sdtContent>
  </w:sdt>
  <w:p w14:paraId="7F64D229">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3266F">
    <w:pPr>
      <w:pStyle w:val="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302415"/>
    <w:multiLevelType w:val="singleLevel"/>
    <w:tmpl w:val="C0302415"/>
    <w:lvl w:ilvl="0" w:tentative="0">
      <w:start w:val="1"/>
      <w:numFmt w:val="chineseCounting"/>
      <w:suff w:val="nothing"/>
      <w:lvlText w:val="%1、"/>
      <w:lvlJc w:val="left"/>
      <w:rPr>
        <w:rFonts w:hint="eastAsia"/>
      </w:rPr>
    </w:lvl>
  </w:abstractNum>
  <w:abstractNum w:abstractNumId="1">
    <w:nsid w:val="3CACC622"/>
    <w:multiLevelType w:val="singleLevel"/>
    <w:tmpl w:val="3CACC622"/>
    <w:lvl w:ilvl="0" w:tentative="0">
      <w:start w:val="1"/>
      <w:numFmt w:val="decimal"/>
      <w:suff w:val="nothing"/>
      <w:lvlText w:val="%1、"/>
      <w:lvlJc w:val="left"/>
    </w:lvl>
  </w:abstractNum>
  <w:abstractNum w:abstractNumId="2">
    <w:nsid w:val="7ACC0A89"/>
    <w:multiLevelType w:val="singleLevel"/>
    <w:tmpl w:val="7ACC0A89"/>
    <w:lvl w:ilvl="0" w:tentative="0">
      <w:start w:val="1"/>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wMDM0ZTY2M2MzOTgzMzg4MDJlMmEyZGNhMTdhOGIifQ=="/>
  </w:docVars>
  <w:rsids>
    <w:rsidRoot w:val="4F006C35"/>
    <w:rsid w:val="00001C03"/>
    <w:rsid w:val="00004964"/>
    <w:rsid w:val="0001318F"/>
    <w:rsid w:val="0003000A"/>
    <w:rsid w:val="00057062"/>
    <w:rsid w:val="000659ED"/>
    <w:rsid w:val="00082A20"/>
    <w:rsid w:val="000D4AEE"/>
    <w:rsid w:val="000E3D03"/>
    <w:rsid w:val="00110CEB"/>
    <w:rsid w:val="00184BD5"/>
    <w:rsid w:val="001A0032"/>
    <w:rsid w:val="001B2A10"/>
    <w:rsid w:val="001C34DA"/>
    <w:rsid w:val="001D309A"/>
    <w:rsid w:val="001F3343"/>
    <w:rsid w:val="00215E52"/>
    <w:rsid w:val="00235F93"/>
    <w:rsid w:val="00242FB9"/>
    <w:rsid w:val="00260EA0"/>
    <w:rsid w:val="00262730"/>
    <w:rsid w:val="00271E94"/>
    <w:rsid w:val="002E4242"/>
    <w:rsid w:val="002F596E"/>
    <w:rsid w:val="003022AA"/>
    <w:rsid w:val="00375E13"/>
    <w:rsid w:val="00382F85"/>
    <w:rsid w:val="003E0865"/>
    <w:rsid w:val="003E373A"/>
    <w:rsid w:val="0040768B"/>
    <w:rsid w:val="0041308A"/>
    <w:rsid w:val="004340C4"/>
    <w:rsid w:val="004E237B"/>
    <w:rsid w:val="004F1CE9"/>
    <w:rsid w:val="00547F57"/>
    <w:rsid w:val="005607B7"/>
    <w:rsid w:val="005A7386"/>
    <w:rsid w:val="0063679F"/>
    <w:rsid w:val="0067165A"/>
    <w:rsid w:val="006B7596"/>
    <w:rsid w:val="00731781"/>
    <w:rsid w:val="007468A2"/>
    <w:rsid w:val="00796297"/>
    <w:rsid w:val="00796E1C"/>
    <w:rsid w:val="007C78BB"/>
    <w:rsid w:val="00833A0C"/>
    <w:rsid w:val="00861D5D"/>
    <w:rsid w:val="00874880"/>
    <w:rsid w:val="00887A66"/>
    <w:rsid w:val="00895BB3"/>
    <w:rsid w:val="008B6D26"/>
    <w:rsid w:val="00931742"/>
    <w:rsid w:val="0093464A"/>
    <w:rsid w:val="0094426F"/>
    <w:rsid w:val="00957AD3"/>
    <w:rsid w:val="009A1A21"/>
    <w:rsid w:val="009B0067"/>
    <w:rsid w:val="009B6C3D"/>
    <w:rsid w:val="009E2AA0"/>
    <w:rsid w:val="009F0A7F"/>
    <w:rsid w:val="009F2B18"/>
    <w:rsid w:val="009F6502"/>
    <w:rsid w:val="009F783C"/>
    <w:rsid w:val="00A93AED"/>
    <w:rsid w:val="00A97DD4"/>
    <w:rsid w:val="00B32280"/>
    <w:rsid w:val="00B43BDD"/>
    <w:rsid w:val="00B5304F"/>
    <w:rsid w:val="00B534E7"/>
    <w:rsid w:val="00B75651"/>
    <w:rsid w:val="00B87D94"/>
    <w:rsid w:val="00BF4111"/>
    <w:rsid w:val="00C7748E"/>
    <w:rsid w:val="00C84379"/>
    <w:rsid w:val="00CA73D7"/>
    <w:rsid w:val="00CC12B8"/>
    <w:rsid w:val="00CC38B2"/>
    <w:rsid w:val="00D42FF9"/>
    <w:rsid w:val="00D53DDE"/>
    <w:rsid w:val="00D93D50"/>
    <w:rsid w:val="00DE047E"/>
    <w:rsid w:val="00DE27D3"/>
    <w:rsid w:val="00DF170E"/>
    <w:rsid w:val="00DF3A52"/>
    <w:rsid w:val="00E14A70"/>
    <w:rsid w:val="00E25C9B"/>
    <w:rsid w:val="00E31E09"/>
    <w:rsid w:val="00E827DB"/>
    <w:rsid w:val="00EB7C3B"/>
    <w:rsid w:val="00EC1BE5"/>
    <w:rsid w:val="00F21926"/>
    <w:rsid w:val="00F42F2B"/>
    <w:rsid w:val="00F756E5"/>
    <w:rsid w:val="00F94A55"/>
    <w:rsid w:val="00FA1F79"/>
    <w:rsid w:val="00FC2409"/>
    <w:rsid w:val="00FD3603"/>
    <w:rsid w:val="00FE031F"/>
    <w:rsid w:val="028142AA"/>
    <w:rsid w:val="03EE7AD8"/>
    <w:rsid w:val="056B42F1"/>
    <w:rsid w:val="0C9A3229"/>
    <w:rsid w:val="17CC54FE"/>
    <w:rsid w:val="18294330"/>
    <w:rsid w:val="240551AC"/>
    <w:rsid w:val="26631EDE"/>
    <w:rsid w:val="274218B7"/>
    <w:rsid w:val="28C37C32"/>
    <w:rsid w:val="2C106B5A"/>
    <w:rsid w:val="2C1E71D5"/>
    <w:rsid w:val="30C9249B"/>
    <w:rsid w:val="3AC747F7"/>
    <w:rsid w:val="41D16B08"/>
    <w:rsid w:val="43EC12FF"/>
    <w:rsid w:val="44FF6749"/>
    <w:rsid w:val="470D43A0"/>
    <w:rsid w:val="48816480"/>
    <w:rsid w:val="494C45D4"/>
    <w:rsid w:val="4E355844"/>
    <w:rsid w:val="4E7A7DCF"/>
    <w:rsid w:val="4F006C35"/>
    <w:rsid w:val="5753390A"/>
    <w:rsid w:val="5AB432C3"/>
    <w:rsid w:val="60254689"/>
    <w:rsid w:val="6D9E7CFB"/>
    <w:rsid w:val="6EEC1689"/>
    <w:rsid w:val="70CE1E77"/>
    <w:rsid w:val="743326A2"/>
    <w:rsid w:val="790E2D96"/>
    <w:rsid w:val="7A8D4CD4"/>
    <w:rsid w:val="7B4C4445"/>
    <w:rsid w:val="7CCA4B77"/>
    <w:rsid w:val="7E8B0F31"/>
    <w:rsid w:val="7FFA7A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4"/>
    <w:uiPriority w:val="0"/>
    <w:pPr>
      <w:spacing w:after="120"/>
    </w:pPr>
  </w:style>
  <w:style w:type="paragraph" w:styleId="3">
    <w:name w:val="footer"/>
    <w:basedOn w:val="1"/>
    <w:link w:val="13"/>
    <w:uiPriority w:val="99"/>
    <w:pPr>
      <w:tabs>
        <w:tab w:val="center" w:pos="4153"/>
        <w:tab w:val="right" w:pos="8306"/>
      </w:tabs>
      <w:snapToGrid w:val="0"/>
      <w:jc w:val="left"/>
    </w:pPr>
    <w:rPr>
      <w:sz w:val="18"/>
      <w:szCs w:val="18"/>
    </w:rPr>
  </w:style>
  <w:style w:type="paragraph" w:styleId="4">
    <w:name w:val="header"/>
    <w:basedOn w:val="1"/>
    <w:link w:val="12"/>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kern w:val="0"/>
      <w:sz w:val="24"/>
    </w:rPr>
  </w:style>
  <w:style w:type="paragraph" w:styleId="6">
    <w:name w:val="Body Text First Indent"/>
    <w:basedOn w:val="2"/>
    <w:link w:val="15"/>
    <w:qFormat/>
    <w:uiPriority w:val="99"/>
    <w:pPr>
      <w:tabs>
        <w:tab w:val="left" w:pos="0"/>
      </w:tabs>
      <w:adjustRightInd w:val="0"/>
      <w:snapToGrid w:val="0"/>
      <w:spacing w:after="0" w:line="579" w:lineRule="atLeast"/>
      <w:ind w:firstLine="420" w:firstLineChars="100"/>
    </w:pPr>
    <w:rPr>
      <w:sz w:val="32"/>
    </w:rPr>
  </w:style>
  <w:style w:type="character" w:customStyle="1" w:styleId="9">
    <w:name w:val="style401"/>
    <w:basedOn w:val="8"/>
    <w:qFormat/>
    <w:uiPriority w:val="0"/>
    <w:rPr>
      <w:rFonts w:cs="Times New Roman"/>
      <w:sz w:val="20"/>
      <w:szCs w:val="20"/>
    </w:rPr>
  </w:style>
  <w:style w:type="paragraph" w:styleId="10">
    <w:name w:val="List Paragraph"/>
    <w:basedOn w:val="1"/>
    <w:qFormat/>
    <w:uiPriority w:val="99"/>
    <w:pPr>
      <w:ind w:firstLine="420" w:firstLineChars="200"/>
    </w:pPr>
  </w:style>
  <w:style w:type="character" w:customStyle="1" w:styleId="11">
    <w:name w:val="NormalCharacter"/>
    <w:semiHidden/>
    <w:qFormat/>
    <w:uiPriority w:val="0"/>
  </w:style>
  <w:style w:type="character" w:customStyle="1" w:styleId="12">
    <w:name w:val="页眉 Char"/>
    <w:basedOn w:val="8"/>
    <w:link w:val="4"/>
    <w:uiPriority w:val="0"/>
    <w:rPr>
      <w:rFonts w:ascii="Calibri" w:hAnsi="Calibri"/>
      <w:kern w:val="2"/>
      <w:sz w:val="18"/>
      <w:szCs w:val="18"/>
    </w:rPr>
  </w:style>
  <w:style w:type="character" w:customStyle="1" w:styleId="13">
    <w:name w:val="页脚 Char"/>
    <w:basedOn w:val="8"/>
    <w:link w:val="3"/>
    <w:uiPriority w:val="99"/>
    <w:rPr>
      <w:rFonts w:ascii="Calibri" w:hAnsi="Calibri"/>
      <w:kern w:val="2"/>
      <w:sz w:val="18"/>
      <w:szCs w:val="18"/>
    </w:rPr>
  </w:style>
  <w:style w:type="character" w:customStyle="1" w:styleId="14">
    <w:name w:val="正文文本 Char"/>
    <w:basedOn w:val="8"/>
    <w:link w:val="2"/>
    <w:uiPriority w:val="0"/>
    <w:rPr>
      <w:rFonts w:ascii="Calibri" w:hAnsi="Calibri"/>
      <w:kern w:val="2"/>
      <w:sz w:val="21"/>
      <w:szCs w:val="24"/>
    </w:rPr>
  </w:style>
  <w:style w:type="character" w:customStyle="1" w:styleId="15">
    <w:name w:val="正文首行缩进 Char"/>
    <w:basedOn w:val="14"/>
    <w:link w:val="6"/>
    <w:qFormat/>
    <w:uiPriority w:val="99"/>
    <w:rPr>
      <w:sz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8</Pages>
  <Words>1350</Words>
  <Characters>7697</Characters>
  <Lines>64</Lines>
  <Paragraphs>18</Paragraphs>
  <TotalTime>0</TotalTime>
  <ScaleCrop>false</ScaleCrop>
  <LinksUpToDate>false</LinksUpToDate>
  <CharactersWithSpaces>9029</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2025-06-14T23:11:00Z</dcterms:created>
  <dc:creator>WPS_1483577055</dc:creator>
  <cp:lastModifiedBy>Administrator</cp:lastModifiedBy>
  <dcterms:modified xsi:type="dcterms:W3CDTF">2026-05-18T07:38:30Z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2D4AFD6476184F738ECB2FE3201C5622_13</vt:lpwstr>
  </property>
</Properties>
</file>