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道县科技和工业信息化局</w:t>
      </w:r>
      <w:r>
        <w:rPr>
          <w:rFonts w:ascii="Times New Roman" w:hAnsi="Times New Roman" w:eastAsia="方正小标宋简体" w:cs="Times New Roman"/>
          <w:sz w:val="72"/>
          <w:szCs w:val="72"/>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道县科技和工业信息化局</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道县科技和工业信息化局</w:t>
      </w:r>
      <w:r>
        <w:rPr>
          <w:rFonts w:ascii="Times New Roman" w:hAnsi="Times New Roman" w:eastAsia="方正小标宋_GBK" w:cs="Times New Roman"/>
          <w:sz w:val="52"/>
          <w:szCs w:val="52"/>
        </w:rPr>
        <w:t>概况</w:t>
      </w:r>
    </w:p>
    <w:p>
      <w:pPr>
        <w:pStyle w:val="4"/>
        <w:ind w:left="0" w:leftChars="0" w:firstLine="0" w:firstLineChars="0"/>
        <w:rPr>
          <w:rFonts w:ascii="Times New Roman" w:hAnsi="Times New Roman" w:cs="Times New Roman"/>
        </w:rPr>
      </w:pPr>
    </w:p>
    <w:p>
      <w:pPr>
        <w:widowControl/>
        <w:ind w:firstLine="630" w:firstLineChars="196"/>
        <w:jc w:val="left"/>
        <w:rPr>
          <w:rFonts w:ascii="仿宋_GB2312" w:eastAsia="仿宋_GB2312"/>
          <w:b/>
          <w:bCs/>
          <w:kern w:val="0"/>
          <w:sz w:val="32"/>
          <w:szCs w:val="32"/>
        </w:rPr>
      </w:pPr>
      <w:r>
        <w:rPr>
          <w:rFonts w:hint="eastAsia" w:ascii="仿宋_GB2312" w:eastAsia="仿宋_GB2312"/>
          <w:b/>
          <w:bCs/>
          <w:kern w:val="0"/>
          <w:sz w:val="32"/>
          <w:szCs w:val="32"/>
        </w:rPr>
        <w:t>一、部门基本概况</w:t>
      </w:r>
    </w:p>
    <w:p>
      <w:pPr>
        <w:widowControl/>
        <w:shd w:val="clear" w:color="auto" w:fill="FFFFFF"/>
        <w:spacing w:line="560" w:lineRule="exact"/>
        <w:ind w:firstLine="640" w:firstLineChars="200"/>
        <w:rPr>
          <w:rFonts w:hint="default" w:ascii="仿宋" w:hAnsi="仿宋" w:eastAsia="仿宋" w:cs="宋体"/>
          <w:color w:val="auto"/>
          <w:kern w:val="0"/>
          <w:sz w:val="32"/>
          <w:szCs w:val="32"/>
          <w:lang w:val="en-US" w:eastAsia="zh-CN"/>
        </w:rPr>
      </w:pPr>
      <w:r>
        <w:rPr>
          <w:rFonts w:hint="eastAsia" w:ascii="仿宋_GB2312" w:hAnsi="仿宋_GB2312" w:eastAsia="仿宋_GB2312" w:cs="仿宋_GB2312"/>
          <w:b w:val="0"/>
          <w:bCs w:val="0"/>
          <w:i w:val="0"/>
          <w:color w:val="000000"/>
          <w:spacing w:val="0"/>
          <w:kern w:val="0"/>
          <w:sz w:val="32"/>
          <w:szCs w:val="32"/>
          <w:shd w:val="clear" w:color="auto" w:fill="FFFFFF"/>
          <w:lang w:val="en-US" w:eastAsia="zh-CN" w:bidi="ar"/>
        </w:rPr>
        <w:t>根据中共道县县委机构编制委员会印制的《关于调整道县科技和工业信息化局职责机构编制调整的通知》（道编发〔2024〕15号）文件规定，道县科工局的主要工作职能如下：</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w:t>
      </w:r>
      <w:r>
        <w:rPr>
          <w:rFonts w:hint="eastAsia" w:ascii="仿宋" w:hAnsi="仿宋" w:eastAsia="仿宋" w:cs="宋体"/>
          <w:color w:val="auto"/>
          <w:kern w:val="0"/>
          <w:sz w:val="32"/>
          <w:szCs w:val="32"/>
        </w:rPr>
        <w:t>负责全县科学技术进步和工业经济的宏观管理和统筹协调，编制并组织实施近期科学技术发展和工业经济运行调控目标、政策和措施；监测分析近期全县知识产权事业发展工业经济运行态势，统计并发布相关信息，进行预测预警和信息引导，协调解决科学经济运行中的突出矛盾和问题并提出政策建议。</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w:t>
      </w:r>
      <w:r>
        <w:rPr>
          <w:rFonts w:hint="eastAsia" w:ascii="仿宋" w:hAnsi="仿宋" w:eastAsia="仿宋" w:cs="宋体"/>
          <w:color w:val="auto"/>
          <w:kern w:val="0"/>
          <w:sz w:val="32"/>
          <w:szCs w:val="32"/>
        </w:rPr>
        <w:t>拟订全县新型工业化的发展战略、规划和相关政策措施并组织实施，协调解决有关重大问题；综合管理全县工业经济，指导、协调和服务工业企业；推进信息化和工业化融合；推进全县国民经济和社会信息化。</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3.</w:t>
      </w:r>
      <w:r>
        <w:rPr>
          <w:rFonts w:hint="eastAsia" w:ascii="仿宋" w:hAnsi="仿宋" w:eastAsia="仿宋" w:cs="宋体"/>
          <w:color w:val="auto"/>
          <w:kern w:val="0"/>
          <w:sz w:val="32"/>
          <w:szCs w:val="32"/>
        </w:rPr>
        <w:t>拟订并组织实施工业、信息化的发展专项规划，贯彻落实国家产业政策；制定优化产业结构和产品结构的地方配套政策，并监督检查执行情况；研究和规划全县工业产业投资布局；依法组织实施相关行业的管理；负责工业和信息化领域的国防动员有关工作以及产业安全和应急管理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4.</w:t>
      </w:r>
      <w:r>
        <w:rPr>
          <w:rFonts w:hint="eastAsia" w:ascii="仿宋" w:hAnsi="仿宋" w:eastAsia="仿宋" w:cs="宋体"/>
          <w:color w:val="auto"/>
          <w:kern w:val="0"/>
          <w:sz w:val="32"/>
          <w:szCs w:val="32"/>
        </w:rPr>
        <w:t>起草工业信息化和科学技术领域的地方性法规、规章草案并对相关法律法规的执法情况进行监督检查；协调减轻企业负担工作；会同有关部门做好全县维护企业稳定工作。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5.</w:t>
      </w:r>
      <w:r>
        <w:rPr>
          <w:rFonts w:hint="eastAsia" w:ascii="仿宋" w:hAnsi="仿宋" w:eastAsia="仿宋" w:cs="宋体"/>
          <w:color w:val="auto"/>
          <w:kern w:val="0"/>
          <w:sz w:val="32"/>
          <w:szCs w:val="32"/>
        </w:rPr>
        <w:t>组织拟订全县工业企业科学技术进步的发展战略、规划和高技术产业中涉及生物医药、新材料、信息产业等的规划、政策并组织实施；编制和组织实施技术改造规划，提出工业和信息化固定资产投资规模和方向（含利用外资和境外投资）；推进企业技术创新体系建设，指导行业技术创新和技术进步，以先进适用技术改造提升传统产业，组织实施相关科技重大专项，推进产学研结合和科研成果产业化的知识产权。</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6.</w:t>
      </w:r>
      <w:r>
        <w:rPr>
          <w:rFonts w:hint="eastAsia" w:ascii="仿宋" w:hAnsi="仿宋" w:eastAsia="仿宋" w:cs="宋体"/>
          <w:color w:val="auto"/>
          <w:kern w:val="0"/>
          <w:sz w:val="32"/>
          <w:szCs w:val="32"/>
        </w:rPr>
        <w:t>推进工业行业体制改革和管理创新，提高行业综合素质和核心竞争力，指导相关行业加强科学化安全生产管理和行业质量管理工作。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7.</w:t>
      </w:r>
      <w:r>
        <w:rPr>
          <w:rFonts w:hint="eastAsia" w:ascii="仿宋" w:hAnsi="仿宋" w:eastAsia="仿宋" w:cs="宋体"/>
          <w:color w:val="auto"/>
          <w:kern w:val="0"/>
          <w:sz w:val="32"/>
          <w:szCs w:val="32"/>
        </w:rPr>
        <w:t>研究提出促进全县非公有制经济和中小企业发展的政策措施，协调解决重大问题；制定中小企业发展战略、中长期发展规划并组织实施；指导中小企业改革工作；推进中小企业服务体系建设，指导中小企业法律顾问工作，推进全民创业。</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8.</w:t>
      </w:r>
      <w:r>
        <w:rPr>
          <w:rFonts w:hint="eastAsia" w:ascii="仿宋" w:hAnsi="仿宋" w:eastAsia="仿宋" w:cs="宋体"/>
          <w:color w:val="auto"/>
          <w:kern w:val="0"/>
          <w:sz w:val="32"/>
          <w:szCs w:val="32"/>
        </w:rPr>
        <w:t>参与拟订能源节约和资源综合利用规划；会同有关部门组织实施节能行动方案和资源综合利用工作；拟订并组织实施工业能源节约和资源综合利用政策；承担工业企业的节能考核和监察工作；组织推进清洁生产工作；组织协调相关重大示范工程和相关新产品、新技术、新设备、新材料的推广应用；参与编制全县生态建设规划；参与协调工业环境保护。</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9.</w:t>
      </w:r>
      <w:r>
        <w:rPr>
          <w:rFonts w:hint="eastAsia" w:ascii="仿宋" w:hAnsi="仿宋" w:eastAsia="仿宋" w:cs="宋体"/>
          <w:color w:val="auto"/>
          <w:kern w:val="0"/>
          <w:sz w:val="32"/>
          <w:szCs w:val="32"/>
        </w:rPr>
        <w:t>综合协调经济运行中与铁路、公路、水运、航空、管道运输以及通信、邮政有关的重大问题；负责铁路专用线的管理工作；负责煤炭、电力、石油、天然气和原材料等经济运行保障要素的综合协调工作；指导生产企业物流外包，促进企业内部物流社会化。</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10.</w:t>
      </w:r>
      <w:r>
        <w:rPr>
          <w:rFonts w:hint="eastAsia" w:ascii="仿宋" w:hAnsi="仿宋" w:eastAsia="仿宋" w:cs="宋体"/>
          <w:color w:val="auto"/>
          <w:kern w:val="0"/>
          <w:sz w:val="32"/>
          <w:szCs w:val="32"/>
        </w:rPr>
        <w:t>组织拟订信息化发展战略、专项规划及相关政策，协调解决重大问题；促进电信、广播电视和计算机网络融合；指导协调电子政务发展；推动跨行业、跨部门的互联互通和重要信息资源的开发利用、共享；推进全县信息化建设。</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11.</w:t>
      </w:r>
      <w:r>
        <w:rPr>
          <w:rFonts w:hint="eastAsia" w:ascii="仿宋" w:hAnsi="仿宋" w:eastAsia="仿宋" w:cs="宋体"/>
          <w:color w:val="auto"/>
          <w:kern w:val="0"/>
          <w:sz w:val="32"/>
          <w:szCs w:val="32"/>
        </w:rPr>
        <w:t>制订全县信息化安全发展战略、规划，指导、协调信息安全保障体系建设；指导监督政府部门、重点行业重要信息系统与基础信息网络的安全保障工作，协助处理网络与信息安全的重大事件。</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12.</w:t>
      </w:r>
      <w:r>
        <w:rPr>
          <w:rFonts w:hint="eastAsia" w:ascii="仿宋" w:hAnsi="仿宋" w:eastAsia="仿宋" w:cs="宋体"/>
          <w:color w:val="auto"/>
          <w:kern w:val="0"/>
          <w:sz w:val="32"/>
          <w:szCs w:val="32"/>
        </w:rPr>
        <w:t>根据国家统一规划，协调全县公用通信网、互联网、广播电视网和其他专用通信网的规划和建设，促进网络资源共享；依法监督管理信息服务市场。</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13.</w:t>
      </w:r>
      <w:r>
        <w:rPr>
          <w:rFonts w:hint="eastAsia" w:ascii="仿宋" w:hAnsi="仿宋" w:eastAsia="仿宋" w:cs="宋体"/>
          <w:color w:val="auto"/>
          <w:kern w:val="0"/>
          <w:sz w:val="32"/>
          <w:szCs w:val="32"/>
        </w:rPr>
        <w:t>负责推动软件业和信息服务业的发展；组织制订软件业和信息服务业发展战略、专项规划及相关政策，协调解决重大问题，推动软件公共服务体系建设，推进软件服务外包；指导、协调技术开发和相关产业发展。</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14.</w:t>
      </w:r>
      <w:r>
        <w:rPr>
          <w:rFonts w:hint="eastAsia" w:ascii="仿宋" w:hAnsi="仿宋" w:eastAsia="仿宋" w:cs="宋体"/>
          <w:color w:val="auto"/>
          <w:kern w:val="0"/>
          <w:sz w:val="32"/>
          <w:szCs w:val="32"/>
        </w:rPr>
        <w:t>指导全县工业、信息化领域人才开发与培训工作；开展人才和智力对外合作交流。</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15.</w:t>
      </w:r>
      <w:r>
        <w:rPr>
          <w:rFonts w:hint="eastAsia" w:ascii="仿宋" w:hAnsi="仿宋" w:eastAsia="仿宋" w:cs="宋体"/>
          <w:color w:val="auto"/>
          <w:kern w:val="0"/>
          <w:sz w:val="32"/>
          <w:szCs w:val="32"/>
        </w:rPr>
        <w:t>贯彻执行医药、食品等行业的规划和行业规范，实施行业管理。</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16.</w:t>
      </w:r>
      <w:r>
        <w:rPr>
          <w:rFonts w:hint="eastAsia" w:ascii="仿宋" w:hAnsi="仿宋" w:eastAsia="仿宋" w:cs="宋体"/>
          <w:color w:val="auto"/>
          <w:kern w:val="0"/>
          <w:sz w:val="32"/>
          <w:szCs w:val="32"/>
        </w:rPr>
        <w:t>负责全县二轻集体工业和二轻集体工业联社管理工作。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17.</w:t>
      </w:r>
      <w:r>
        <w:rPr>
          <w:rFonts w:hint="eastAsia" w:ascii="仿宋" w:hAnsi="仿宋" w:eastAsia="仿宋" w:cs="宋体"/>
          <w:color w:val="auto"/>
          <w:kern w:val="0"/>
          <w:sz w:val="32"/>
          <w:szCs w:val="32"/>
        </w:rPr>
        <w:t>贯彻国家、省、市电力工业发展方针、政策和法律法规，根据国民经济和社会发展总体规划，合理编制电力工业发展规划，认真研究相关政策；加强电力需求管理，做好指导和监督工作；加强电力行政执法，开展电力行政执法工作，维护发供用电公共安全工作；依法做好电力设施保护区的划定工作，定期开展打击破坏电力设施、窃电和违章用电的整治工作，维护正常的供用电秩序。</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18.</w:t>
      </w:r>
      <w:r>
        <w:rPr>
          <w:rFonts w:hint="eastAsia" w:ascii="仿宋" w:hAnsi="仿宋" w:eastAsia="仿宋" w:cs="宋体"/>
          <w:color w:val="auto"/>
          <w:kern w:val="0"/>
          <w:sz w:val="32"/>
          <w:szCs w:val="32"/>
        </w:rPr>
        <w:t>组织实施科技重大专项。制定相关配套实施办法；组织科技重大专项实施中的方案论证、评审立项、跟踪管理与评估验收等；统筹申报和组织实施国家、省、市科技重大专项工作，协调县科技重大专项与国家、省、市科技重大专项的衔接与配套。</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19</w:t>
      </w:r>
      <w:r>
        <w:rPr>
          <w:rFonts w:hint="eastAsia" w:ascii="仿宋" w:hAnsi="仿宋" w:eastAsia="仿宋" w:cs="宋体"/>
          <w:color w:val="auto"/>
          <w:kern w:val="0"/>
          <w:sz w:val="32"/>
          <w:szCs w:val="32"/>
        </w:rPr>
        <w:t>负责组织实施县级科技计划工作。负责组织制定和实施基础研究计划、科技支撑计划、科技创新环境建设计划等各类县级科技计划和重大科技工程计划；负责相关国家、省、市科技计划项目的申报、推荐和管理；牵头组织全县经济社会发展重要领域的重大关键技术攻关。</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20.</w:t>
      </w:r>
      <w:r>
        <w:rPr>
          <w:rFonts w:hint="eastAsia" w:ascii="仿宋" w:hAnsi="仿宋" w:eastAsia="仿宋" w:cs="宋体"/>
          <w:color w:val="auto"/>
          <w:kern w:val="0"/>
          <w:sz w:val="32"/>
          <w:szCs w:val="32"/>
        </w:rPr>
        <w:t>牵头组织全县农村和社会发展领域的科技进步工作。组织拟订科技促进农村和社会发展的规划和规范性文件，组织引导农业和社会发展领域的关键技术和成果示范，促进以改善民生为重点的农村建设和社会建设。</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21.</w:t>
      </w:r>
      <w:r>
        <w:rPr>
          <w:rFonts w:hint="eastAsia" w:ascii="仿宋" w:hAnsi="仿宋" w:eastAsia="仿宋" w:cs="宋体"/>
          <w:color w:val="auto"/>
          <w:kern w:val="0"/>
          <w:sz w:val="32"/>
          <w:szCs w:val="32"/>
        </w:rPr>
        <w:t>牵头组织协调促进全县产学研结合工作。会同有关部门拟订促进产学研结合的相关政策；组织重大科技成果应用示范，加强科技成果转化和推广，推动企业技术创新能力建设；拟订促进技术市场、科技中介组织发展政策，负责全县技术市场体系建设和管理，推进科技服务体系发展。</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22.</w:t>
      </w:r>
      <w:r>
        <w:rPr>
          <w:rFonts w:hint="eastAsia" w:ascii="仿宋" w:hAnsi="仿宋" w:eastAsia="仿宋" w:cs="宋体"/>
          <w:color w:val="auto"/>
          <w:kern w:val="0"/>
          <w:sz w:val="32"/>
          <w:szCs w:val="32"/>
        </w:rPr>
        <w:t>主管全县高新技术的研究开发、成果转化以及产业化工作。会同有关部门拟订高新技术发展及产业化的规划、措施，组织实施县高新技术产业化重大项目；归口管理和指导协调高新技术产业开发区等科技园区及特色产业化基地建设；负责高新技术企业、技术先进型服务企业自主创新产品等申报工作；指导并推动高新技术企业创新发展。</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23.</w:t>
      </w:r>
      <w:r>
        <w:rPr>
          <w:rFonts w:hint="eastAsia" w:ascii="仿宋" w:hAnsi="仿宋" w:eastAsia="仿宋" w:cs="宋体"/>
          <w:color w:val="auto"/>
          <w:kern w:val="0"/>
          <w:sz w:val="32"/>
          <w:szCs w:val="32"/>
        </w:rPr>
        <w:t>会同有关部门提出全县科技体制改革的建议与措施，推进全县创新体系建设；审核相关科研机构的组建和调整。</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24.</w:t>
      </w:r>
      <w:r>
        <w:rPr>
          <w:rFonts w:hint="eastAsia" w:ascii="仿宋" w:hAnsi="仿宋" w:eastAsia="仿宋" w:cs="宋体"/>
          <w:color w:val="auto"/>
          <w:kern w:val="0"/>
          <w:sz w:val="32"/>
          <w:szCs w:val="32"/>
        </w:rPr>
        <w:t>负责本部门及归口管理的县级科技经预决算和经费使用的监督管理；会同有关部门制定多渠道增加科技投入措施；组织拟订全县科研条件保障的规划和相关措施；会同有关部门提出科技资源合理配置的建议。负责拟定并会同有关部门实施全县科技基础条件平台建设计划，推进科技基础条件平台共建共享。</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25.</w:t>
      </w:r>
      <w:r>
        <w:rPr>
          <w:rFonts w:hint="eastAsia" w:ascii="仿宋" w:hAnsi="仿宋" w:eastAsia="仿宋" w:cs="宋体"/>
          <w:color w:val="auto"/>
          <w:kern w:val="0"/>
          <w:sz w:val="32"/>
          <w:szCs w:val="32"/>
        </w:rPr>
        <w:t>拟订全县对外科技合作与交流的规划和相关措施；负责组织科技外事与合作项目的审定项工作；参与重大引进项目的论证与决策。</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26.</w:t>
      </w:r>
      <w:r>
        <w:rPr>
          <w:rFonts w:hint="eastAsia" w:ascii="仿宋" w:hAnsi="仿宋" w:eastAsia="仿宋" w:cs="宋体"/>
          <w:color w:val="auto"/>
          <w:kern w:val="0"/>
          <w:sz w:val="32"/>
          <w:szCs w:val="32"/>
        </w:rPr>
        <w:t>负责全县科学技术普及工作。拟订全县科普规划和相关措施；组织实施科普计划，负责省级科普基地和示范基地认定的推荐申报项工作；统筹协调和监督检查全县科普工作。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27.</w:t>
      </w:r>
      <w:r>
        <w:rPr>
          <w:rFonts w:hint="eastAsia" w:ascii="仿宋" w:hAnsi="仿宋" w:eastAsia="仿宋" w:cs="宋体"/>
          <w:color w:val="auto"/>
          <w:kern w:val="0"/>
          <w:sz w:val="32"/>
          <w:szCs w:val="32"/>
        </w:rPr>
        <w:t>负责全县科技人才有关工作。会同有关部门拟订科技人才队伍建设规划；承担全县科技人才队伍建设和科技创新团队建设有关工作。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28.</w:t>
      </w:r>
      <w:r>
        <w:rPr>
          <w:rFonts w:hint="eastAsia" w:ascii="仿宋" w:hAnsi="仿宋" w:eastAsia="仿宋" w:cs="宋体"/>
          <w:color w:val="auto"/>
          <w:kern w:val="0"/>
          <w:sz w:val="32"/>
          <w:szCs w:val="32"/>
        </w:rPr>
        <w:t>负责全县科技奖励、科技保密、科技评估、科技统计、科技情报信息、科技期刊管理等工作。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29.</w:t>
      </w:r>
      <w:r>
        <w:rPr>
          <w:rFonts w:hint="eastAsia" w:ascii="仿宋" w:hAnsi="仿宋" w:eastAsia="仿宋" w:cs="宋体"/>
          <w:color w:val="auto"/>
          <w:kern w:val="0"/>
          <w:sz w:val="32"/>
          <w:szCs w:val="32"/>
        </w:rPr>
        <w:t>做好原湘源锡矿改制后的稳定、服务工作和风景区保护、开发等工作。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30.</w:t>
      </w:r>
      <w:r>
        <w:rPr>
          <w:rFonts w:hint="eastAsia" w:ascii="仿宋" w:hAnsi="仿宋" w:eastAsia="仿宋" w:cs="宋体"/>
          <w:color w:val="auto"/>
          <w:kern w:val="0"/>
          <w:sz w:val="32"/>
          <w:szCs w:val="32"/>
        </w:rPr>
        <w:t>承办县委、县人民政府交办的其他事项。</w:t>
      </w:r>
    </w:p>
    <w:p>
      <w:pPr>
        <w:widowControl/>
        <w:ind w:firstLine="630" w:firstLineChars="196"/>
        <w:jc w:val="left"/>
        <w:rPr>
          <w:rFonts w:ascii="仿宋_GB2312" w:eastAsia="仿宋_GB2312"/>
          <w:b/>
          <w:bCs/>
          <w:kern w:val="0"/>
          <w:sz w:val="32"/>
          <w:szCs w:val="32"/>
        </w:rPr>
      </w:pPr>
      <w:r>
        <w:rPr>
          <w:rFonts w:hint="eastAsia" w:ascii="仿宋_GB2312" w:eastAsia="仿宋_GB2312"/>
          <w:b/>
          <w:bCs/>
          <w:kern w:val="0"/>
          <w:sz w:val="32"/>
          <w:szCs w:val="32"/>
        </w:rPr>
        <w:t>二、机构设置及决算单位构成</w:t>
      </w:r>
    </w:p>
    <w:p>
      <w:pPr>
        <w:pStyle w:val="2"/>
        <w:spacing w:line="600" w:lineRule="exact"/>
        <w:ind w:firstLine="643" w:firstLineChars="200"/>
        <w:rPr>
          <w:rFonts w:hint="eastAsia" w:ascii="仿宋_GB2312" w:hAnsi="仿宋_GB2312" w:eastAsia="仿宋_GB2312" w:cs="仿宋_GB2312"/>
          <w:color w:val="000000"/>
          <w:kern w:val="0"/>
          <w:sz w:val="32"/>
          <w:szCs w:val="32"/>
          <w:shd w:val="clear" w:color="auto" w:fill="FFFFFF"/>
          <w:lang w:bidi="ar"/>
        </w:rPr>
      </w:pPr>
      <w:r>
        <w:rPr>
          <w:rFonts w:hint="eastAsia" w:ascii="楷体" w:hAnsi="楷体" w:eastAsia="楷体" w:cs="楷体"/>
          <w:b/>
          <w:bCs/>
          <w:kern w:val="0"/>
          <w:sz w:val="32"/>
          <w:szCs w:val="32"/>
        </w:rPr>
        <w:t>（一）内设机构设置。</w:t>
      </w:r>
      <w:r>
        <w:rPr>
          <w:rFonts w:hint="eastAsia" w:ascii="仿宋_GB2312" w:hAnsi="仿宋_GB2312" w:eastAsia="仿宋_GB2312" w:cs="仿宋_GB2312"/>
          <w:color w:val="000000"/>
          <w:kern w:val="0"/>
          <w:sz w:val="32"/>
          <w:szCs w:val="32"/>
          <w:shd w:val="clear" w:color="auto" w:fill="FFFFFF"/>
          <w:lang w:bidi="ar"/>
        </w:rPr>
        <w:t>根据中共道县县委机构编制委员会文件《关于调整道县科技和工业信息化局职责机构编制调整的通知》道编发〔2024〕15号，我局是县政府正科级工作部门，为正科级。行政编制12名，机关后勤编制4名，内设机构共 7个</w:t>
      </w:r>
      <w:r>
        <w:rPr>
          <w:rFonts w:hint="eastAsia" w:ascii="仿宋_GB2312" w:hAnsi="仿宋_GB2312" w:eastAsia="仿宋_GB2312" w:cs="仿宋_GB2312"/>
          <w:snapToGrid w:val="0"/>
          <w:color w:val="000000"/>
          <w:spacing w:val="8"/>
          <w:kern w:val="0"/>
          <w:sz w:val="32"/>
          <w:szCs w:val="32"/>
        </w:rPr>
        <w:t>办公室(法规股)、维稳办、政工股（党建室、外国专家管理股）、科技管理股、经济运行监测股、节能运行股、企业改革</w:t>
      </w:r>
      <w:r>
        <w:rPr>
          <w:rFonts w:hint="eastAsia" w:ascii="仿宋_GB2312" w:hAnsi="仿宋_GB2312" w:eastAsia="仿宋_GB2312" w:cs="仿宋_GB2312"/>
          <w:color w:val="000000"/>
          <w:kern w:val="0"/>
          <w:sz w:val="32"/>
          <w:szCs w:val="32"/>
          <w:shd w:val="clear" w:color="auto" w:fill="FFFFFF"/>
          <w:lang w:bidi="ar"/>
        </w:rPr>
        <w:t>。局直属4个全额拨款事业单位，编制19名。</w:t>
      </w:r>
    </w:p>
    <w:p>
      <w:pPr>
        <w:widowControl/>
        <w:spacing w:line="600" w:lineRule="exact"/>
        <w:ind w:firstLine="643" w:firstLineChars="200"/>
        <w:rPr>
          <w:rFonts w:eastAsia="仿宋_GB2312"/>
          <w:kern w:val="0"/>
          <w:sz w:val="32"/>
          <w:szCs w:val="32"/>
        </w:rPr>
      </w:pPr>
      <w:r>
        <w:rPr>
          <w:rFonts w:hint="eastAsia" w:ascii="楷体" w:hAnsi="楷体" w:eastAsia="楷体" w:cs="楷体"/>
          <w:b/>
          <w:bCs/>
          <w:kern w:val="0"/>
          <w:sz w:val="32"/>
          <w:szCs w:val="32"/>
        </w:rPr>
        <w:t>（二）决算单位构成。</w:t>
      </w:r>
      <w:r>
        <w:rPr>
          <w:rFonts w:hint="eastAsia" w:eastAsia="仿宋_GB2312"/>
          <w:kern w:val="0"/>
          <w:sz w:val="32"/>
          <w:szCs w:val="32"/>
        </w:rPr>
        <w:t>道县科技和工业信息化局202</w:t>
      </w:r>
      <w:r>
        <w:rPr>
          <w:rFonts w:hint="eastAsia" w:eastAsia="仿宋_GB2312"/>
          <w:kern w:val="0"/>
          <w:sz w:val="32"/>
          <w:szCs w:val="32"/>
          <w:lang w:val="en-US" w:eastAsia="zh-CN"/>
        </w:rPr>
        <w:t>5</w:t>
      </w:r>
      <w:r>
        <w:rPr>
          <w:rFonts w:hint="eastAsia" w:eastAsia="仿宋_GB2312"/>
          <w:kern w:val="0"/>
          <w:sz w:val="32"/>
          <w:szCs w:val="32"/>
        </w:rPr>
        <w:t>年部门决算汇总公开单位构成包括：道县科技和工业信息化局本级。</w:t>
      </w:r>
    </w:p>
    <w:p>
      <w:pPr>
        <w:jc w:val="left"/>
        <w:rPr>
          <w:rFonts w:hint="eastAsia" w:ascii="仿宋_GB2312" w:eastAsia="仿宋_GB2312" w:hAnsiTheme="minorEastAsia"/>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41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42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4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469"/>
              </w:tabs>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2935.69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50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45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4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593.57</w:t>
            </w:r>
          </w:p>
        </w:tc>
      </w:tr>
      <w:tr>
        <w:tblPrEx>
          <w:tblCellMar>
            <w:top w:w="0" w:type="dxa"/>
            <w:left w:w="108" w:type="dxa"/>
            <w:bottom w:w="0" w:type="dxa"/>
            <w:right w:w="108" w:type="dxa"/>
          </w:tblCellMar>
        </w:tblPrEx>
        <w:trPr>
          <w:trHeight w:val="42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149.59</w:t>
            </w:r>
          </w:p>
        </w:tc>
      </w:tr>
      <w:tr>
        <w:tblPrEx>
          <w:tblCellMar>
            <w:top w:w="0" w:type="dxa"/>
            <w:left w:w="108" w:type="dxa"/>
            <w:bottom w:w="0" w:type="dxa"/>
            <w:right w:w="108" w:type="dxa"/>
          </w:tblCellMar>
        </w:tblPrEx>
        <w:trPr>
          <w:trHeight w:val="41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16.75</w:t>
            </w:r>
          </w:p>
        </w:tc>
      </w:tr>
      <w:tr>
        <w:tblPrEx>
          <w:tblCellMar>
            <w:top w:w="0" w:type="dxa"/>
            <w:left w:w="108" w:type="dxa"/>
            <w:bottom w:w="0" w:type="dxa"/>
            <w:right w:w="108" w:type="dxa"/>
          </w:tblCellMar>
        </w:tblPrEx>
        <w:trPr>
          <w:trHeight w:val="48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496.7</w:t>
            </w:r>
          </w:p>
        </w:tc>
      </w:tr>
      <w:tr>
        <w:tblPrEx>
          <w:tblCellMar>
            <w:top w:w="0" w:type="dxa"/>
            <w:left w:w="108" w:type="dxa"/>
            <w:bottom w:w="0" w:type="dxa"/>
            <w:right w:w="108" w:type="dxa"/>
          </w:tblCellMar>
        </w:tblPrEx>
        <w:trPr>
          <w:trHeight w:val="38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1679.09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仿宋_GB2312" w:cs="Times New Roman"/>
                <w:color w:val="000000"/>
                <w:kern w:val="0"/>
                <w:sz w:val="22"/>
                <w:lang w:val="en-US" w:eastAsia="zh-CN"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40.73</w:t>
            </w:r>
          </w:p>
        </w:tc>
      </w:tr>
      <w:tr>
        <w:tblPrEx>
          <w:tblCellMar>
            <w:top w:w="0" w:type="dxa"/>
            <w:left w:w="108" w:type="dxa"/>
            <w:bottom w:w="0" w:type="dxa"/>
            <w:right w:w="108" w:type="dxa"/>
          </w:tblCellMar>
        </w:tblPrEx>
        <w:trPr>
          <w:trHeight w:val="41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2976.43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2976.43</w:t>
            </w:r>
          </w:p>
        </w:tc>
      </w:tr>
      <w:tr>
        <w:tblPrEx>
          <w:tblCellMar>
            <w:top w:w="0" w:type="dxa"/>
            <w:left w:w="108" w:type="dxa"/>
            <w:bottom w:w="0" w:type="dxa"/>
            <w:right w:w="108" w:type="dxa"/>
          </w:tblCellMar>
        </w:tblPrEx>
        <w:trPr>
          <w:trHeight w:val="41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9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2976.43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2976.43</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widowControl/>
        <w:jc w:val="left"/>
        <w:textAlignment w:val="center"/>
        <w:rPr>
          <w:rFonts w:ascii="Times New Roman" w:hAnsi="Times New Roman" w:eastAsia="仿宋_GB2312" w:cs="Times New Roman"/>
          <w:color w:val="000000"/>
          <w:kern w:val="0"/>
          <w:sz w:val="24"/>
          <w:szCs w:val="24"/>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5108" w:type="dxa"/>
        <w:jc w:val="center"/>
        <w:tblLayout w:type="fixed"/>
        <w:tblCellMar>
          <w:top w:w="0" w:type="dxa"/>
          <w:left w:w="0" w:type="dxa"/>
          <w:bottom w:w="0" w:type="dxa"/>
          <w:right w:w="0" w:type="dxa"/>
        </w:tblCellMar>
      </w:tblPr>
      <w:tblGrid>
        <w:gridCol w:w="1009"/>
        <w:gridCol w:w="3764"/>
        <w:gridCol w:w="1077"/>
        <w:gridCol w:w="1391"/>
        <w:gridCol w:w="1363"/>
        <w:gridCol w:w="1213"/>
        <w:gridCol w:w="1569"/>
        <w:gridCol w:w="1800"/>
        <w:gridCol w:w="1922"/>
      </w:tblGrid>
      <w:tr>
        <w:tblPrEx>
          <w:tblCellMar>
            <w:top w:w="0" w:type="dxa"/>
            <w:left w:w="0" w:type="dxa"/>
            <w:bottom w:w="0" w:type="dxa"/>
            <w:right w:w="0" w:type="dxa"/>
          </w:tblCellMar>
        </w:tblPrEx>
        <w:trPr>
          <w:cantSplit/>
          <w:trHeight w:val="340" w:hRule="atLeast"/>
          <w:jc w:val="center"/>
        </w:trPr>
        <w:tc>
          <w:tcPr>
            <w:tcW w:w="477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0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9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56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92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cantSplit/>
          <w:trHeight w:val="340" w:hRule="atLeast"/>
          <w:jc w:val="center"/>
        </w:trPr>
        <w:tc>
          <w:tcPr>
            <w:tcW w:w="10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76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07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21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56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92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r>
      <w:tr>
        <w:tblPrEx>
          <w:tblCellMar>
            <w:top w:w="0" w:type="dxa"/>
            <w:left w:w="0" w:type="dxa"/>
            <w:bottom w:w="0" w:type="dxa"/>
            <w:right w:w="0" w:type="dxa"/>
          </w:tblCellMar>
        </w:tblPrEx>
        <w:trPr>
          <w:cantSplit/>
          <w:trHeight w:val="340" w:hRule="atLeast"/>
          <w:jc w:val="center"/>
        </w:trPr>
        <w:tc>
          <w:tcPr>
            <w:tcW w:w="10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3764" w:type="dxa"/>
            <w:vMerge w:val="continue"/>
            <w:tcBorders>
              <w:top w:val="nil"/>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07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21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56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c>
          <w:tcPr>
            <w:tcW w:w="192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24"/>
                <w:szCs w:val="24"/>
              </w:rPr>
            </w:pPr>
          </w:p>
        </w:tc>
      </w:tr>
      <w:tr>
        <w:tblPrEx>
          <w:tblCellMar>
            <w:top w:w="0" w:type="dxa"/>
            <w:left w:w="0" w:type="dxa"/>
            <w:bottom w:w="0" w:type="dxa"/>
            <w:right w:w="0" w:type="dxa"/>
          </w:tblCellMar>
        </w:tblPrEx>
        <w:trPr>
          <w:cantSplit/>
          <w:trHeight w:val="340" w:hRule="atLeast"/>
          <w:jc w:val="center"/>
        </w:trPr>
        <w:tc>
          <w:tcPr>
            <w:tcW w:w="47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0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1</w:t>
            </w:r>
          </w:p>
        </w:tc>
        <w:tc>
          <w:tcPr>
            <w:tcW w:w="13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2</w:t>
            </w:r>
          </w:p>
        </w:tc>
        <w:tc>
          <w:tcPr>
            <w:tcW w:w="13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3</w:t>
            </w:r>
          </w:p>
        </w:tc>
        <w:tc>
          <w:tcPr>
            <w:tcW w:w="12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4</w:t>
            </w:r>
          </w:p>
        </w:tc>
        <w:tc>
          <w:tcPr>
            <w:tcW w:w="15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5</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6</w:t>
            </w:r>
          </w:p>
        </w:tc>
        <w:tc>
          <w:tcPr>
            <w:tcW w:w="19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cantSplit/>
          <w:trHeight w:val="340" w:hRule="atLeast"/>
          <w:jc w:val="center"/>
        </w:trPr>
        <w:tc>
          <w:tcPr>
            <w:tcW w:w="47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0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2976.43</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2976.43</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c>
          <w:tcPr>
            <w:tcW w:w="156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2060101</w:t>
            </w:r>
          </w:p>
        </w:tc>
        <w:tc>
          <w:tcPr>
            <w:tcW w:w="3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0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244.25</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244.25</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c>
          <w:tcPr>
            <w:tcW w:w="156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jc w:val="right"/>
              <w:textAlignment w:val="auto"/>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2060404</w:t>
            </w:r>
          </w:p>
        </w:tc>
        <w:tc>
          <w:tcPr>
            <w:tcW w:w="3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科技成果转化与扩散</w:t>
            </w:r>
          </w:p>
        </w:tc>
        <w:tc>
          <w:tcPr>
            <w:tcW w:w="10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233.29</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233.29</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56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2069999</w:t>
            </w:r>
          </w:p>
        </w:tc>
        <w:tc>
          <w:tcPr>
            <w:tcW w:w="3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其他科学技术支出</w:t>
            </w:r>
          </w:p>
        </w:tc>
        <w:tc>
          <w:tcPr>
            <w:tcW w:w="10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116.03</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116.03</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56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3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10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49.84</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49.84</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56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2080506</w:t>
            </w:r>
          </w:p>
        </w:tc>
        <w:tc>
          <w:tcPr>
            <w:tcW w:w="3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机关事业单位职业年金缴费支出</w:t>
            </w:r>
          </w:p>
        </w:tc>
        <w:tc>
          <w:tcPr>
            <w:tcW w:w="10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6.64</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6.64</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56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9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2080508</w:t>
            </w:r>
          </w:p>
        </w:tc>
        <w:tc>
          <w:tcPr>
            <w:tcW w:w="37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对机关事业单位职业年金的补助</w:t>
            </w:r>
          </w:p>
        </w:tc>
        <w:tc>
          <w:tcPr>
            <w:tcW w:w="10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0.61</w:t>
            </w:r>
          </w:p>
        </w:tc>
        <w:tc>
          <w:tcPr>
            <w:tcW w:w="13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0.61</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5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8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c>
          <w:tcPr>
            <w:tcW w:w="19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r>
              <w:rPr>
                <w:rFonts w:hint="eastAsia" w:ascii="宋体" w:hAnsi="宋体"/>
                <w:color w:val="333333"/>
                <w:sz w:val="22"/>
                <w:szCs w:val="24"/>
              </w:rPr>
              <w:t>　</w:t>
            </w: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37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10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92.50</w:t>
            </w:r>
          </w:p>
        </w:tc>
        <w:tc>
          <w:tcPr>
            <w:tcW w:w="13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92.50</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37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0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16.75</w:t>
            </w:r>
          </w:p>
        </w:tc>
        <w:tc>
          <w:tcPr>
            <w:tcW w:w="13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16.75</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2110307</w:t>
            </w:r>
          </w:p>
        </w:tc>
        <w:tc>
          <w:tcPr>
            <w:tcW w:w="37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土壤</w:t>
            </w:r>
          </w:p>
        </w:tc>
        <w:tc>
          <w:tcPr>
            <w:tcW w:w="10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496.70</w:t>
            </w:r>
          </w:p>
        </w:tc>
        <w:tc>
          <w:tcPr>
            <w:tcW w:w="13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496.70</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2150101</w:t>
            </w:r>
          </w:p>
        </w:tc>
        <w:tc>
          <w:tcPr>
            <w:tcW w:w="376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107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236.87</w:t>
            </w:r>
          </w:p>
        </w:tc>
        <w:tc>
          <w:tcPr>
            <w:tcW w:w="139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236.87</w:t>
            </w:r>
          </w:p>
        </w:tc>
        <w:tc>
          <w:tcPr>
            <w:tcW w:w="136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2150299</w:t>
            </w:r>
          </w:p>
        </w:tc>
        <w:tc>
          <w:tcPr>
            <w:tcW w:w="376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其他制造业支出</w:t>
            </w:r>
          </w:p>
        </w:tc>
        <w:tc>
          <w:tcPr>
            <w:tcW w:w="107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765.26</w:t>
            </w:r>
          </w:p>
        </w:tc>
        <w:tc>
          <w:tcPr>
            <w:tcW w:w="139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765.26</w:t>
            </w:r>
          </w:p>
        </w:tc>
        <w:tc>
          <w:tcPr>
            <w:tcW w:w="136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2150599</w:t>
            </w:r>
          </w:p>
        </w:tc>
        <w:tc>
          <w:tcPr>
            <w:tcW w:w="376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其他工业和信息产业支出</w:t>
            </w:r>
          </w:p>
        </w:tc>
        <w:tc>
          <w:tcPr>
            <w:tcW w:w="107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594.96</w:t>
            </w:r>
          </w:p>
        </w:tc>
        <w:tc>
          <w:tcPr>
            <w:tcW w:w="139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594.96</w:t>
            </w:r>
          </w:p>
        </w:tc>
        <w:tc>
          <w:tcPr>
            <w:tcW w:w="136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2150805</w:t>
            </w:r>
          </w:p>
        </w:tc>
        <w:tc>
          <w:tcPr>
            <w:tcW w:w="376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中小企业发展专项</w:t>
            </w:r>
          </w:p>
        </w:tc>
        <w:tc>
          <w:tcPr>
            <w:tcW w:w="107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65.00</w:t>
            </w:r>
          </w:p>
        </w:tc>
        <w:tc>
          <w:tcPr>
            <w:tcW w:w="139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65.00</w:t>
            </w:r>
          </w:p>
        </w:tc>
        <w:tc>
          <w:tcPr>
            <w:tcW w:w="136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2150899</w:t>
            </w:r>
          </w:p>
        </w:tc>
        <w:tc>
          <w:tcPr>
            <w:tcW w:w="376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其他支持中小企业发展和管理支出</w:t>
            </w:r>
          </w:p>
        </w:tc>
        <w:tc>
          <w:tcPr>
            <w:tcW w:w="107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17.00</w:t>
            </w:r>
          </w:p>
        </w:tc>
        <w:tc>
          <w:tcPr>
            <w:tcW w:w="139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17.00</w:t>
            </w:r>
          </w:p>
        </w:tc>
        <w:tc>
          <w:tcPr>
            <w:tcW w:w="136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r>
        <w:tblPrEx>
          <w:tblCellMar>
            <w:top w:w="0" w:type="dxa"/>
            <w:left w:w="0" w:type="dxa"/>
            <w:bottom w:w="0" w:type="dxa"/>
            <w:right w:w="0" w:type="dxa"/>
          </w:tblCellMar>
        </w:tblPrEx>
        <w:trPr>
          <w:cantSplit/>
          <w:trHeight w:val="340" w:hRule="atLeast"/>
          <w:jc w:val="center"/>
        </w:trPr>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2290403</w:t>
            </w:r>
          </w:p>
        </w:tc>
        <w:tc>
          <w:tcPr>
            <w:tcW w:w="376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其他政府性基金债务收入安排的支出</w:t>
            </w:r>
          </w:p>
        </w:tc>
        <w:tc>
          <w:tcPr>
            <w:tcW w:w="107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40.74</w:t>
            </w:r>
          </w:p>
        </w:tc>
        <w:tc>
          <w:tcPr>
            <w:tcW w:w="139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40.74</w:t>
            </w:r>
          </w:p>
        </w:tc>
        <w:tc>
          <w:tcPr>
            <w:tcW w:w="136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213"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569"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800"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c>
          <w:tcPr>
            <w:tcW w:w="1922" w:type="dxa"/>
            <w:tcBorders>
              <w:top w:val="single" w:color="auto" w:sz="4" w:space="0"/>
              <w:left w:val="single" w:color="auto" w:sz="4" w:space="0"/>
              <w:bottom w:val="single" w:color="auto" w:sz="4" w:space="0"/>
              <w:right w:val="single" w:color="auto" w:sz="4" w:space="0"/>
            </w:tcBorders>
          </w:tcPr>
          <w:p>
            <w:pPr>
              <w:keepNext w:val="0"/>
              <w:keepLines/>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color w:val="333333"/>
                <w:sz w:val="22"/>
                <w:szCs w:val="24"/>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5195" w:type="pct"/>
        <w:jc w:val="center"/>
        <w:tblLayout w:type="fixed"/>
        <w:tblCellMar>
          <w:top w:w="0" w:type="dxa"/>
          <w:left w:w="108" w:type="dxa"/>
          <w:bottom w:w="0" w:type="dxa"/>
          <w:right w:w="108" w:type="dxa"/>
        </w:tblCellMar>
      </w:tblPr>
      <w:tblGrid>
        <w:gridCol w:w="1288"/>
        <w:gridCol w:w="3907"/>
        <w:gridCol w:w="1880"/>
        <w:gridCol w:w="1391"/>
        <w:gridCol w:w="1322"/>
        <w:gridCol w:w="1564"/>
        <w:gridCol w:w="995"/>
        <w:gridCol w:w="2428"/>
      </w:tblGrid>
      <w:tr>
        <w:tblPrEx>
          <w:tblCellMar>
            <w:top w:w="0" w:type="dxa"/>
            <w:left w:w="108" w:type="dxa"/>
            <w:bottom w:w="0" w:type="dxa"/>
            <w:right w:w="108" w:type="dxa"/>
          </w:tblCellMar>
        </w:tblPrEx>
        <w:trPr>
          <w:trHeight w:val="34" w:hRule="atLeast"/>
          <w:jc w:val="center"/>
        </w:trPr>
        <w:tc>
          <w:tcPr>
            <w:tcW w:w="175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7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2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atLeast"/>
          <w:jc w:val="center"/>
        </w:trPr>
        <w:tc>
          <w:tcPr>
            <w:tcW w:w="43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22"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2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312" w:hRule="atLeast"/>
          <w:jc w:val="center"/>
        </w:trPr>
        <w:tc>
          <w:tcPr>
            <w:tcW w:w="43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22"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2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175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3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4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2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3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2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34" w:hRule="atLeast"/>
          <w:jc w:val="center"/>
        </w:trPr>
        <w:tc>
          <w:tcPr>
            <w:tcW w:w="175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36"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2,976.43</w:t>
            </w:r>
          </w:p>
        </w:tc>
        <w:tc>
          <w:tcPr>
            <w:tcW w:w="470"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786.56</w:t>
            </w:r>
          </w:p>
        </w:tc>
        <w:tc>
          <w:tcPr>
            <w:tcW w:w="447"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2,189.88</w:t>
            </w:r>
          </w:p>
        </w:tc>
        <w:tc>
          <w:tcPr>
            <w:tcW w:w="5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2060101</w:t>
            </w:r>
          </w:p>
        </w:tc>
        <w:tc>
          <w:tcPr>
            <w:tcW w:w="1322"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636"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244.25</w:t>
            </w:r>
          </w:p>
        </w:tc>
        <w:tc>
          <w:tcPr>
            <w:tcW w:w="470"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244.25</w:t>
            </w:r>
          </w:p>
        </w:tc>
        <w:tc>
          <w:tcPr>
            <w:tcW w:w="447"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5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2060404</w:t>
            </w:r>
          </w:p>
        </w:tc>
        <w:tc>
          <w:tcPr>
            <w:tcW w:w="1322"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科技成果转化与扩散</w:t>
            </w:r>
          </w:p>
        </w:tc>
        <w:tc>
          <w:tcPr>
            <w:tcW w:w="636"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233.29</w:t>
            </w:r>
          </w:p>
        </w:tc>
        <w:tc>
          <w:tcPr>
            <w:tcW w:w="470"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447"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233.29</w:t>
            </w:r>
          </w:p>
        </w:tc>
        <w:tc>
          <w:tcPr>
            <w:tcW w:w="5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2069999</w:t>
            </w:r>
          </w:p>
        </w:tc>
        <w:tc>
          <w:tcPr>
            <w:tcW w:w="1322"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其他科学技术支出</w:t>
            </w:r>
          </w:p>
        </w:tc>
        <w:tc>
          <w:tcPr>
            <w:tcW w:w="636"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116.03</w:t>
            </w:r>
          </w:p>
        </w:tc>
        <w:tc>
          <w:tcPr>
            <w:tcW w:w="470"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103.12</w:t>
            </w:r>
          </w:p>
        </w:tc>
        <w:tc>
          <w:tcPr>
            <w:tcW w:w="447"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12.91</w:t>
            </w:r>
          </w:p>
        </w:tc>
        <w:tc>
          <w:tcPr>
            <w:tcW w:w="5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1322"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636"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49.84</w:t>
            </w:r>
          </w:p>
        </w:tc>
        <w:tc>
          <w:tcPr>
            <w:tcW w:w="470"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49.84</w:t>
            </w:r>
          </w:p>
        </w:tc>
        <w:tc>
          <w:tcPr>
            <w:tcW w:w="447"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5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2080506</w:t>
            </w:r>
          </w:p>
        </w:tc>
        <w:tc>
          <w:tcPr>
            <w:tcW w:w="1322"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机关事业单位职业年金缴费支出</w:t>
            </w:r>
          </w:p>
        </w:tc>
        <w:tc>
          <w:tcPr>
            <w:tcW w:w="636"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6.64</w:t>
            </w:r>
          </w:p>
        </w:tc>
        <w:tc>
          <w:tcPr>
            <w:tcW w:w="470"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6.64</w:t>
            </w:r>
          </w:p>
        </w:tc>
        <w:tc>
          <w:tcPr>
            <w:tcW w:w="447"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5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2080508</w:t>
            </w:r>
          </w:p>
        </w:tc>
        <w:tc>
          <w:tcPr>
            <w:tcW w:w="1322"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对机关事业单位职业年金的补助</w:t>
            </w:r>
          </w:p>
        </w:tc>
        <w:tc>
          <w:tcPr>
            <w:tcW w:w="636"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0.61</w:t>
            </w:r>
          </w:p>
        </w:tc>
        <w:tc>
          <w:tcPr>
            <w:tcW w:w="470"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0.61</w:t>
            </w:r>
          </w:p>
        </w:tc>
        <w:tc>
          <w:tcPr>
            <w:tcW w:w="447" w:type="pct"/>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5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92.50</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92.50</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16.75</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16.75</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2110307</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土壤</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496.70</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496.70</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2150101</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236.87</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236.87</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2150299</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其他制造业支出</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765.26</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6.26</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759.00</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2150599</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其他工业和信息产业支出</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594.96</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29.72</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565.24</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2150805</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中小企业发展专项</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65.00</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65.00</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2150899</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其他支持中小企业发展和管理支出</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17.00</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17.00</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 w:hRule="atLeast"/>
          <w:jc w:val="center"/>
        </w:trPr>
        <w:tc>
          <w:tcPr>
            <w:tcW w:w="435"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2290403</w:t>
            </w:r>
          </w:p>
        </w:tc>
        <w:tc>
          <w:tcPr>
            <w:tcW w:w="132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left"/>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其他政府性基金债务收入安排的支出</w:t>
            </w:r>
          </w:p>
        </w:tc>
        <w:tc>
          <w:tcPr>
            <w:tcW w:w="636"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40.74</w:t>
            </w:r>
          </w:p>
        </w:tc>
        <w:tc>
          <w:tcPr>
            <w:tcW w:w="470"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447"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40.74</w:t>
            </w:r>
          </w:p>
        </w:tc>
        <w:tc>
          <w:tcPr>
            <w:tcW w:w="529"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336"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821" w:type="pct"/>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99"/>
        <w:gridCol w:w="2636"/>
        <w:gridCol w:w="616"/>
        <w:gridCol w:w="899"/>
        <w:gridCol w:w="1687"/>
        <w:gridCol w:w="1683"/>
        <w:gridCol w:w="1668"/>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2935.69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40.74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593.57</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593.57</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149.59</w:t>
            </w:r>
          </w:p>
        </w:tc>
        <w:tc>
          <w:tcPr>
            <w:tcW w:w="0" w:type="auto"/>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149.59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16.75</w:t>
            </w:r>
          </w:p>
        </w:tc>
        <w:tc>
          <w:tcPr>
            <w:tcW w:w="0" w:type="auto"/>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16.75</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496.70</w:t>
            </w:r>
          </w:p>
        </w:tc>
        <w:tc>
          <w:tcPr>
            <w:tcW w:w="0" w:type="auto"/>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496.70</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2636" w:type="dxa"/>
            <w:tcBorders>
              <w:top w:val="nil"/>
              <w:left w:val="nil"/>
              <w:bottom w:val="single" w:color="auto" w:sz="4" w:space="0"/>
              <w:right w:val="single" w:color="auto" w:sz="4" w:space="0"/>
            </w:tcBorders>
            <w:shd w:val="clear" w:color="auto" w:fill="F1F1F1"/>
            <w:noWrap/>
            <w:vAlign w:val="center"/>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1679.09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1679.09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F1F1F1"/>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仿宋_GB2312" w:cs="Times New Roman"/>
                <w:kern w:val="0"/>
                <w:sz w:val="22"/>
                <w:lang w:val="en-US" w:eastAsia="zh-CN"/>
              </w:rPr>
              <w:t>二十三、其他支出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40.74</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40.74</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2976.43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2976.43</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2935.69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2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2976.43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2976.43</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2935.69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40.74</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069"/>
        <w:gridCol w:w="3846"/>
        <w:gridCol w:w="2812"/>
        <w:gridCol w:w="3492"/>
        <w:gridCol w:w="3000"/>
      </w:tblGrid>
      <w:tr>
        <w:tblPrEx>
          <w:tblCellMar>
            <w:top w:w="0" w:type="dxa"/>
            <w:left w:w="108" w:type="dxa"/>
            <w:bottom w:w="0" w:type="dxa"/>
            <w:right w:w="108" w:type="dxa"/>
          </w:tblCellMar>
        </w:tblPrEx>
        <w:trPr>
          <w:trHeight w:val="34" w:hRule="atLeast"/>
          <w:jc w:val="center"/>
        </w:trPr>
        <w:tc>
          <w:tcPr>
            <w:tcW w:w="491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04"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atLeast"/>
          <w:jc w:val="center"/>
        </w:trPr>
        <w:tc>
          <w:tcPr>
            <w:tcW w:w="1069"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4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1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12" w:hRule="atLeast"/>
          <w:jc w:val="center"/>
        </w:trPr>
        <w:tc>
          <w:tcPr>
            <w:tcW w:w="1069"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4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1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069"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4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1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 w:hRule="atLeast"/>
          <w:jc w:val="center"/>
        </w:trPr>
        <w:tc>
          <w:tcPr>
            <w:tcW w:w="491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34" w:hRule="atLeast"/>
          <w:jc w:val="center"/>
        </w:trPr>
        <w:tc>
          <w:tcPr>
            <w:tcW w:w="491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12" w:type="dxa"/>
            <w:tcBorders>
              <w:top w:val="nil"/>
              <w:left w:val="nil"/>
              <w:bottom w:val="single" w:color="auto" w:sz="4" w:space="0"/>
              <w:right w:val="single" w:color="auto" w:sz="4" w:space="0"/>
            </w:tcBorders>
            <w:shd w:val="clear" w:color="auto" w:fill="auto"/>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2935.69</w:t>
            </w:r>
          </w:p>
        </w:tc>
        <w:tc>
          <w:tcPr>
            <w:tcW w:w="3492" w:type="dxa"/>
            <w:tcBorders>
              <w:top w:val="nil"/>
              <w:left w:val="nil"/>
              <w:bottom w:val="single" w:color="auto" w:sz="4" w:space="0"/>
              <w:right w:val="single" w:color="auto" w:sz="4" w:space="0"/>
            </w:tcBorders>
            <w:shd w:val="clear" w:color="auto" w:fill="auto"/>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786.56</w:t>
            </w:r>
          </w:p>
        </w:tc>
        <w:tc>
          <w:tcPr>
            <w:tcW w:w="3000" w:type="dxa"/>
            <w:tcBorders>
              <w:top w:val="nil"/>
              <w:left w:val="nil"/>
              <w:bottom w:val="single" w:color="auto" w:sz="4" w:space="0"/>
              <w:right w:val="single" w:color="auto" w:sz="8" w:space="0"/>
            </w:tcBorders>
            <w:shd w:val="clear" w:color="auto" w:fill="auto"/>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2149.14</w:t>
            </w: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2060101</w:t>
            </w:r>
          </w:p>
        </w:tc>
        <w:tc>
          <w:tcPr>
            <w:tcW w:w="3846" w:type="dxa"/>
            <w:tcBorders>
              <w:top w:val="nil"/>
              <w:left w:val="nil"/>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行政运行</w:t>
            </w:r>
          </w:p>
        </w:tc>
        <w:tc>
          <w:tcPr>
            <w:tcW w:w="281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244.25</w:t>
            </w:r>
          </w:p>
        </w:tc>
        <w:tc>
          <w:tcPr>
            <w:tcW w:w="349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244.25</w:t>
            </w:r>
          </w:p>
        </w:tc>
        <w:tc>
          <w:tcPr>
            <w:tcW w:w="3000" w:type="dxa"/>
            <w:tcBorders>
              <w:top w:val="nil"/>
              <w:left w:val="nil"/>
              <w:bottom w:val="single" w:color="auto" w:sz="4" w:space="0"/>
              <w:right w:val="single" w:color="auto" w:sz="8"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2060404</w:t>
            </w:r>
          </w:p>
        </w:tc>
        <w:tc>
          <w:tcPr>
            <w:tcW w:w="3846" w:type="dxa"/>
            <w:tcBorders>
              <w:top w:val="nil"/>
              <w:left w:val="nil"/>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科技成果转化与扩散</w:t>
            </w:r>
          </w:p>
        </w:tc>
        <w:tc>
          <w:tcPr>
            <w:tcW w:w="281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233.29</w:t>
            </w:r>
          </w:p>
        </w:tc>
        <w:tc>
          <w:tcPr>
            <w:tcW w:w="349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3000" w:type="dxa"/>
            <w:tcBorders>
              <w:top w:val="nil"/>
              <w:left w:val="nil"/>
              <w:bottom w:val="single" w:color="auto" w:sz="4" w:space="0"/>
              <w:right w:val="single" w:color="auto" w:sz="8"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233.29</w:t>
            </w: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2069999</w:t>
            </w:r>
          </w:p>
        </w:tc>
        <w:tc>
          <w:tcPr>
            <w:tcW w:w="3846" w:type="dxa"/>
            <w:tcBorders>
              <w:top w:val="nil"/>
              <w:left w:val="nil"/>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其他科学技术支出</w:t>
            </w:r>
          </w:p>
        </w:tc>
        <w:tc>
          <w:tcPr>
            <w:tcW w:w="281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116.03</w:t>
            </w:r>
          </w:p>
        </w:tc>
        <w:tc>
          <w:tcPr>
            <w:tcW w:w="349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103.12</w:t>
            </w:r>
          </w:p>
        </w:tc>
        <w:tc>
          <w:tcPr>
            <w:tcW w:w="3000" w:type="dxa"/>
            <w:tcBorders>
              <w:top w:val="nil"/>
              <w:left w:val="nil"/>
              <w:bottom w:val="single" w:color="auto" w:sz="4" w:space="0"/>
              <w:right w:val="single" w:color="auto" w:sz="8"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12.91</w:t>
            </w: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2080505</w:t>
            </w:r>
          </w:p>
        </w:tc>
        <w:tc>
          <w:tcPr>
            <w:tcW w:w="3846" w:type="dxa"/>
            <w:tcBorders>
              <w:top w:val="nil"/>
              <w:left w:val="nil"/>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机关事业单位基本养老保险缴费支出</w:t>
            </w:r>
          </w:p>
        </w:tc>
        <w:tc>
          <w:tcPr>
            <w:tcW w:w="281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49.84</w:t>
            </w:r>
          </w:p>
        </w:tc>
        <w:tc>
          <w:tcPr>
            <w:tcW w:w="349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49.84</w:t>
            </w:r>
          </w:p>
        </w:tc>
        <w:tc>
          <w:tcPr>
            <w:tcW w:w="3000" w:type="dxa"/>
            <w:tcBorders>
              <w:top w:val="nil"/>
              <w:left w:val="nil"/>
              <w:bottom w:val="single" w:color="auto" w:sz="4" w:space="0"/>
              <w:right w:val="single" w:color="auto" w:sz="8"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2080506</w:t>
            </w:r>
          </w:p>
        </w:tc>
        <w:tc>
          <w:tcPr>
            <w:tcW w:w="3846" w:type="dxa"/>
            <w:tcBorders>
              <w:top w:val="nil"/>
              <w:left w:val="nil"/>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机关事业单位职业年金缴费支出</w:t>
            </w:r>
          </w:p>
        </w:tc>
        <w:tc>
          <w:tcPr>
            <w:tcW w:w="281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6.64</w:t>
            </w:r>
          </w:p>
        </w:tc>
        <w:tc>
          <w:tcPr>
            <w:tcW w:w="3492" w:type="dxa"/>
            <w:tcBorders>
              <w:top w:val="nil"/>
              <w:left w:val="nil"/>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6.64</w:t>
            </w:r>
          </w:p>
        </w:tc>
        <w:tc>
          <w:tcPr>
            <w:tcW w:w="3000" w:type="dxa"/>
            <w:tcBorders>
              <w:top w:val="nil"/>
              <w:left w:val="nil"/>
              <w:bottom w:val="single" w:color="auto" w:sz="4" w:space="0"/>
              <w:right w:val="single" w:color="auto" w:sz="8"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2080508</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对机关事业单位职业年金的补助</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0.61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2080801</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死亡抚恤</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92.50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92.50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2101101</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行政单位医疗</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16.75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8"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2110307</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土壤</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496.70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496.70</w:t>
            </w: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2150101</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行政运行</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236.87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236.87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2150299</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其他制造业支出</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765.26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6.26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759.00</w:t>
            </w: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2150599</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其他工业和信息产业支出</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594.96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29.72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565.24</w:t>
            </w: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2150805</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中小企业发展专项</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65.00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65.00</w:t>
            </w:r>
          </w:p>
        </w:tc>
      </w:tr>
      <w:tr>
        <w:tblPrEx>
          <w:tblCellMar>
            <w:top w:w="0" w:type="dxa"/>
            <w:left w:w="108" w:type="dxa"/>
            <w:bottom w:w="0" w:type="dxa"/>
            <w:right w:w="108" w:type="dxa"/>
          </w:tblCellMar>
        </w:tblPrEx>
        <w:trPr>
          <w:trHeight w:val="34" w:hRule="atLeast"/>
          <w:jc w:val="center"/>
        </w:trPr>
        <w:tc>
          <w:tcPr>
            <w:tcW w:w="1069"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2150899</w:t>
            </w:r>
          </w:p>
        </w:tc>
        <w:tc>
          <w:tcPr>
            <w:tcW w:w="3846"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其他支持中小企业发展和管理支出</w:t>
            </w:r>
          </w:p>
        </w:tc>
        <w:tc>
          <w:tcPr>
            <w:tcW w:w="2812"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17.00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17.00</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357.56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118.93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top"/>
          </w:tcPr>
          <w:p>
            <w:pPr>
              <w:spacing w:beforeLines="0" w:afterLines="0"/>
              <w:jc w:val="right"/>
              <w:rPr>
                <w:rFonts w:hint="eastAsia" w:ascii="Calibri" w:hAnsi="Calibri" w:eastAsia="Calibri" w:cstheme="minorBidi"/>
                <w:color w:val="000000"/>
                <w:kern w:val="2"/>
                <w:sz w:val="22"/>
                <w:szCs w:val="24"/>
                <w:lang w:val="en-US" w:eastAsia="zh-CN" w:bidi="ar-SA"/>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118.64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6.95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top"/>
          </w:tcPr>
          <w:p>
            <w:pPr>
              <w:spacing w:beforeLines="0" w:afterLines="0"/>
              <w:jc w:val="right"/>
              <w:rPr>
                <w:rFonts w:hint="eastAsia" w:ascii="Calibri" w:hAnsi="Calibri" w:eastAsia="Calibri" w:cstheme="minorBidi"/>
                <w:color w:val="000000"/>
                <w:kern w:val="2"/>
                <w:sz w:val="22"/>
                <w:szCs w:val="24"/>
                <w:lang w:val="en-US" w:eastAsia="zh-CN" w:bidi="ar-SA"/>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64.64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4.46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top"/>
          </w:tcPr>
          <w:p>
            <w:pPr>
              <w:spacing w:beforeLines="0" w:afterLines="0"/>
              <w:jc w:val="right"/>
              <w:rPr>
                <w:rFonts w:hint="eastAsia" w:ascii="Calibri" w:hAnsi="Calibri" w:eastAsia="Calibri" w:cstheme="minorBidi"/>
                <w:color w:val="000000"/>
                <w:kern w:val="2"/>
                <w:sz w:val="22"/>
                <w:szCs w:val="24"/>
                <w:lang w:val="en-US" w:eastAsia="zh-CN" w:bidi="ar-SA"/>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48.63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0.11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8.74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0.47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27.92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2.40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0.11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45.54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7.82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16.75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0.89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6.67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3.73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12.51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309.96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0.22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92.50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25.16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108.54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3.40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0.56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10.50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3.20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0.58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20.71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7.78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top"/>
          </w:tcPr>
          <w:p>
            <w:pPr>
              <w:keepNext w:val="0"/>
              <w:keepLines/>
              <w:pageBreakBefore w:val="0"/>
              <w:widowControl w:val="0"/>
              <w:tabs>
                <w:tab w:val="center" w:pos="805"/>
                <w:tab w:val="right" w:pos="194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26.33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lang w:val="en-US" w:eastAsia="zh-CN"/>
              </w:rPr>
              <w:t>667.51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119.04</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616"/>
        <w:gridCol w:w="1514"/>
        <w:gridCol w:w="2008"/>
        <w:gridCol w:w="1919"/>
        <w:gridCol w:w="1935"/>
        <w:gridCol w:w="1918"/>
        <w:gridCol w:w="1919"/>
      </w:tblGrid>
      <w:tr>
        <w:tblPrEx>
          <w:tblCellMar>
            <w:top w:w="0" w:type="dxa"/>
            <w:left w:w="108" w:type="dxa"/>
            <w:bottom w:w="0" w:type="dxa"/>
            <w:right w:w="108" w:type="dxa"/>
          </w:tblCellMar>
        </w:tblPrEx>
        <w:trPr>
          <w:trHeight w:val="459" w:hRule="atLeast"/>
          <w:jc w:val="center"/>
        </w:trPr>
        <w:tc>
          <w:tcPr>
            <w:tcW w:w="3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2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2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3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31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40.74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40.74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40.74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cstheme="minorBidi"/>
                <w:color w:val="000000"/>
                <w:kern w:val="2"/>
                <w:sz w:val="22"/>
                <w:szCs w:val="24"/>
                <w:lang w:val="en-US" w:eastAsia="zh-CN" w:bidi="ar-SA"/>
              </w:rPr>
            </w:pPr>
          </w:p>
          <w:p>
            <w:pPr>
              <w:jc w:val="center"/>
              <w:rPr>
                <w:rFonts w:hint="eastAsia" w:ascii="宋体" w:hAnsi="宋体"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2290403</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其他政府性基金债务收入安排的支出</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kern w:val="2"/>
                <w:sz w:val="24"/>
                <w:szCs w:val="24"/>
                <w:lang w:val="en-US" w:eastAsia="zh-CN" w:bidi="ar-SA"/>
              </w:rPr>
            </w:pPr>
            <w:r>
              <w:rPr>
                <w:rFonts w:hint="eastAsia" w:ascii="宋体" w:hAnsi="宋体" w:cstheme="minorBidi"/>
                <w:color w:val="000000"/>
                <w:kern w:val="2"/>
                <w:sz w:val="22"/>
                <w:szCs w:val="24"/>
                <w:lang w:val="en-US" w:eastAsia="zh-CN" w:bidi="ar-SA"/>
              </w:rPr>
              <w:t>40.74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宋体" w:hAnsi="宋体" w:cstheme="minorBidi"/>
                <w:color w:val="000000"/>
                <w:kern w:val="2"/>
                <w:sz w:val="22"/>
                <w:szCs w:val="24"/>
                <w:lang w:val="en-US" w:eastAsia="zh-CN" w:bidi="ar-SA"/>
              </w:rPr>
              <w:t>40.74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宋体" w:hAnsi="宋体" w:cstheme="minorBidi"/>
                <w:color w:val="000000"/>
                <w:kern w:val="2"/>
                <w:sz w:val="22"/>
                <w:szCs w:val="24"/>
                <w:lang w:val="en-US" w:eastAsia="zh-CN" w:bidi="ar-SA"/>
              </w:rPr>
              <w:t>40.74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cstheme="minorBidi"/>
                <w:color w:val="000000"/>
                <w:kern w:val="2"/>
                <w:sz w:val="22"/>
                <w:szCs w:val="24"/>
                <w:lang w:val="en-US" w:eastAsia="zh-CN" w:bidi="ar-SA"/>
              </w:rPr>
            </w:pP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20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w:t>
      </w:r>
      <w:r>
        <w:rPr>
          <w:rFonts w:hint="eastAsia" w:ascii="楷体" w:hAnsi="楷体" w:eastAsia="楷体" w:cs="楷体"/>
          <w:b/>
          <w:bCs/>
          <w:kern w:val="0"/>
          <w:sz w:val="24"/>
          <w:szCs w:val="24"/>
          <w:lang w:bidi="ar"/>
        </w:rPr>
        <w:t>科工局没有使用国有资本经营预算安排的支出，故本表无数据。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2976.43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311.48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因为项目支出预算变动，原道县化工厂地块土壤污染治理项目经费增加。</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spacing w:line="60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2976.43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2935.69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98.63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政府基金预算收入</w:t>
      </w:r>
      <w:r>
        <w:rPr>
          <w:rFonts w:hint="eastAsia" w:ascii="Times New Roman" w:hAnsi="Times New Roman" w:eastAsia="仿宋_GB2312" w:cs="Times New Roman"/>
          <w:sz w:val="32"/>
          <w:szCs w:val="32"/>
          <w:lang w:val="en-US" w:eastAsia="zh-CN"/>
        </w:rPr>
        <w:t>40.73万元，占1.37%；</w:t>
      </w:r>
      <w:r>
        <w:rPr>
          <w:rFonts w:hint="eastAsia" w:ascii="Times New Roman" w:hAnsi="Times New Roman" w:eastAsia="仿宋_GB2312" w:cs="Times New Roman"/>
          <w:sz w:val="32"/>
          <w:szCs w:val="32"/>
          <w:lang w:eastAsia="zh-CN"/>
        </w:rPr>
        <w:t>上级补助收入0万元，占0%；事业收入0万元，占0%；经营收入0万元，占0%；附属单位上缴收入0万元，占0%；其他收入0万元，占0%。</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2976.43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786.56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2189.88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2976.43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311.43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因为项目支出预算变动，原道县化工厂地块土壤污染治理项目经费增加。</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2976.43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311.43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因为项目支出预算变动，原道县化工厂地块土壤污染治理项目经费增加。</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spacing w:line="600" w:lineRule="exact"/>
        <w:ind w:firstLine="640" w:firstLineChars="200"/>
        <w:rPr>
          <w:rFonts w:hint="eastAsia"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楷体" w:hAnsi="楷体" w:eastAsia="楷体" w:cs="楷体"/>
          <w:bCs/>
          <w:sz w:val="32"/>
          <w:szCs w:val="32"/>
        </w:rPr>
        <w:t>一</w:t>
      </w:r>
      <w:r>
        <w:rPr>
          <w:rFonts w:hint="eastAsia" w:ascii="Times New Roman" w:hAnsi="Times New Roman" w:eastAsia="仿宋_GB2312"/>
          <w:sz w:val="32"/>
          <w:szCs w:val="32"/>
        </w:rPr>
        <w:t>般公共预算财政拨款支出</w:t>
      </w:r>
      <w:r>
        <w:rPr>
          <w:rFonts w:hint="eastAsia" w:ascii="Times New Roman" w:hAnsi="Times New Roman" w:eastAsia="仿宋_GB2312"/>
          <w:sz w:val="32"/>
          <w:szCs w:val="32"/>
          <w:lang w:val="en-US" w:eastAsia="zh-CN"/>
        </w:rPr>
        <w:t>2935.69</w:t>
      </w:r>
      <w:r>
        <w:rPr>
          <w:rFonts w:hint="eastAsia" w:ascii="Times New Roman" w:hAnsi="Times New Roman" w:eastAsia="仿宋_GB2312"/>
          <w:sz w:val="32"/>
          <w:szCs w:val="32"/>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98.63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政府基金预算支出</w:t>
      </w:r>
      <w:r>
        <w:rPr>
          <w:rFonts w:hint="eastAsia" w:ascii="Times New Roman" w:hAnsi="Times New Roman" w:eastAsia="仿宋_GB2312" w:cs="Times New Roman"/>
          <w:sz w:val="32"/>
          <w:szCs w:val="32"/>
          <w:lang w:val="en-US" w:eastAsia="zh-CN"/>
        </w:rPr>
        <w:t>40.73万元，占1.37%；</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年度财政拨款总额，与202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年相比，减少</w:t>
      </w:r>
      <w:r>
        <w:rPr>
          <w:rFonts w:hint="eastAsia" w:ascii="Times New Roman" w:hAnsi="Times New Roman" w:eastAsia="仿宋_GB2312"/>
          <w:sz w:val="32"/>
          <w:szCs w:val="32"/>
          <w:lang w:val="en-US" w:eastAsia="zh-CN"/>
        </w:rPr>
        <w:t>311.43</w:t>
      </w:r>
      <w:r>
        <w:rPr>
          <w:rFonts w:hint="eastAsia" w:ascii="Times New Roman" w:hAnsi="Times New Roman" w:eastAsia="仿宋_GB2312"/>
          <w:sz w:val="32"/>
          <w:szCs w:val="32"/>
        </w:rPr>
        <w:t>万元，</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因为项目支出预算变动，原道县化工厂地块土壤污染治理项目经费增加。</w:t>
      </w:r>
    </w:p>
    <w:p>
      <w:pPr>
        <w:pStyle w:val="13"/>
        <w:spacing w:line="600" w:lineRule="exact"/>
        <w:ind w:firstLine="480" w:firstLineChars="150"/>
        <w:rPr>
          <w:rFonts w:hint="eastAsia" w:ascii="楷体" w:hAnsi="楷体" w:eastAsia="楷体" w:cs="楷体"/>
          <w:bCs/>
          <w:sz w:val="32"/>
          <w:szCs w:val="32"/>
        </w:rPr>
      </w:pPr>
      <w:r>
        <w:rPr>
          <w:rFonts w:hint="eastAsia" w:ascii="楷体" w:hAnsi="楷体" w:eastAsia="楷体" w:cs="楷体"/>
          <w:bCs/>
          <w:sz w:val="32"/>
          <w:szCs w:val="32"/>
        </w:rPr>
        <w:t>（二）一般公共预算财政拨款支出决算结构情况</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2976.43</w:t>
      </w:r>
      <w:r>
        <w:rPr>
          <w:rFonts w:hint="eastAsia" w:ascii="Times New Roman" w:hAnsi="Times New Roman" w:eastAsia="仿宋_GB2312"/>
          <w:sz w:val="32"/>
          <w:szCs w:val="32"/>
        </w:rPr>
        <w:t>万元，主要用于以下方面：科学技术（类）支出</w:t>
      </w:r>
      <w:r>
        <w:rPr>
          <w:rFonts w:hint="eastAsia" w:ascii="Times New Roman" w:hAnsi="Times New Roman" w:eastAsia="仿宋_GB2312"/>
          <w:sz w:val="32"/>
          <w:szCs w:val="32"/>
          <w:lang w:val="en-US" w:eastAsia="zh-CN"/>
        </w:rPr>
        <w:t>593.57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19.94</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149.59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5.03</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16.75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0.56</w:t>
      </w:r>
      <w:r>
        <w:rPr>
          <w:rFonts w:hint="eastAsia" w:ascii="Times New Roman" w:hAnsi="Times New Roman" w:eastAsia="仿宋_GB2312"/>
          <w:sz w:val="32"/>
          <w:szCs w:val="32"/>
        </w:rPr>
        <w:t>%;节能环保（类）支出</w:t>
      </w:r>
      <w:r>
        <w:rPr>
          <w:rFonts w:hint="eastAsia" w:ascii="Times New Roman" w:hAnsi="Times New Roman" w:eastAsia="仿宋_GB2312"/>
          <w:sz w:val="32"/>
          <w:szCs w:val="32"/>
          <w:lang w:val="en-US" w:eastAsia="zh-CN"/>
        </w:rPr>
        <w:t>496.7万元，占16.69%；</w:t>
      </w:r>
      <w:r>
        <w:rPr>
          <w:rFonts w:hint="eastAsia" w:ascii="Times New Roman" w:hAnsi="Times New Roman" w:eastAsia="仿宋_GB2312"/>
          <w:sz w:val="32"/>
          <w:szCs w:val="32"/>
        </w:rPr>
        <w:t>资源勘探工业信息等支出</w:t>
      </w:r>
      <w:r>
        <w:rPr>
          <w:rFonts w:hint="eastAsia" w:ascii="Times New Roman" w:hAnsi="Times New Roman" w:eastAsia="仿宋_GB2312"/>
          <w:sz w:val="32"/>
          <w:szCs w:val="32"/>
          <w:lang w:val="en-US" w:eastAsia="zh-CN"/>
        </w:rPr>
        <w:t>1679.09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56.41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lang w:val="en-US" w:eastAsia="zh-CN"/>
        </w:rPr>
        <w:t>40.73万元，占1.37%</w:t>
      </w:r>
      <w:r>
        <w:rPr>
          <w:rFonts w:hint="eastAsia" w:ascii="Times New Roman" w:hAnsi="Times New Roman" w:eastAsia="仿宋_GB2312"/>
          <w:sz w:val="32"/>
          <w:szCs w:val="32"/>
        </w:rPr>
        <w:t>。</w:t>
      </w:r>
    </w:p>
    <w:p>
      <w:pPr>
        <w:pStyle w:val="13"/>
        <w:spacing w:line="600" w:lineRule="exact"/>
        <w:ind w:firstLine="800" w:firstLineChars="250"/>
        <w:rPr>
          <w:rFonts w:hint="eastAsia" w:ascii="楷体" w:hAnsi="楷体" w:eastAsia="楷体" w:cs="楷体"/>
          <w:bCs/>
          <w:sz w:val="32"/>
          <w:szCs w:val="32"/>
        </w:rPr>
      </w:pPr>
      <w:r>
        <w:rPr>
          <w:rFonts w:hint="eastAsia" w:ascii="楷体" w:hAnsi="楷体" w:eastAsia="楷体" w:cs="楷体"/>
          <w:bCs/>
          <w:sz w:val="32"/>
          <w:szCs w:val="32"/>
        </w:rPr>
        <w:t>（三）一般公共预算财政拨款支出决算具体情况</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2969.86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2935.69</w:t>
      </w:r>
      <w:r>
        <w:rPr>
          <w:rFonts w:hint="eastAsia" w:ascii="Times New Roman" w:hAnsi="Times New Roman" w:eastAsia="仿宋_GB2312"/>
          <w:sz w:val="32"/>
          <w:szCs w:val="32"/>
        </w:rPr>
        <w:t>元，完成年初预算的9</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.85%，其中：</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1、一般公共服务（类）人大事物（款）行政运营（项）。</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286.4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244.25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85.28</w:t>
      </w:r>
      <w:r>
        <w:rPr>
          <w:rFonts w:hint="eastAsia" w:ascii="Times New Roman" w:hAnsi="Times New Roman" w:eastAsia="仿宋_GB2312"/>
          <w:sz w:val="32"/>
          <w:szCs w:val="32"/>
        </w:rPr>
        <w:t>%。</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2、科学技术支出（类）其他科学技术支出（款） 其他科学技术支出（项）。</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349.32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349.32</w:t>
      </w:r>
      <w:r>
        <w:rPr>
          <w:rFonts w:hint="eastAsia" w:ascii="Times New Roman" w:hAnsi="Times New Roman" w:eastAsia="仿宋_GB2312"/>
          <w:sz w:val="32"/>
          <w:szCs w:val="32"/>
        </w:rPr>
        <w:t>万元，完成年初预算的100%。</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3、社会保障和就业支出（类）抚恤（款） 死亡抚恤（项）行政单位医疗</w:t>
      </w:r>
      <w:r>
        <w:rPr>
          <w:rFonts w:hint="eastAsia" w:ascii="Times New Roman" w:hAnsi="Times New Roman" w:eastAsia="仿宋_GB2312"/>
          <w:sz w:val="32"/>
          <w:szCs w:val="32"/>
          <w:lang w:eastAsia="zh-CN"/>
        </w:rPr>
        <w:t>（项）</w:t>
      </w:r>
      <w:r>
        <w:rPr>
          <w:rFonts w:hint="eastAsia" w:ascii="Times New Roman" w:hAnsi="Times New Roman" w:eastAsia="仿宋_GB2312"/>
          <w:sz w:val="32"/>
          <w:szCs w:val="32"/>
        </w:rPr>
        <w:t xml:space="preserve">。 </w:t>
      </w:r>
    </w:p>
    <w:p>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166.3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166.3</w:t>
      </w:r>
      <w:r>
        <w:rPr>
          <w:rFonts w:hint="eastAsia" w:ascii="Times New Roman" w:hAnsi="Times New Roman" w:eastAsia="仿宋_GB2312"/>
          <w:sz w:val="32"/>
          <w:szCs w:val="32"/>
        </w:rPr>
        <w:t>万元，完成年初预算的100%。</w:t>
      </w:r>
    </w:p>
    <w:p>
      <w:pPr>
        <w:pStyle w:val="13"/>
        <w:numPr>
          <w:ilvl w:val="0"/>
          <w:numId w:val="1"/>
        </w:numPr>
        <w:spacing w:line="60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土壤（类）</w:t>
      </w:r>
    </w:p>
    <w:p>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年初预算496.7万元，</w:t>
      </w:r>
      <w:r>
        <w:rPr>
          <w:rFonts w:hint="eastAsia" w:ascii="Times New Roman" w:hAnsi="Times New Roman" w:eastAsia="仿宋_GB2312"/>
          <w:sz w:val="32"/>
          <w:szCs w:val="32"/>
        </w:rPr>
        <w:t>支出决算为</w:t>
      </w:r>
      <w:r>
        <w:rPr>
          <w:rFonts w:hint="eastAsia" w:ascii="Times New Roman" w:hAnsi="Times New Roman" w:eastAsia="仿宋_GB2312"/>
          <w:sz w:val="32"/>
          <w:szCs w:val="32"/>
          <w:lang w:val="en-US" w:eastAsia="zh-CN"/>
        </w:rPr>
        <w:t>496.7</w:t>
      </w:r>
      <w:r>
        <w:rPr>
          <w:rFonts w:hint="eastAsia" w:ascii="Times New Roman" w:hAnsi="Times New Roman" w:eastAsia="仿宋_GB2312"/>
          <w:sz w:val="32"/>
          <w:szCs w:val="32"/>
        </w:rPr>
        <w:t>万元，完成年初预算的100%。</w:t>
      </w:r>
    </w:p>
    <w:p>
      <w:pPr>
        <w:pStyle w:val="13"/>
        <w:numPr>
          <w:ilvl w:val="0"/>
          <w:numId w:val="1"/>
        </w:numPr>
        <w:spacing w:line="600" w:lineRule="exact"/>
        <w:ind w:left="0" w:leftChars="0"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行政运营（类）其他制造业支出（项）其他工业和信息产业支出（项）中小企业发展专项。</w:t>
      </w:r>
    </w:p>
    <w:p>
      <w:pPr>
        <w:pStyle w:val="13"/>
        <w:numPr>
          <w:ilvl w:val="0"/>
          <w:numId w:val="0"/>
        </w:numPr>
        <w:spacing w:line="600" w:lineRule="exact"/>
        <w:ind w:leftChars="200" w:firstLine="320" w:firstLineChars="1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年初预算数1679.08万元，</w:t>
      </w:r>
      <w:r>
        <w:rPr>
          <w:rFonts w:hint="eastAsia" w:ascii="Times New Roman" w:hAnsi="Times New Roman" w:eastAsia="仿宋_GB2312"/>
          <w:sz w:val="32"/>
          <w:szCs w:val="32"/>
        </w:rPr>
        <w:t>支出决算为</w:t>
      </w:r>
      <w:r>
        <w:rPr>
          <w:rFonts w:hint="eastAsia" w:ascii="Times New Roman" w:hAnsi="Times New Roman" w:eastAsia="仿宋_GB2312"/>
          <w:sz w:val="32"/>
          <w:szCs w:val="32"/>
          <w:lang w:val="en-US" w:eastAsia="zh-CN"/>
        </w:rPr>
        <w:t>1679.08</w:t>
      </w:r>
      <w:r>
        <w:rPr>
          <w:rFonts w:hint="eastAsia" w:ascii="Times New Roman" w:hAnsi="Times New Roman" w:eastAsia="仿宋_GB2312"/>
          <w:sz w:val="32"/>
          <w:szCs w:val="32"/>
        </w:rPr>
        <w:t>万元，完成年初预算的100%</w:t>
      </w:r>
      <w:r>
        <w:rPr>
          <w:rFonts w:hint="eastAsia" w:ascii="Times New Roman" w:hAnsi="Times New Roman" w:eastAsia="仿宋_GB2312"/>
          <w:sz w:val="32"/>
          <w:szCs w:val="32"/>
          <w:lang w:eastAsia="zh-CN"/>
        </w:rPr>
        <w:t>。</w:t>
      </w:r>
    </w:p>
    <w:p>
      <w:pPr>
        <w:pStyle w:val="13"/>
        <w:spacing w:line="600" w:lineRule="exact"/>
        <w:ind w:firstLine="640" w:firstLineChars="200"/>
        <w:rPr>
          <w:rFonts w:hint="eastAsia" w:hAnsi="黑体"/>
          <w:bCs/>
          <w:sz w:val="32"/>
          <w:szCs w:val="32"/>
        </w:rPr>
      </w:pPr>
      <w:r>
        <w:rPr>
          <w:rFonts w:hint="eastAsia" w:hAnsi="黑体"/>
          <w:bCs/>
          <w:sz w:val="32"/>
          <w:szCs w:val="32"/>
        </w:rPr>
        <w:t>六、一般公共预算财政拨款基本支出决算情况说明</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786.55</w:t>
      </w:r>
      <w:r>
        <w:rPr>
          <w:rFonts w:hint="eastAsia" w:ascii="Times New Roman" w:hAnsi="Times New Roman" w:eastAsia="仿宋_GB2312"/>
          <w:sz w:val="32"/>
          <w:szCs w:val="32"/>
        </w:rPr>
        <w:t>万元，其中：</w:t>
      </w:r>
    </w:p>
    <w:p>
      <w:pPr>
        <w:pStyle w:val="13"/>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667.51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84.87</w:t>
      </w:r>
      <w:r>
        <w:rPr>
          <w:rFonts w:hint="eastAsia" w:ascii="Times New Roman" w:hAnsi="Times New Roman" w:eastAsia="仿宋_GB2312"/>
          <w:sz w:val="32"/>
          <w:szCs w:val="32"/>
        </w:rPr>
        <w:t>%,主要包括：基本工资、津贴补贴、 奖金、伙食补助费、绩效工资、机关事业单位基本养老保险缴费、职业年金缴费、 职工基本医疗保险缴费、其他社会保障缴费、医疗费、  抚恤金、生活补助、救济费、奖励金；</w:t>
      </w: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119.04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15.13</w:t>
      </w:r>
      <w:r>
        <w:rPr>
          <w:rFonts w:hint="eastAsia" w:ascii="Times New Roman" w:hAnsi="Times New Roman" w:eastAsia="仿宋_GB2312"/>
          <w:sz w:val="32"/>
          <w:szCs w:val="32"/>
        </w:rPr>
        <w:t>%，主要包括：办公费、印刷费、水费、电费、邮电费、物业管理费、差旅费、维修（护） 费、培训费、公务接待费、专用材料费、劳务费、委托业务费、工会经费、福利费、其他商品和服务支出。</w:t>
      </w:r>
    </w:p>
    <w:p>
      <w:pPr>
        <w:pStyle w:val="13"/>
        <w:numPr>
          <w:ilvl w:val="0"/>
          <w:numId w:val="2"/>
        </w:numPr>
        <w:spacing w:line="600" w:lineRule="exact"/>
        <w:ind w:firstLine="640" w:firstLineChars="200"/>
        <w:rPr>
          <w:rFonts w:hint="eastAsia" w:hAnsi="黑体"/>
          <w:bCs/>
          <w:sz w:val="32"/>
          <w:szCs w:val="32"/>
        </w:rPr>
      </w:pPr>
      <w:r>
        <w:rPr>
          <w:rFonts w:hint="eastAsia" w:hAnsi="黑体"/>
          <w:bCs/>
          <w:sz w:val="32"/>
          <w:szCs w:val="32"/>
        </w:rPr>
        <w:t>财政拨款三公经费支出决算情况说明</w:t>
      </w:r>
    </w:p>
    <w:p>
      <w:pPr>
        <w:pStyle w:val="13"/>
        <w:spacing w:line="600" w:lineRule="exact"/>
        <w:ind w:firstLine="640" w:firstLineChars="200"/>
        <w:rPr>
          <w:rFonts w:hint="eastAsia" w:ascii="楷体" w:hAnsi="楷体" w:eastAsia="楷体" w:cs="楷体"/>
          <w:b/>
          <w:sz w:val="32"/>
          <w:szCs w:val="32"/>
        </w:rPr>
      </w:pPr>
      <w:r>
        <w:rPr>
          <w:rFonts w:hint="eastAsia" w:ascii="楷体" w:hAnsi="楷体" w:eastAsia="楷体" w:cs="楷体"/>
          <w:b/>
          <w:sz w:val="32"/>
          <w:szCs w:val="32"/>
        </w:rPr>
        <w:t>（一）“三公”经费财政拨款支出决算总体情况说明</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因公出国（境）费支出预算为0万元，支出决算为0万元，完成预算的0%。</w:t>
      </w:r>
    </w:p>
    <w:p>
      <w:pPr>
        <w:pStyle w:val="13"/>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公务用车购置费支出预算为0万元，支出决算为0万元，完成预算的0%。</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公务用车运行维护费支出预算为0万元，支出决算为0万元，完成预算的0%。</w:t>
      </w:r>
    </w:p>
    <w:p>
      <w:pPr>
        <w:pStyle w:val="13"/>
        <w:spacing w:line="600" w:lineRule="exact"/>
        <w:ind w:firstLine="640" w:firstLineChars="200"/>
        <w:rPr>
          <w:rFonts w:hint="eastAsia" w:ascii="楷体" w:hAnsi="楷体" w:eastAsia="楷体" w:cs="楷体"/>
          <w:b/>
          <w:sz w:val="32"/>
          <w:szCs w:val="32"/>
        </w:rPr>
      </w:pPr>
      <w:r>
        <w:rPr>
          <w:rFonts w:hint="eastAsia" w:ascii="楷体" w:hAnsi="楷体" w:eastAsia="楷体" w:cs="楷体"/>
          <w:b/>
          <w:sz w:val="32"/>
          <w:szCs w:val="32"/>
        </w:rPr>
        <w:t>（二）“三公”经费财政拨款支出决算具体情况说明</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年度“三公”经费财政拨款支出决算中，公务接待费支出决算9.13万元，占100%,因公出国（境）费支出决算0万元，占0%,公务用车购置费及运行维护费支出决算0万元，占0%。其中：</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1、因公出国（境）费支出决算为0万元，全年安排因公出国（境）团组0个，累计0人次。</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在年初做预算是将公用经费做了</w:t>
      </w:r>
      <w:r>
        <w:rPr>
          <w:rFonts w:hint="eastAsia" w:ascii="Times New Roman" w:hAnsi="Times New Roman" w:eastAsia="仿宋_GB2312"/>
          <w:sz w:val="32"/>
          <w:szCs w:val="32"/>
          <w:lang w:val="en-US" w:eastAsia="zh-CN"/>
        </w:rPr>
        <w:t>6万的公务接待费，因政策通知实际上并无公务接待，仍旧是公用费用</w:t>
      </w:r>
      <w:r>
        <w:rPr>
          <w:rFonts w:hint="eastAsia" w:ascii="Times New Roman" w:hAnsi="Times New Roman" w:eastAsia="仿宋_GB2312"/>
          <w:sz w:val="32"/>
          <w:szCs w:val="32"/>
        </w:rPr>
        <w:t>。</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3、公务用车购置费及运行维护费支出决算为0万元，其中：公务用车购置费0万元，（单位本级或某二级机构）更新公务用车0辆。</w:t>
      </w:r>
    </w:p>
    <w:p>
      <w:pPr>
        <w:pStyle w:val="13"/>
        <w:spacing w:line="600" w:lineRule="exact"/>
        <w:ind w:firstLine="640" w:firstLineChars="200"/>
        <w:rPr>
          <w:rFonts w:hint="eastAsia" w:hAnsi="黑体"/>
          <w:bCs/>
          <w:sz w:val="32"/>
          <w:szCs w:val="32"/>
        </w:rPr>
      </w:pPr>
      <w:r>
        <w:rPr>
          <w:rFonts w:hint="eastAsia" w:hAnsi="黑体"/>
          <w:bCs/>
          <w:sz w:val="32"/>
          <w:szCs w:val="32"/>
        </w:rPr>
        <w:t>八、政府性基金预算收入支出决算情况</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40.73</w:t>
      </w:r>
      <w:r>
        <w:rPr>
          <w:rFonts w:hint="eastAsia" w:ascii="Times New Roman" w:hAnsi="Times New Roman" w:eastAsia="仿宋_GB2312"/>
          <w:sz w:val="32"/>
          <w:szCs w:val="32"/>
        </w:rPr>
        <w:t>万元；年初结转和结余0万元；支出</w:t>
      </w:r>
      <w:r>
        <w:rPr>
          <w:rFonts w:hint="eastAsia" w:ascii="Times New Roman" w:hAnsi="Times New Roman" w:eastAsia="仿宋_GB2312"/>
          <w:sz w:val="32"/>
          <w:szCs w:val="32"/>
          <w:lang w:val="en-US" w:eastAsia="zh-CN"/>
        </w:rPr>
        <w:t>40.73</w:t>
      </w:r>
      <w:r>
        <w:rPr>
          <w:rFonts w:hint="eastAsia" w:ascii="Times New Roman" w:hAnsi="Times New Roman" w:eastAsia="仿宋_GB2312"/>
          <w:sz w:val="32"/>
          <w:szCs w:val="32"/>
        </w:rPr>
        <w:t>万元，其中基本支出0万元，项目支出</w:t>
      </w:r>
      <w:r>
        <w:rPr>
          <w:rFonts w:hint="eastAsia" w:ascii="Times New Roman" w:hAnsi="Times New Roman" w:eastAsia="仿宋_GB2312"/>
          <w:sz w:val="32"/>
          <w:szCs w:val="32"/>
          <w:lang w:val="en-US" w:eastAsia="zh-CN"/>
        </w:rPr>
        <w:t>40.73</w:t>
      </w:r>
      <w:r>
        <w:rPr>
          <w:rFonts w:hint="eastAsia" w:ascii="Times New Roman" w:hAnsi="Times New Roman" w:eastAsia="仿宋_GB2312"/>
          <w:sz w:val="32"/>
          <w:szCs w:val="32"/>
        </w:rPr>
        <w:t>万元；年末结转和结余0万元。具体情况如下：</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1、其他政府性基金债务收入安排的支出（类）</w:t>
      </w:r>
      <w:r>
        <w:rPr>
          <w:rFonts w:hint="eastAsia" w:ascii="Times New Roman" w:hAnsi="Times New Roman" w:eastAsia="仿宋_GB2312"/>
          <w:sz w:val="32"/>
          <w:szCs w:val="32"/>
          <w:lang w:eastAsia="zh-CN"/>
        </w:rPr>
        <w:t>政府拖欠企业账款</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老旧小区改造款</w:t>
      </w:r>
      <w:r>
        <w:rPr>
          <w:rFonts w:hint="eastAsia" w:ascii="Times New Roman" w:hAnsi="Times New Roman" w:eastAsia="仿宋_GB2312"/>
          <w:sz w:val="32"/>
          <w:szCs w:val="32"/>
        </w:rPr>
        <w:t xml:space="preserve">。 </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40.73</w:t>
      </w:r>
      <w:r>
        <w:rPr>
          <w:rFonts w:hint="eastAsia" w:ascii="Times New Roman" w:hAnsi="Times New Roman" w:eastAsia="仿宋_GB2312"/>
          <w:sz w:val="32"/>
          <w:szCs w:val="32"/>
        </w:rPr>
        <w:t>万元。</w:t>
      </w:r>
    </w:p>
    <w:p>
      <w:pPr>
        <w:pStyle w:val="13"/>
        <w:spacing w:line="600" w:lineRule="exact"/>
        <w:ind w:firstLine="640" w:firstLineChars="200"/>
        <w:rPr>
          <w:rFonts w:hint="eastAsia" w:hAnsi="黑体"/>
          <w:bCs/>
          <w:sz w:val="32"/>
          <w:szCs w:val="32"/>
        </w:rPr>
      </w:pPr>
      <w:r>
        <w:rPr>
          <w:rFonts w:hint="eastAsia" w:hAnsi="黑体"/>
          <w:bCs/>
          <w:sz w:val="32"/>
          <w:szCs w:val="32"/>
        </w:rPr>
        <w:t>九、关于机关运行经费支出说明</w:t>
      </w:r>
    </w:p>
    <w:p>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481.12</w:t>
      </w:r>
      <w:r>
        <w:rPr>
          <w:rFonts w:hint="eastAsia" w:ascii="Times New Roman" w:hAnsi="Times New Roman" w:eastAsia="仿宋_GB2312"/>
          <w:sz w:val="32"/>
          <w:szCs w:val="32"/>
        </w:rPr>
        <w:t>万元，比上年决算数减少</w:t>
      </w:r>
      <w:r>
        <w:rPr>
          <w:rFonts w:hint="eastAsia" w:ascii="Times New Roman" w:hAnsi="Times New Roman" w:eastAsia="仿宋_GB2312"/>
          <w:sz w:val="32"/>
          <w:szCs w:val="32"/>
          <w:lang w:val="en-US" w:eastAsia="zh-CN"/>
        </w:rPr>
        <w:t>64.77</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11.8</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人员减少，公用经费减少。</w:t>
      </w:r>
    </w:p>
    <w:p>
      <w:pPr>
        <w:pStyle w:val="13"/>
        <w:spacing w:line="600" w:lineRule="exact"/>
        <w:ind w:firstLine="640" w:firstLineChars="200"/>
        <w:rPr>
          <w:rFonts w:hint="eastAsia" w:hAnsi="黑体"/>
          <w:bCs/>
          <w:sz w:val="32"/>
          <w:szCs w:val="32"/>
        </w:rPr>
      </w:pPr>
      <w:r>
        <w:rPr>
          <w:rFonts w:hint="eastAsia" w:hAnsi="黑体"/>
          <w:bCs/>
          <w:sz w:val="32"/>
          <w:szCs w:val="32"/>
        </w:rPr>
        <w:t>十、关于政府采购支出说明</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年度政府采购支出总额6万元，其中：政府采购货物支出</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万元、政府采购工程支出0万元、政府采购服务支出0万元、授予中小企业合同金额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3"/>
        <w:spacing w:line="580" w:lineRule="exact"/>
        <w:ind w:firstLine="640" w:firstLineChars="200"/>
        <w:rPr>
          <w:rFonts w:hint="eastAsia" w:hAnsi="黑体"/>
          <w:bCs/>
          <w:color w:val="auto"/>
          <w:sz w:val="32"/>
          <w:szCs w:val="32"/>
        </w:rPr>
      </w:pPr>
      <w:r>
        <w:rPr>
          <w:rFonts w:hint="eastAsia" w:hAnsi="黑体"/>
          <w:bCs/>
          <w:color w:val="auto"/>
          <w:sz w:val="32"/>
          <w:szCs w:val="32"/>
        </w:rPr>
        <w:t>十一、关于国有资产占用情况说明</w:t>
      </w:r>
    </w:p>
    <w:p>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年12月31日，道县科技和工业信息化局车辆0辆；单位价值50万元以上通用设备0台（套）；单位价值100万元以上专用设备0台（套）。</w:t>
      </w:r>
    </w:p>
    <w:p>
      <w:pPr>
        <w:pStyle w:val="13"/>
        <w:spacing w:line="580" w:lineRule="exact"/>
        <w:ind w:firstLine="640" w:firstLineChars="200"/>
        <w:rPr>
          <w:rFonts w:hint="eastAsia" w:hAnsi="黑体"/>
          <w:bCs/>
          <w:color w:val="auto"/>
          <w:sz w:val="32"/>
          <w:szCs w:val="32"/>
        </w:rPr>
      </w:pPr>
      <w:r>
        <w:rPr>
          <w:rFonts w:hint="eastAsia" w:hAnsi="黑体"/>
          <w:bCs/>
          <w:color w:val="auto"/>
          <w:sz w:val="32"/>
          <w:szCs w:val="32"/>
        </w:rPr>
        <w:t>十二、关于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hAnsi="黑体"/>
          <w:bCs/>
          <w:color w:val="auto"/>
          <w:sz w:val="32"/>
          <w:szCs w:val="32"/>
        </w:rPr>
        <w:t>年度预算绩效情况的说明</w:t>
      </w:r>
    </w:p>
    <w:p>
      <w:pPr>
        <w:ind w:firstLine="640" w:firstLineChars="200"/>
        <w:rPr>
          <w:rFonts w:hint="eastAsia" w:ascii="方正小标宋_GBK" w:hAnsi="方正小标宋_GBK" w:eastAsia="方正小标宋_GBK" w:cs="方正小标宋_GBK"/>
          <w:sz w:val="72"/>
          <w:szCs w:val="72"/>
        </w:rPr>
      </w:pPr>
      <w:r>
        <w:rPr>
          <w:rFonts w:hint="eastAsia" w:ascii="Times New Roman" w:hAnsi="Times New Roman" w:eastAsia="仿宋_GB2312" w:cs="黑体"/>
          <w:color w:val="000000"/>
          <w:kern w:val="0"/>
          <w:sz w:val="32"/>
          <w:szCs w:val="32"/>
        </w:rPr>
        <w:t>本部门预算绩效管理开展情况、绩效目标和绩效评价报告等见附件。</w:t>
      </w:r>
    </w:p>
    <w:p>
      <w:pPr>
        <w:pStyle w:val="13"/>
        <w:spacing w:line="360" w:lineRule="auto"/>
        <w:jc w:val="center"/>
        <w:rPr>
          <w:rFonts w:hint="eastAsia" w:cs="黑体" w:asciiTheme="minorEastAsia" w:hAnsiTheme="minorEastAsia"/>
          <w:color w:val="000000"/>
          <w:kern w:val="0"/>
          <w:sz w:val="32"/>
          <w:szCs w:val="32"/>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pPr>
        <w:spacing w:before="254" w:line="368" w:lineRule="auto"/>
        <w:ind w:firstLine="837"/>
        <w:rPr>
          <w:rFonts w:hint="eastAsia" w:ascii="仿宋" w:hAnsi="仿宋" w:eastAsia="仿宋" w:cs="仿宋"/>
          <w:spacing w:val="2"/>
          <w:sz w:val="32"/>
          <w:szCs w:val="32"/>
        </w:rPr>
      </w:pPr>
      <w:r>
        <w:rPr>
          <w:rFonts w:hint="eastAsia" w:ascii="仿宋" w:hAnsi="仿宋" w:eastAsia="仿宋" w:cs="仿宋"/>
          <w:spacing w:val="2"/>
          <w:sz w:val="32"/>
          <w:szCs w:val="32"/>
        </w:rPr>
        <w:t>1．财政拨款收入：指单位本年度从同级财政部门取得的各类财政拨款。</w:t>
      </w:r>
    </w:p>
    <w:p>
      <w:pPr>
        <w:spacing w:before="254" w:line="368" w:lineRule="auto"/>
        <w:ind w:firstLine="837"/>
        <w:rPr>
          <w:rFonts w:hint="eastAsia" w:ascii="仿宋" w:hAnsi="仿宋" w:eastAsia="仿宋" w:cs="仿宋"/>
          <w:spacing w:val="2"/>
          <w:sz w:val="32"/>
          <w:szCs w:val="32"/>
        </w:rPr>
      </w:pPr>
      <w:r>
        <w:rPr>
          <w:rFonts w:hint="eastAsia" w:ascii="仿宋" w:hAnsi="仿宋" w:eastAsia="仿宋" w:cs="仿宋"/>
          <w:spacing w:val="2"/>
          <w:sz w:val="32"/>
          <w:szCs w:val="32"/>
        </w:rPr>
        <w:t>2．上级补助收入：指事业单位从主管部门和上级单位取得的非财政补助收入。</w:t>
      </w:r>
    </w:p>
    <w:p>
      <w:pPr>
        <w:spacing w:before="254" w:line="368" w:lineRule="auto"/>
        <w:ind w:firstLine="837"/>
        <w:rPr>
          <w:rFonts w:hint="eastAsia" w:ascii="仿宋" w:hAnsi="仿宋" w:eastAsia="仿宋" w:cs="仿宋"/>
          <w:sz w:val="32"/>
          <w:szCs w:val="32"/>
        </w:rPr>
      </w:pPr>
      <w:r>
        <w:rPr>
          <w:rFonts w:ascii="仿宋" w:hAnsi="仿宋" w:eastAsia="仿宋" w:cs="仿宋"/>
          <w:spacing w:val="2"/>
          <w:sz w:val="32"/>
          <w:szCs w:val="32"/>
        </w:rPr>
        <w:t>3．机关运行经费：指行</w:t>
      </w:r>
      <w:r>
        <w:rPr>
          <w:rFonts w:ascii="仿宋" w:hAnsi="仿宋" w:eastAsia="仿宋" w:cs="仿宋"/>
          <w:spacing w:val="-5"/>
          <w:sz w:val="32"/>
          <w:szCs w:val="32"/>
        </w:rPr>
        <w:t>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 xml:space="preserve">使用一般公共预算安排的基本支出中的公用经费支出，包括办公及印刷 费、邮电费、差旅费、会议费、福利费、日常维修费、专用材料及一般 </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p>
    <w:p>
      <w:pPr>
        <w:spacing w:line="219" w:lineRule="auto"/>
        <w:ind w:left="7"/>
        <w:rPr>
          <w:rFonts w:hint="eastAsia" w:ascii="仿宋" w:hAnsi="仿宋" w:eastAsia="仿宋" w:cs="仿宋"/>
          <w:sz w:val="32"/>
          <w:szCs w:val="32"/>
        </w:rPr>
      </w:pPr>
      <w:r>
        <w:rPr>
          <w:rFonts w:ascii="仿宋" w:hAnsi="仿宋" w:eastAsia="仿宋" w:cs="仿宋"/>
          <w:spacing w:val="-5"/>
          <w:sz w:val="32"/>
          <w:szCs w:val="32"/>
        </w:rPr>
        <w:t>公务用车运行维护费及其他费用。</w:t>
      </w:r>
    </w:p>
    <w:p>
      <w:pPr>
        <w:spacing w:before="258" w:line="368" w:lineRule="auto"/>
        <w:ind w:right="138" w:firstLine="828"/>
        <w:rPr>
          <w:rFonts w:hint="eastAsia" w:ascii="仿宋" w:hAnsi="仿宋" w:eastAsia="仿宋" w:cs="仿宋"/>
          <w:spacing w:val="-16"/>
          <w:sz w:val="32"/>
          <w:szCs w:val="32"/>
        </w:rPr>
      </w:pPr>
      <w:r>
        <w:rPr>
          <w:rFonts w:ascii="仿宋" w:hAnsi="仿宋" w:eastAsia="仿宋" w:cs="仿宋"/>
          <w:sz w:val="32"/>
          <w:szCs w:val="32"/>
        </w:rPr>
        <w:t>4．“三公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r>
        <w:rPr>
          <w:rFonts w:ascii="仿宋" w:hAnsi="仿宋" w:eastAsia="仿宋" w:cs="仿宋"/>
          <w:spacing w:val="-16"/>
          <w:sz w:val="32"/>
          <w:szCs w:val="32"/>
        </w:rPr>
        <w:t>用。</w:t>
      </w:r>
    </w:p>
    <w:p>
      <w:pPr>
        <w:spacing w:before="254" w:line="368" w:lineRule="auto"/>
        <w:ind w:firstLine="837"/>
        <w:rPr>
          <w:rFonts w:hint="eastAsia" w:ascii="仿宋" w:hAnsi="仿宋" w:eastAsia="仿宋" w:cs="仿宋"/>
          <w:spacing w:val="-4"/>
          <w:sz w:val="32"/>
          <w:szCs w:val="32"/>
        </w:rPr>
      </w:pPr>
      <w:r>
        <w:rPr>
          <w:rFonts w:hint="eastAsia" w:ascii="仿宋" w:hAnsi="仿宋" w:eastAsia="仿宋" w:cs="仿宋"/>
          <w:spacing w:val="-4"/>
          <w:sz w:val="32"/>
          <w:szCs w:val="32"/>
        </w:rPr>
        <w:t>5、最低生活保障：反映城乡最低生活保障对象的最低生活保障金支出。</w:t>
      </w:r>
    </w:p>
    <w:p>
      <w:pPr>
        <w:spacing w:before="254" w:line="368" w:lineRule="auto"/>
        <w:ind w:firstLine="837"/>
        <w:rPr>
          <w:rFonts w:hint="eastAsia" w:ascii="仿宋" w:hAnsi="仿宋" w:eastAsia="仿宋" w:cs="仿宋"/>
          <w:spacing w:val="-4"/>
          <w:sz w:val="32"/>
          <w:szCs w:val="32"/>
        </w:rPr>
      </w:pPr>
      <w:r>
        <w:rPr>
          <w:rFonts w:hint="eastAsia" w:ascii="仿宋" w:hAnsi="仿宋" w:eastAsia="仿宋" w:cs="仿宋"/>
          <w:spacing w:val="-4"/>
          <w:sz w:val="32"/>
          <w:szCs w:val="32"/>
        </w:rPr>
        <w:t>6、特困人员救助供养：反映特困人员救助供养支出。</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7．上缴上级支出：指事业单位按照财政部门和主管部门的规定上缴上级单位的支出。</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8．项目支出：指在为完成特定的工作任务和事业发展目标所发生的支出。</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9．基本支出：指为保障机构正常运转、完成日常工作任务而发生的支出，包括人员经费和公用经费。</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10．年末结转和结余资金：指本年度或以前年度预算安排、因客观 条件发生变化无法按原计划实施，需要延迟到以后年度按有关规定继续使用的资金。</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11．事业收入：指事业单位开展专业业务活动及其辅助活动取得的收入，事业单位收到的财政专户实际核拨的教育收费等资金在此反映。</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12．经营收入：指事业单位在专业业务活动及其辅助活动之外开展非独立核算经营活动取得的收入。</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13．附属单位上缴收入：指事业单位附属独立核算单位按照有关规定上缴的收入。</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14．其他收入：指单位取得的除上述“财政拨款收入 ”、“事业收入”、“经营收入”等以外的各项收入。</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15．使用非财政拨款结余：指事业单位使用非财政拨款结余（原事业基金）弥补当年收支差额的数额。</w:t>
      </w:r>
    </w:p>
    <w:p>
      <w:pPr>
        <w:spacing w:before="254" w:line="368" w:lineRule="auto"/>
        <w:ind w:firstLine="837"/>
        <w:rPr>
          <w:rFonts w:hint="eastAsia" w:ascii="仿宋" w:hAnsi="仿宋" w:eastAsia="仿宋" w:cs="仿宋"/>
          <w:spacing w:val="-4"/>
          <w:sz w:val="32"/>
          <w:szCs w:val="32"/>
        </w:rPr>
      </w:pPr>
      <w:r>
        <w:rPr>
          <w:rFonts w:ascii="仿宋" w:hAnsi="仿宋" w:eastAsia="仿宋" w:cs="仿宋"/>
          <w:spacing w:val="-4"/>
          <w:sz w:val="32"/>
          <w:szCs w:val="32"/>
        </w:rPr>
        <w:t>16．年初结转和结余：指单位上年结转本年使用的基本支出结转、项目支出结转和结余和经营结余。</w:t>
      </w:r>
    </w:p>
    <w:p>
      <w:pPr>
        <w:pStyle w:val="13"/>
        <w:jc w:val="center"/>
        <w:rPr>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spacing w:line="360" w:lineRule="auto"/>
        <w:jc w:val="center"/>
        <w:rPr>
          <w:rFonts w:hint="eastAsia" w:ascii="Times New Roman" w:hAnsi="Times New Roman" w:eastAsia="方正小标宋_GBK" w:cs="Times New Roman"/>
          <w:sz w:val="52"/>
          <w:szCs w:val="52"/>
        </w:rPr>
      </w:pPr>
    </w:p>
    <w:p>
      <w:pPr>
        <w:pStyle w:val="13"/>
        <w:spacing w:line="360" w:lineRule="auto"/>
        <w:jc w:val="center"/>
        <w:rPr>
          <w:rFonts w:hint="eastAsia" w:ascii="Times New Roman" w:hAnsi="Times New Roman" w:eastAsia="方正小标宋_GBK" w:cs="Times New Roman"/>
          <w:sz w:val="52"/>
          <w:szCs w:val="52"/>
        </w:rPr>
      </w:pPr>
    </w:p>
    <w:p>
      <w:pPr>
        <w:pStyle w:val="13"/>
        <w:spacing w:line="360" w:lineRule="auto"/>
        <w:jc w:val="center"/>
        <w:rPr>
          <w:rFonts w:hint="eastAsia" w:ascii="Times New Roman" w:hAnsi="Times New Roman" w:eastAsia="方正小标宋_GBK" w:cs="Times New Roman"/>
          <w:sz w:val="52"/>
          <w:szCs w:val="52"/>
        </w:rPr>
      </w:pPr>
    </w:p>
    <w:p>
      <w:pPr>
        <w:pStyle w:val="13"/>
        <w:spacing w:line="360" w:lineRule="auto"/>
        <w:jc w:val="center"/>
        <w:rPr>
          <w:rFonts w:hint="eastAsia" w:ascii="Times New Roman" w:hAnsi="Times New Roman" w:eastAsia="方正小标宋_GBK" w:cs="Times New Roman"/>
          <w:sz w:val="52"/>
          <w:szCs w:val="52"/>
        </w:rPr>
      </w:pPr>
    </w:p>
    <w:p>
      <w:pPr>
        <w:pStyle w:val="13"/>
        <w:spacing w:line="360" w:lineRule="auto"/>
        <w:jc w:val="center"/>
        <w:rPr>
          <w:rFonts w:hint="eastAsia" w:ascii="Times New Roman" w:hAnsi="Times New Roman" w:eastAsia="方正小标宋_GBK" w:cs="Times New Roman"/>
          <w:sz w:val="52"/>
          <w:szCs w:val="52"/>
        </w:rPr>
      </w:pPr>
    </w:p>
    <w:p>
      <w:pPr>
        <w:pStyle w:val="13"/>
        <w:spacing w:line="360" w:lineRule="auto"/>
        <w:jc w:val="center"/>
        <w:rPr>
          <w:rFonts w:hint="eastAsia" w:ascii="Times New Roman" w:hAnsi="Times New Roman" w:eastAsia="方正小标宋_GBK" w:cs="Times New Roman"/>
          <w:sz w:val="52"/>
          <w:szCs w:val="5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numPr>
          <w:ilvl w:val="0"/>
          <w:numId w:val="3"/>
        </w:numPr>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附 件</w:t>
      </w:r>
    </w:p>
    <w:p>
      <w:pPr>
        <w:pStyle w:val="13"/>
        <w:numPr>
          <w:ilvl w:val="0"/>
          <w:numId w:val="0"/>
        </w:numPr>
        <w:spacing w:line="360" w:lineRule="auto"/>
        <w:jc w:val="both"/>
        <w:rPr>
          <w:rFonts w:hint="eastAsia" w:asciiTheme="minorEastAsia" w:hAnsiTheme="minorEastAsia"/>
          <w:b/>
          <w:sz w:val="36"/>
          <w:szCs w:val="36"/>
        </w:rPr>
      </w:pPr>
    </w:p>
    <w:p>
      <w:pPr>
        <w:pStyle w:val="13"/>
        <w:numPr>
          <w:ilvl w:val="0"/>
          <w:numId w:val="0"/>
        </w:numPr>
        <w:spacing w:line="360" w:lineRule="auto"/>
        <w:jc w:val="both"/>
        <w:rPr>
          <w:rFonts w:hint="eastAsia" w:asciiTheme="minorEastAsia" w:hAnsiTheme="minorEastAsia"/>
          <w:b/>
          <w:sz w:val="36"/>
          <w:szCs w:val="36"/>
        </w:rPr>
      </w:pPr>
    </w:p>
    <w:p>
      <w:pPr>
        <w:pStyle w:val="13"/>
        <w:numPr>
          <w:ilvl w:val="0"/>
          <w:numId w:val="0"/>
        </w:numPr>
        <w:spacing w:line="360" w:lineRule="auto"/>
        <w:jc w:val="cente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年度道县科工局部门整体支出绩效评价报告</w:t>
      </w:r>
    </w:p>
    <w:p>
      <w:pPr>
        <w:jc w:val="center"/>
        <w:rPr>
          <w:rFonts w:ascii="Times New Roman" w:hAnsi="Times New Roman" w:cs="Times New Roman"/>
          <w:color w:val="000000"/>
          <w:kern w:val="0"/>
          <w:sz w:val="32"/>
          <w:szCs w:val="32"/>
        </w:rPr>
      </w:pPr>
      <w:bookmarkStart w:id="3" w:name="_GoBack"/>
      <w:bookmarkEnd w:id="3"/>
    </w:p>
    <w:sectPr>
      <w:footerReference r:id="rId6"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left="4513"/>
      <w:rPr>
        <w:rFonts w:hint="eastAsia" w:ascii="新宋体" w:hAnsi="新宋体" w:eastAsia="新宋体" w:cs="新宋体"/>
        <w:sz w:val="18"/>
        <w:szCs w:val="18"/>
      </w:rPr>
    </w:pPr>
    <w:r>
      <w:rPr>
        <w:rFonts w:ascii="新宋体" w:hAnsi="新宋体" w:eastAsia="新宋体" w:cs="新宋体"/>
        <w:spacing w:val="-3"/>
        <w:sz w:val="18"/>
        <w:szCs w:val="18"/>
      </w:rPr>
      <w:t>-</w:t>
    </w:r>
    <w:r>
      <w:rPr>
        <w:rFonts w:ascii="新宋体" w:hAnsi="新宋体" w:eastAsia="新宋体" w:cs="新宋体"/>
        <w:spacing w:val="7"/>
        <w:sz w:val="18"/>
        <w:szCs w:val="18"/>
      </w:rPr>
      <w:t xml:space="preserve"> </w:t>
    </w:r>
    <w:r>
      <w:rPr>
        <w:rFonts w:ascii="新宋体" w:hAnsi="新宋体" w:eastAsia="新宋体" w:cs="新宋体"/>
        <w:spacing w:val="-3"/>
        <w:sz w:val="18"/>
        <w:szCs w:val="18"/>
      </w:rPr>
      <w:t>20</w:t>
    </w:r>
    <w:r>
      <w:rPr>
        <w:rFonts w:ascii="新宋体" w:hAnsi="新宋体" w:eastAsia="新宋体" w:cs="新宋体"/>
        <w:spacing w:val="4"/>
        <w:sz w:val="18"/>
        <w:szCs w:val="18"/>
      </w:rPr>
      <w:t xml:space="preserve"> </w:t>
    </w:r>
    <w:r>
      <w:rPr>
        <w:rFonts w:ascii="新宋体" w:hAnsi="新宋体" w:eastAsia="新宋体" w:cs="新宋体"/>
        <w:spacing w:val="-3"/>
        <w:sz w:val="18"/>
        <w:szCs w:val="1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16FAC"/>
    <w:multiLevelType w:val="singleLevel"/>
    <w:tmpl w:val="A7716FAC"/>
    <w:lvl w:ilvl="0" w:tentative="0">
      <w:start w:val="7"/>
      <w:numFmt w:val="chineseCounting"/>
      <w:suff w:val="nothing"/>
      <w:lvlText w:val="%1、"/>
      <w:lvlJc w:val="left"/>
      <w:rPr>
        <w:rFonts w:hint="eastAsia"/>
      </w:rPr>
    </w:lvl>
  </w:abstractNum>
  <w:abstractNum w:abstractNumId="1">
    <w:nsid w:val="B488D12D"/>
    <w:multiLevelType w:val="singleLevel"/>
    <w:tmpl w:val="B488D12D"/>
    <w:lvl w:ilvl="0" w:tentative="0">
      <w:start w:val="4"/>
      <w:numFmt w:val="decimal"/>
      <w:suff w:val="nothing"/>
      <w:lvlText w:val="%1、"/>
      <w:lvlJc w:val="left"/>
    </w:lvl>
  </w:abstractNum>
  <w:abstractNum w:abstractNumId="2">
    <w:nsid w:val="72BC8F99"/>
    <w:multiLevelType w:val="singleLevel"/>
    <w:tmpl w:val="72BC8F99"/>
    <w:lvl w:ilvl="0" w:tentative="0">
      <w:start w:val="5"/>
      <w:numFmt w:val="chineseCounting"/>
      <w:suff w:val="space"/>
      <w:lvlText w:val="第%1部分"/>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6C3"/>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CD21FC7"/>
    <w:rsid w:val="0E5F6435"/>
    <w:rsid w:val="158C17BA"/>
    <w:rsid w:val="17D31922"/>
    <w:rsid w:val="1B9170AC"/>
    <w:rsid w:val="1CF236BB"/>
    <w:rsid w:val="1D97DEFF"/>
    <w:rsid w:val="1DD845EA"/>
    <w:rsid w:val="1DFF72E5"/>
    <w:rsid w:val="1E780BC5"/>
    <w:rsid w:val="1EFC6F07"/>
    <w:rsid w:val="2357595D"/>
    <w:rsid w:val="23E76EA7"/>
    <w:rsid w:val="2C22657D"/>
    <w:rsid w:val="2FDF85B8"/>
    <w:rsid w:val="2FFFEE04"/>
    <w:rsid w:val="303348B4"/>
    <w:rsid w:val="34DF85B0"/>
    <w:rsid w:val="351A24E7"/>
    <w:rsid w:val="358013ED"/>
    <w:rsid w:val="39FF7A25"/>
    <w:rsid w:val="3B8F36BC"/>
    <w:rsid w:val="3D3B56F0"/>
    <w:rsid w:val="44245722"/>
    <w:rsid w:val="48E64762"/>
    <w:rsid w:val="491FF225"/>
    <w:rsid w:val="4FFD214C"/>
    <w:rsid w:val="56F32FC3"/>
    <w:rsid w:val="5777D4F5"/>
    <w:rsid w:val="58B303D9"/>
    <w:rsid w:val="59DD8326"/>
    <w:rsid w:val="5A6C083F"/>
    <w:rsid w:val="5C315F7C"/>
    <w:rsid w:val="5DEF592A"/>
    <w:rsid w:val="5FC6BB1E"/>
    <w:rsid w:val="5FF720F1"/>
    <w:rsid w:val="623B56C7"/>
    <w:rsid w:val="67FF5C0B"/>
    <w:rsid w:val="6B0817BF"/>
    <w:rsid w:val="6EFC0924"/>
    <w:rsid w:val="6FB74722"/>
    <w:rsid w:val="6FEF8B7E"/>
    <w:rsid w:val="701D13BE"/>
    <w:rsid w:val="71145A61"/>
    <w:rsid w:val="71A6591B"/>
    <w:rsid w:val="737D59BA"/>
    <w:rsid w:val="77C37683"/>
    <w:rsid w:val="77DC6957"/>
    <w:rsid w:val="79D19834"/>
    <w:rsid w:val="79FAFB9B"/>
    <w:rsid w:val="79FF515B"/>
    <w:rsid w:val="7BF549BF"/>
    <w:rsid w:val="7BFA1CF7"/>
    <w:rsid w:val="7DFBE567"/>
    <w:rsid w:val="7E9E1962"/>
    <w:rsid w:val="7E9F11B4"/>
    <w:rsid w:val="7EBB6F49"/>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BFFA584"/>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3045</Words>
  <Characters>3808</Characters>
  <Lines>69</Lines>
  <Paragraphs>19</Paragraphs>
  <TotalTime>13</TotalTime>
  <ScaleCrop>false</ScaleCrop>
  <LinksUpToDate>false</LinksUpToDate>
  <CharactersWithSpaces>4451</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蒋琼</cp:lastModifiedBy>
  <cp:lastPrinted>2024-08-10T18:20:00Z</cp:lastPrinted>
  <dcterms:modified xsi:type="dcterms:W3CDTF">2026-09-15T03:19:22Z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eyJoZGlkIjoiOTAwNWJiOTllOWZmYTkxMThhNjgxNjQwZDI3YTg4MDciLCJ1c2VySWQiOiI1NTE0MzE4NTgifQ==</vt:lpwstr>
  </property>
</Properties>
</file>