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left="2882" w:leftChars="344" w:hanging="2160" w:hangingChars="600"/>
        <w:jc w:val="both"/>
        <w:rPr>
          <w:rFonts w:hint="eastAsia" w:ascii="黑体" w:eastAsia="黑体" w:cs="黑体"/>
          <w:sz w:val="36"/>
          <w:szCs w:val="36"/>
        </w:rPr>
      </w:pPr>
      <w:r>
        <w:rPr>
          <w:rFonts w:hint="eastAsia" w:ascii="黑体" w:eastAsia="黑体" w:cs="黑体"/>
          <w:sz w:val="36"/>
          <w:szCs w:val="36"/>
        </w:rPr>
        <w:t>道县科技和工业信息化局202</w:t>
      </w:r>
      <w:r>
        <w:rPr>
          <w:rFonts w:hint="eastAsia" w:ascii="黑体" w:eastAsia="黑体" w:cs="黑体"/>
          <w:sz w:val="36"/>
          <w:szCs w:val="36"/>
          <w:lang w:val="en-US" w:eastAsia="zh-CN"/>
        </w:rPr>
        <w:t>5</w:t>
      </w:r>
      <w:r>
        <w:rPr>
          <w:rFonts w:hint="eastAsia" w:ascii="黑体" w:eastAsia="黑体" w:cs="黑体"/>
          <w:sz w:val="36"/>
          <w:szCs w:val="36"/>
        </w:rPr>
        <w:t>年度整体支出绩效</w:t>
      </w:r>
    </w:p>
    <w:p>
      <w:pPr>
        <w:widowControl/>
        <w:ind w:left="2877" w:leftChars="1370" w:firstLine="720" w:firstLineChars="200"/>
        <w:jc w:val="both"/>
        <w:rPr>
          <w:rFonts w:hint="eastAsia" w:ascii="黑体" w:hAnsi="宋体" w:eastAsia="黑体"/>
          <w:kern w:val="0"/>
          <w:sz w:val="32"/>
          <w:szCs w:val="32"/>
        </w:rPr>
      </w:pPr>
      <w:r>
        <w:rPr>
          <w:rFonts w:hint="eastAsia" w:ascii="黑体" w:eastAsia="黑体" w:cs="黑体"/>
          <w:sz w:val="36"/>
          <w:szCs w:val="36"/>
        </w:rPr>
        <w:t>评价报告</w:t>
      </w:r>
    </w:p>
    <w:p>
      <w:pPr>
        <w:spacing w:line="560" w:lineRule="exact"/>
        <w:ind w:firstLine="640" w:firstLineChars="200"/>
        <w:rPr>
          <w:rFonts w:eastAsia="黑体"/>
          <w:sz w:val="32"/>
          <w:szCs w:val="32"/>
        </w:rPr>
      </w:pPr>
      <w:r>
        <w:rPr>
          <w:rFonts w:eastAsia="黑体"/>
          <w:sz w:val="32"/>
          <w:szCs w:val="32"/>
        </w:rPr>
        <w:t>一、基本情况</w:t>
      </w:r>
    </w:p>
    <w:p>
      <w:pPr>
        <w:spacing w:line="560" w:lineRule="exact"/>
        <w:ind w:firstLine="642" w:firstLineChars="200"/>
        <w:rPr>
          <w:rFonts w:eastAsia="楷体_GB2312"/>
          <w:b/>
          <w:sz w:val="32"/>
          <w:szCs w:val="32"/>
        </w:rPr>
      </w:pPr>
      <w:r>
        <w:rPr>
          <w:rFonts w:eastAsia="楷体_GB2312"/>
          <w:b/>
          <w:sz w:val="32"/>
          <w:szCs w:val="32"/>
        </w:rPr>
        <w:t>（一）单位基本情况</w:t>
      </w:r>
    </w:p>
    <w:p>
      <w:pPr>
        <w:widowControl/>
        <w:shd w:val="clear" w:color="auto" w:fill="FFFFFF"/>
        <w:spacing w:line="560" w:lineRule="exact"/>
        <w:ind w:firstLine="640" w:firstLineChars="200"/>
        <w:rPr>
          <w:rFonts w:hint="default" w:ascii="仿宋" w:hAnsi="仿宋" w:eastAsia="仿宋" w:cs="宋体"/>
          <w:color w:val="auto"/>
          <w:kern w:val="0"/>
          <w:sz w:val="32"/>
          <w:szCs w:val="32"/>
          <w:lang w:val="en-US" w:eastAsia="zh-CN"/>
        </w:rPr>
      </w:pPr>
      <w:r>
        <w:rPr>
          <w:rFonts w:hint="eastAsia" w:ascii="仿宋_GB2312" w:hAnsi="仿宋_GB2312" w:eastAsia="仿宋_GB2312" w:cs="仿宋_GB2312"/>
          <w:b w:val="0"/>
          <w:bCs w:val="0"/>
          <w:i w:val="0"/>
          <w:color w:val="000000"/>
          <w:spacing w:val="0"/>
          <w:kern w:val="0"/>
          <w:sz w:val="32"/>
          <w:szCs w:val="32"/>
          <w:shd w:val="clear" w:color="auto" w:fill="FFFFFF"/>
          <w:lang w:val="en-US" w:eastAsia="zh-CN" w:bidi="ar"/>
        </w:rPr>
        <w:t>根据中共道县县委机构编制委员会印制的《关于调整道县科技和工业信息化局职责机构编制调整的通知》（道编发〔2024〕15号）文件规定，道县科工局的主要工作职能如下：</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w:t>
      </w:r>
      <w:r>
        <w:rPr>
          <w:rFonts w:hint="eastAsia" w:ascii="仿宋" w:hAnsi="仿宋" w:eastAsia="仿宋" w:cs="宋体"/>
          <w:color w:val="auto"/>
          <w:kern w:val="0"/>
          <w:sz w:val="32"/>
          <w:szCs w:val="32"/>
        </w:rPr>
        <w:t>负责全县科学技术进步和工业经济的宏观管理和统筹协调，编制并组织实施近期科学技术发展和工业经济运行调控目标、政策和措施；监测分析近期全县知识产权事业发展工业经济运行态势，统计并发布相关信息，进行预测预警和信息引导，协调解决科学经济运行中的突出矛盾和问题并提出政策建议。</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w:t>
      </w:r>
      <w:r>
        <w:rPr>
          <w:rFonts w:hint="eastAsia" w:ascii="仿宋" w:hAnsi="仿宋" w:eastAsia="仿宋" w:cs="宋体"/>
          <w:color w:val="auto"/>
          <w:kern w:val="0"/>
          <w:sz w:val="32"/>
          <w:szCs w:val="32"/>
        </w:rPr>
        <w:t>拟订全县新型工业化的发展战略、规划和相关政策措施并组织实施，协调解决有关重大问题；综合管理全县工业经济，指导、协调和服务工业企业；推进信息化和工业化融合；推进全县国民经济和社会信息化。</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3.</w:t>
      </w:r>
      <w:r>
        <w:rPr>
          <w:rFonts w:hint="eastAsia" w:ascii="仿宋" w:hAnsi="仿宋" w:eastAsia="仿宋" w:cs="宋体"/>
          <w:color w:val="auto"/>
          <w:kern w:val="0"/>
          <w:sz w:val="32"/>
          <w:szCs w:val="32"/>
        </w:rPr>
        <w:t>拟订并组织实施工业、信息化的发展专项规划，贯彻落实国家产业政策；制定优化产业结构和产品结构的地方配套政策，并监督检查执行情况；研究和规划全县工业产业投资布局；依法组织实施相关行业的管理；负责工业和信息化领域的国防动员有关工作以及产业安全和应急管理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4.</w:t>
      </w:r>
      <w:r>
        <w:rPr>
          <w:rFonts w:hint="eastAsia" w:ascii="仿宋" w:hAnsi="仿宋" w:eastAsia="仿宋" w:cs="宋体"/>
          <w:color w:val="auto"/>
          <w:kern w:val="0"/>
          <w:sz w:val="32"/>
          <w:szCs w:val="32"/>
        </w:rPr>
        <w:t>起草工业信息化和科学技术领域的地方性法规、规章草案并对相关法律法规的执法情况进行监督检查；协调减轻企业负担工作；会同有关部门做好全县维护企业稳定工作。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5.</w:t>
      </w:r>
      <w:r>
        <w:rPr>
          <w:rFonts w:hint="eastAsia" w:ascii="仿宋" w:hAnsi="仿宋" w:eastAsia="仿宋" w:cs="宋体"/>
          <w:color w:val="auto"/>
          <w:kern w:val="0"/>
          <w:sz w:val="32"/>
          <w:szCs w:val="32"/>
        </w:rPr>
        <w:t>组织拟订全县工业企业科学技术进步的发展战略、规划和高技术产业中涉及生物医药、新材料、信息产业等的规划、政策并组织实施；编制和组织实施技术改造规划，提出工业和信息化固定资产投资规模和方向（含利用外资和境外投资）；推进企业技术创新体系建设，指导行业技术创新和技术进步，以先进适用技术改造提升传统产业，组织实施相关科技重大专项，推进产学研结合和科研成果产业化的知识产权。</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6.</w:t>
      </w:r>
      <w:r>
        <w:rPr>
          <w:rFonts w:hint="eastAsia" w:ascii="仿宋" w:hAnsi="仿宋" w:eastAsia="仿宋" w:cs="宋体"/>
          <w:color w:val="auto"/>
          <w:kern w:val="0"/>
          <w:sz w:val="32"/>
          <w:szCs w:val="32"/>
        </w:rPr>
        <w:t>推进工业行业体制改革和管理创新，提高行业综合素质和核心竞争力，指导相关行业加强科学化安全生产管理和行业质量管理工作。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7.</w:t>
      </w:r>
      <w:r>
        <w:rPr>
          <w:rFonts w:hint="eastAsia" w:ascii="仿宋" w:hAnsi="仿宋" w:eastAsia="仿宋" w:cs="宋体"/>
          <w:color w:val="auto"/>
          <w:kern w:val="0"/>
          <w:sz w:val="32"/>
          <w:szCs w:val="32"/>
        </w:rPr>
        <w:t>研究提出促进全县非公有制经济和中小企业发展的政策措施，协调解决重大问题；制定中小企业发展战略、中长期发展规划并组织实施；指导中小企业改革工作；推进中小企业服务体系建设，指导中小企业法律顾问工作，推进全民创业。</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8.</w:t>
      </w:r>
      <w:r>
        <w:rPr>
          <w:rFonts w:hint="eastAsia" w:ascii="仿宋" w:hAnsi="仿宋" w:eastAsia="仿宋" w:cs="宋体"/>
          <w:color w:val="auto"/>
          <w:kern w:val="0"/>
          <w:sz w:val="32"/>
          <w:szCs w:val="32"/>
        </w:rPr>
        <w:t>参与拟订能源节约和资源综合利用规划；会同有关部门组织实施节能行动方案和资源综合利用工作；拟订并组织实施工业能源节约和资源综合利用政策；承担工业企业的节能考核和监察工作；组织推进清洁生产工作；组织协调相关重大示范工程和相关新产品、新技术、新设备、新材料的推广应用；参与编制全县生态建设规划；参与协调工业环境保护。</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9.</w:t>
      </w:r>
      <w:r>
        <w:rPr>
          <w:rFonts w:hint="eastAsia" w:ascii="仿宋" w:hAnsi="仿宋" w:eastAsia="仿宋" w:cs="宋体"/>
          <w:color w:val="auto"/>
          <w:kern w:val="0"/>
          <w:sz w:val="32"/>
          <w:szCs w:val="32"/>
        </w:rPr>
        <w:t>综合协调经济运行中与铁路、公路、水运、航空、管道运输以及通信、邮政有关的重大问题；负责铁路专用线的管理工作；负责煤炭、电力、石油、天然气和原材料等经济运行保障要素的综合协调工作；指导生产企业物流外包，促进企业内部物流社会化。</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10.</w:t>
      </w:r>
      <w:r>
        <w:rPr>
          <w:rFonts w:hint="eastAsia" w:ascii="仿宋" w:hAnsi="仿宋" w:eastAsia="仿宋" w:cs="宋体"/>
          <w:color w:val="auto"/>
          <w:kern w:val="0"/>
          <w:sz w:val="32"/>
          <w:szCs w:val="32"/>
        </w:rPr>
        <w:t>组织拟订信息化发展战略、专项规划及相关政策，协调解决重大问题；促进电信、广播电视和计算机网络融合；指导协调电子政务发展；推动跨行业、跨部门的互联互通和重要信息资源的开发利用、共享；推进全县信息化建设。</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11.</w:t>
      </w:r>
      <w:r>
        <w:rPr>
          <w:rFonts w:hint="eastAsia" w:ascii="仿宋" w:hAnsi="仿宋" w:eastAsia="仿宋" w:cs="宋体"/>
          <w:color w:val="auto"/>
          <w:kern w:val="0"/>
          <w:sz w:val="32"/>
          <w:szCs w:val="32"/>
        </w:rPr>
        <w:t>制订全县信息化安全发展战略、规划，指导、协调信息安全保障体系建设；指导监督政府部门、重点行业重要信息系统与基础信息网络的安全保障工作，协助处理网络与信息安全的重大事件。</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12.</w:t>
      </w:r>
      <w:r>
        <w:rPr>
          <w:rFonts w:hint="eastAsia" w:ascii="仿宋" w:hAnsi="仿宋" w:eastAsia="仿宋" w:cs="宋体"/>
          <w:color w:val="auto"/>
          <w:kern w:val="0"/>
          <w:sz w:val="32"/>
          <w:szCs w:val="32"/>
        </w:rPr>
        <w:t>根据国家统一规划，协调全县公用通信网、互联网、广播电视网和其他专用通信网的规划和建设，促进网络资源共享；依法监督管理信息服务市场。</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13.</w:t>
      </w:r>
      <w:r>
        <w:rPr>
          <w:rFonts w:hint="eastAsia" w:ascii="仿宋" w:hAnsi="仿宋" w:eastAsia="仿宋" w:cs="宋体"/>
          <w:color w:val="auto"/>
          <w:kern w:val="0"/>
          <w:sz w:val="32"/>
          <w:szCs w:val="32"/>
        </w:rPr>
        <w:t>负责推动软件业和信息服务业的发展；组织制订软件业和信息服务业发展战略、专项规划及相关政策，协调解决重大问题，推动软件公共服务体系建设，推进软件服务外包；指导、协调技术开发和相关产业发展。</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14.</w:t>
      </w:r>
      <w:r>
        <w:rPr>
          <w:rFonts w:hint="eastAsia" w:ascii="仿宋" w:hAnsi="仿宋" w:eastAsia="仿宋" w:cs="宋体"/>
          <w:color w:val="auto"/>
          <w:kern w:val="0"/>
          <w:sz w:val="32"/>
          <w:szCs w:val="32"/>
        </w:rPr>
        <w:t>指导全县工业、信息化领域人才开发与培训工作；开展人才和智力对外合作交流。</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15.</w:t>
      </w:r>
      <w:r>
        <w:rPr>
          <w:rFonts w:hint="eastAsia" w:ascii="仿宋" w:hAnsi="仿宋" w:eastAsia="仿宋" w:cs="宋体"/>
          <w:color w:val="auto"/>
          <w:kern w:val="0"/>
          <w:sz w:val="32"/>
          <w:szCs w:val="32"/>
        </w:rPr>
        <w:t>贯彻执行医药、食品等行业的规划和行业规范，实施行业管理。</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16.</w:t>
      </w:r>
      <w:r>
        <w:rPr>
          <w:rFonts w:hint="eastAsia" w:ascii="仿宋" w:hAnsi="仿宋" w:eastAsia="仿宋" w:cs="宋体"/>
          <w:color w:val="auto"/>
          <w:kern w:val="0"/>
          <w:sz w:val="32"/>
          <w:szCs w:val="32"/>
        </w:rPr>
        <w:t>负责全县二轻集体工业和二轻集体工业联社管理工作。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17.</w:t>
      </w:r>
      <w:r>
        <w:rPr>
          <w:rFonts w:hint="eastAsia" w:ascii="仿宋" w:hAnsi="仿宋" w:eastAsia="仿宋" w:cs="宋体"/>
          <w:color w:val="auto"/>
          <w:kern w:val="0"/>
          <w:sz w:val="32"/>
          <w:szCs w:val="32"/>
        </w:rPr>
        <w:t>贯彻国家、省、市电力工业发展方针、政策和法律法规，根据国民经济和社会发展总体规划，合理编制电力工业发展规划，认真研究相关政策；加强电力需求管理，做好指导和监督工作；加强电力行政执法，开展电力行政执法工作，维护发供用电公共安全工作；依法做好电力设施保护区的划定工作，定期开展打击破坏电力设施、窃电和违章用电的整治工作，维护正常的供用电秩序。</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18.</w:t>
      </w:r>
      <w:r>
        <w:rPr>
          <w:rFonts w:hint="eastAsia" w:ascii="仿宋" w:hAnsi="仿宋" w:eastAsia="仿宋" w:cs="宋体"/>
          <w:color w:val="auto"/>
          <w:kern w:val="0"/>
          <w:sz w:val="32"/>
          <w:szCs w:val="32"/>
        </w:rPr>
        <w:t>组织实施科技重大专项。制定相关配套实施办法；组织科技重大专项实施中的方案论证、评审立项、跟踪管理与评估验收等；统筹申报和组织实施国家、省、市科技重大专项工作，协调县科技重大专项与国家、省、市科技重大专项的衔接与配套。</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19</w:t>
      </w:r>
      <w:r>
        <w:rPr>
          <w:rFonts w:hint="eastAsia" w:ascii="仿宋" w:hAnsi="仿宋" w:eastAsia="仿宋" w:cs="宋体"/>
          <w:color w:val="auto"/>
          <w:kern w:val="0"/>
          <w:sz w:val="32"/>
          <w:szCs w:val="32"/>
        </w:rPr>
        <w:t>负责组织实施县级科技计划工作。负责组织制定和实施基础研究计划、科技支撑计划、科技创新环境建设计划等各类县级科技计划和重大科技工程计划；负责相关国家、省、市科技计划项目的申报、推荐和管理；牵头组织全县经济社会发展重要领域的重大关键技术攻关。</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20.</w:t>
      </w:r>
      <w:r>
        <w:rPr>
          <w:rFonts w:hint="eastAsia" w:ascii="仿宋" w:hAnsi="仿宋" w:eastAsia="仿宋" w:cs="宋体"/>
          <w:color w:val="auto"/>
          <w:kern w:val="0"/>
          <w:sz w:val="32"/>
          <w:szCs w:val="32"/>
        </w:rPr>
        <w:t>牵头组织全县农村和社会发展领域的科技进步工作。组织拟订科技促进农村和社会发展的规划和规范性文件，组织引导农业和社会发展领域的关键技术和成果示范，促进以改善民生为重点的农村建设和社会建设。</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21.</w:t>
      </w:r>
      <w:r>
        <w:rPr>
          <w:rFonts w:hint="eastAsia" w:ascii="仿宋" w:hAnsi="仿宋" w:eastAsia="仿宋" w:cs="宋体"/>
          <w:color w:val="auto"/>
          <w:kern w:val="0"/>
          <w:sz w:val="32"/>
          <w:szCs w:val="32"/>
        </w:rPr>
        <w:t>牵头组织协调促进全县产学研结合工作。会同有关部门拟订促进产学研结合的相关政策；组织重大科技成果应用示范，加强科技成果转化和推广，推动企业技术创新能力建设；拟订促进技术市场、科技中介组织发展政策，负责全县技术市场体系建设和管理，推进科技服务体系发展。</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22.</w:t>
      </w:r>
      <w:r>
        <w:rPr>
          <w:rFonts w:hint="eastAsia" w:ascii="仿宋" w:hAnsi="仿宋" w:eastAsia="仿宋" w:cs="宋体"/>
          <w:color w:val="auto"/>
          <w:kern w:val="0"/>
          <w:sz w:val="32"/>
          <w:szCs w:val="32"/>
        </w:rPr>
        <w:t>主管全县高新技术的研究开发、成果转化以及产业化工作。会同有关部门拟订高新技术发展及产业化的规划、措施，组织实施县高新技术产业化重大项目；归口管理和指导协调高新技术产业开发区等科技园区及特色产业化基地建设；负责高新技术企业、技术先进型服务企业自主创新产品等申报工作；指导并推动高新技术企业创新发展。</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23.</w:t>
      </w:r>
      <w:r>
        <w:rPr>
          <w:rFonts w:hint="eastAsia" w:ascii="仿宋" w:hAnsi="仿宋" w:eastAsia="仿宋" w:cs="宋体"/>
          <w:color w:val="auto"/>
          <w:kern w:val="0"/>
          <w:sz w:val="32"/>
          <w:szCs w:val="32"/>
        </w:rPr>
        <w:t>会同有关部门提出全县科技体制改革的建议与措施，推进全县创新体系建设；审核相关科研机构的组建和调整。</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24.</w:t>
      </w:r>
      <w:r>
        <w:rPr>
          <w:rFonts w:hint="eastAsia" w:ascii="仿宋" w:hAnsi="仿宋" w:eastAsia="仿宋" w:cs="宋体"/>
          <w:color w:val="auto"/>
          <w:kern w:val="0"/>
          <w:sz w:val="32"/>
          <w:szCs w:val="32"/>
        </w:rPr>
        <w:t>负责本部门及归口管理的县级科技经预决算和经费使用的监督管理；会同有关部门制定多渠道增加科技投入措施；组织拟订全县科研条件保障的规划和相关措施；会同有关部门提出科技资源合理配置的建议。负责拟定并会同有关部门实施全县科技基础条件平台建设计划，推进科技基础条件平台共建共享。</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25.</w:t>
      </w:r>
      <w:r>
        <w:rPr>
          <w:rFonts w:hint="eastAsia" w:ascii="仿宋" w:hAnsi="仿宋" w:eastAsia="仿宋" w:cs="宋体"/>
          <w:color w:val="auto"/>
          <w:kern w:val="0"/>
          <w:sz w:val="32"/>
          <w:szCs w:val="32"/>
        </w:rPr>
        <w:t>拟订全县对外科技合作与交流的规划和相关措施；负责组织科技外事与合作项目的审定项工作；参与重大引进项目的论证与决策。</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26.</w:t>
      </w:r>
      <w:r>
        <w:rPr>
          <w:rFonts w:hint="eastAsia" w:ascii="仿宋" w:hAnsi="仿宋" w:eastAsia="仿宋" w:cs="宋体"/>
          <w:color w:val="auto"/>
          <w:kern w:val="0"/>
          <w:sz w:val="32"/>
          <w:szCs w:val="32"/>
        </w:rPr>
        <w:t>负责全县科学技术普及工作。拟订全县科普规划和相关措施；组织实施科普计划，负责省级科普基地和示范基地认定的推荐申报项工作；统筹协调和监督检查全县科普工作。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27.</w:t>
      </w:r>
      <w:r>
        <w:rPr>
          <w:rFonts w:hint="eastAsia" w:ascii="仿宋" w:hAnsi="仿宋" w:eastAsia="仿宋" w:cs="宋体"/>
          <w:color w:val="auto"/>
          <w:kern w:val="0"/>
          <w:sz w:val="32"/>
          <w:szCs w:val="32"/>
        </w:rPr>
        <w:t>负责全县科技人才有关工作。会同有关部门拟订科技人才队伍建设规划；承担全县科技人才队伍建设和科技创新团队建设有关工作。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28.</w:t>
      </w:r>
      <w:r>
        <w:rPr>
          <w:rFonts w:hint="eastAsia" w:ascii="仿宋" w:hAnsi="仿宋" w:eastAsia="仿宋" w:cs="宋体"/>
          <w:color w:val="auto"/>
          <w:kern w:val="0"/>
          <w:sz w:val="32"/>
          <w:szCs w:val="32"/>
        </w:rPr>
        <w:t>负责全县科技奖励、科技保密、科技评估、科技统计、科技情报信息、科技期刊管理等工作。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29.</w:t>
      </w:r>
      <w:r>
        <w:rPr>
          <w:rFonts w:hint="eastAsia" w:ascii="仿宋" w:hAnsi="仿宋" w:eastAsia="仿宋" w:cs="宋体"/>
          <w:color w:val="auto"/>
          <w:kern w:val="0"/>
          <w:sz w:val="32"/>
          <w:szCs w:val="32"/>
        </w:rPr>
        <w:t>做好原湘源锡矿改制后的稳定、服务工作和风景区保护、开发等工作。</w:t>
      </w:r>
    </w:p>
    <w:p>
      <w:pPr>
        <w:widowControl/>
        <w:shd w:val="clear" w:color="auto" w:fill="FFFFFF"/>
        <w:spacing w:line="56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lang w:val="en-US" w:eastAsia="zh-CN"/>
        </w:rPr>
        <w:t>30.</w:t>
      </w:r>
      <w:r>
        <w:rPr>
          <w:rFonts w:hint="eastAsia" w:ascii="仿宋" w:hAnsi="仿宋" w:eastAsia="仿宋" w:cs="宋体"/>
          <w:color w:val="auto"/>
          <w:kern w:val="0"/>
          <w:sz w:val="32"/>
          <w:szCs w:val="32"/>
        </w:rPr>
        <w:t>承办县委、县人民政府交办的其他事项。</w:t>
      </w:r>
    </w:p>
    <w:p>
      <w:pPr>
        <w:spacing w:line="560" w:lineRule="exact"/>
        <w:ind w:firstLine="642" w:firstLineChars="200"/>
        <w:rPr>
          <w:rFonts w:hint="eastAsia"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（二）、</w:t>
      </w:r>
      <w:r>
        <w:rPr>
          <w:rFonts w:hint="eastAsia" w:ascii="Times New Roman" w:hAnsi="Times New Roman" w:eastAsia="楷体_GB2312" w:cs="Times New Roman"/>
          <w:b/>
          <w:sz w:val="32"/>
          <w:szCs w:val="32"/>
        </w:rPr>
        <w:t>部门</w:t>
      </w:r>
      <w:r>
        <w:rPr>
          <w:rFonts w:hint="eastAsia" w:ascii="Times New Roman" w:hAnsi="Times New Roman" w:eastAsia="楷体_GB2312" w:cs="Times New Roman"/>
          <w:b/>
          <w:sz w:val="32"/>
          <w:szCs w:val="32"/>
          <w:lang w:eastAsia="zh-CN"/>
        </w:rPr>
        <w:t>机构编制</w:t>
      </w:r>
    </w:p>
    <w:p>
      <w:pPr>
        <w:keepNext w:val="0"/>
        <w:keepLines w:val="0"/>
        <w:pageBreakBefore w:val="0"/>
        <w:kinsoku/>
        <w:wordWrap/>
        <w:overflowPunct/>
        <w:topLinePunct w:val="0"/>
        <w:autoSpaceDE/>
        <w:autoSpaceDN/>
        <w:bidi w:val="0"/>
        <w:spacing w:line="640" w:lineRule="exact"/>
        <w:ind w:firstLine="640" w:firstLineChars="200"/>
        <w:textAlignment w:val="auto"/>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根据县编委文件《关于调整道县科技和工业信息化局职责机构编制调整的通知》，我局是县政府正科级工作部门，为正科级。内设机构共 7个：</w:t>
      </w:r>
      <w:r>
        <w:rPr>
          <w:rFonts w:hint="eastAsia" w:ascii="仿宋_GB2312" w:hAnsi="仿宋_GB2312" w:eastAsia="仿宋_GB2312" w:cs="仿宋_GB2312"/>
          <w:snapToGrid w:val="0"/>
          <w:color w:val="000000"/>
          <w:spacing w:val="8"/>
          <w:kern w:val="0"/>
          <w:sz w:val="32"/>
          <w:szCs w:val="32"/>
        </w:rPr>
        <w:t>办公室(法规股)、维稳办、政工股（党建室、外国专家管理股）、科技管理股、经济运行监测股、节能运行股、企业改革办</w:t>
      </w:r>
      <w:r>
        <w:rPr>
          <w:rFonts w:hint="eastAsia" w:ascii="仿宋_GB2312" w:hAnsi="仿宋_GB2312" w:eastAsia="仿宋_GB2312" w:cs="仿宋_GB2312"/>
          <w:color w:val="000000"/>
          <w:kern w:val="0"/>
          <w:sz w:val="32"/>
          <w:szCs w:val="32"/>
          <w:shd w:val="clear" w:color="auto" w:fill="FFFFFF"/>
        </w:rPr>
        <w:t>。局直属全额拨款事业单位4个：</w:t>
      </w:r>
      <w:r>
        <w:rPr>
          <w:rFonts w:hint="eastAsia" w:ascii="仿宋" w:hAnsi="仿宋" w:eastAsia="仿宋"/>
          <w:color w:val="000000"/>
          <w:sz w:val="32"/>
          <w:szCs w:val="32"/>
        </w:rPr>
        <w:t>道县科学技术事务中心、道县民营经济发展服务中心、道县湘源温泉风景区事务中心、道县工业企业改制事务中心。</w:t>
      </w:r>
    </w:p>
    <w:p>
      <w:pPr>
        <w:keepNext w:val="0"/>
        <w:keepLines w:val="0"/>
        <w:pageBreakBefore w:val="0"/>
        <w:kinsoku/>
        <w:wordWrap/>
        <w:overflowPunct/>
        <w:topLinePunct w:val="0"/>
        <w:autoSpaceDE/>
        <w:autoSpaceDN/>
        <w:bidi w:val="0"/>
        <w:spacing w:line="640" w:lineRule="exact"/>
        <w:ind w:firstLine="640" w:firstLineChars="200"/>
        <w:textAlignment w:val="auto"/>
        <w:rPr>
          <w:rFonts w:hint="eastAsia" w:ascii="仿宋" w:hAnsi="仿宋" w:eastAsia="仿宋"/>
          <w:color w:val="000000"/>
          <w:sz w:val="32"/>
          <w:szCs w:val="32"/>
        </w:rPr>
      </w:pPr>
      <w:r>
        <w:rPr>
          <w:rFonts w:hint="eastAsia" w:ascii="仿宋_GB2312" w:hAnsi="仿宋_GB2312" w:eastAsia="仿宋_GB2312" w:cs="仿宋_GB2312"/>
          <w:color w:val="000000"/>
          <w:kern w:val="0"/>
          <w:sz w:val="32"/>
          <w:szCs w:val="32"/>
          <w:shd w:val="clear" w:color="auto" w:fill="FFFFFF"/>
        </w:rPr>
        <w:t>局机关行政编制12名，</w:t>
      </w:r>
      <w:r>
        <w:rPr>
          <w:rFonts w:hint="eastAsia" w:ascii="仿宋_GB2312" w:hAnsi="仿宋_GB2312" w:eastAsia="仿宋_GB2312" w:cs="仿宋_GB2312"/>
          <w:sz w:val="32"/>
          <w:szCs w:val="32"/>
        </w:rPr>
        <w:t>其中局长1名，副局长2名，正股级职数7名</w:t>
      </w:r>
      <w:r>
        <w:rPr>
          <w:rFonts w:hint="eastAsia" w:ascii="仿宋" w:hAnsi="仿宋" w:eastAsia="仿宋"/>
          <w:color w:val="000000"/>
          <w:sz w:val="32"/>
          <w:szCs w:val="32"/>
        </w:rPr>
        <w:t>，机关工勤编制4名。</w:t>
      </w:r>
      <w:r>
        <w:rPr>
          <w:rFonts w:hint="eastAsia" w:ascii="仿宋_GB2312" w:hAnsi="仿宋_GB2312" w:eastAsia="仿宋_GB2312" w:cs="仿宋_GB2312"/>
          <w:color w:val="000000"/>
          <w:kern w:val="0"/>
          <w:sz w:val="32"/>
          <w:szCs w:val="32"/>
          <w:shd w:val="clear" w:color="auto" w:fill="FFFFFF"/>
        </w:rPr>
        <w:t>局直属全额拨款事业单位编制19名，其中</w:t>
      </w:r>
      <w:r>
        <w:rPr>
          <w:rFonts w:hint="eastAsia" w:ascii="仿宋" w:hAnsi="仿宋" w:eastAsia="仿宋"/>
          <w:color w:val="000000"/>
          <w:sz w:val="32"/>
          <w:szCs w:val="32"/>
        </w:rPr>
        <w:t>道县科学技术事务中心6名、道县民营经济发展服务中心6名、道县湘源温泉风景区事务中心5名、道县工业企业改制事务中心2名（</w:t>
      </w:r>
      <w:r>
        <w:rPr>
          <w:rFonts w:hint="eastAsia" w:ascii="仿宋" w:hAnsi="仿宋" w:eastAsia="仿宋"/>
          <w:color w:val="000000"/>
          <w:sz w:val="32"/>
          <w:szCs w:val="32"/>
          <w:lang w:val="en-US" w:eastAsia="zh-CN"/>
        </w:rPr>
        <w:t>只</w:t>
      </w:r>
      <w:r>
        <w:rPr>
          <w:rFonts w:hint="eastAsia" w:ascii="仿宋" w:hAnsi="仿宋" w:eastAsia="仿宋"/>
          <w:color w:val="000000"/>
          <w:sz w:val="32"/>
          <w:szCs w:val="32"/>
        </w:rPr>
        <w:t>减</w:t>
      </w:r>
      <w:r>
        <w:rPr>
          <w:rFonts w:hint="eastAsia" w:ascii="仿宋" w:hAnsi="仿宋" w:eastAsia="仿宋"/>
          <w:color w:val="000000"/>
          <w:sz w:val="32"/>
          <w:szCs w:val="32"/>
          <w:lang w:val="en-US" w:eastAsia="zh-CN"/>
        </w:rPr>
        <w:t>不进</w:t>
      </w:r>
      <w:r>
        <w:rPr>
          <w:rFonts w:hint="eastAsia" w:ascii="仿宋" w:hAnsi="仿宋" w:eastAsia="仿宋"/>
          <w:color w:val="000000"/>
          <w:sz w:val="32"/>
          <w:szCs w:val="32"/>
        </w:rPr>
        <w:t>） 。</w:t>
      </w:r>
    </w:p>
    <w:p>
      <w:pPr>
        <w:pStyle w:val="11"/>
        <w:spacing w:line="56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11"/>
        <w:spacing w:line="560" w:lineRule="exact"/>
        <w:ind w:firstLine="640"/>
        <w:rPr>
          <w:rFonts w:hint="eastAsia" w:ascii="仿宋" w:hAnsi="仿宋" w:eastAsia="仿宋" w:cs="仿宋"/>
          <w:sz w:val="32"/>
          <w:szCs w:val="32"/>
        </w:rPr>
      </w:pPr>
      <w:r>
        <w:rPr>
          <w:rFonts w:hint="eastAsia" w:ascii="仿宋" w:hAnsi="仿宋" w:eastAsia="仿宋" w:cs="仿宋"/>
          <w:sz w:val="32"/>
          <w:szCs w:val="32"/>
          <w:lang w:eastAsia="zh-CN"/>
        </w:rPr>
        <w:t>道县科技和工业信息化局</w:t>
      </w:r>
      <w:r>
        <w:rPr>
          <w:rFonts w:hint="eastAsia" w:ascii="仿宋" w:hAnsi="仿宋" w:eastAsia="仿宋" w:cs="仿宋"/>
          <w:sz w:val="32"/>
          <w:szCs w:val="32"/>
        </w:rPr>
        <w:t>2025年支出决算数为</w:t>
      </w:r>
      <w:r>
        <w:rPr>
          <w:rFonts w:hint="eastAsia" w:ascii="仿宋" w:hAnsi="仿宋" w:eastAsia="仿宋" w:cs="仿宋"/>
          <w:sz w:val="32"/>
          <w:szCs w:val="32"/>
          <w:lang w:val="en-US" w:eastAsia="zh-CN"/>
        </w:rPr>
        <w:t>2976.43</w:t>
      </w:r>
      <w:r>
        <w:rPr>
          <w:rFonts w:hint="eastAsia" w:ascii="仿宋" w:hAnsi="仿宋" w:eastAsia="仿宋" w:cs="仿宋"/>
          <w:sz w:val="32"/>
          <w:szCs w:val="32"/>
        </w:rPr>
        <w:t>万元，详细情况如下：</w:t>
      </w:r>
    </w:p>
    <w:p>
      <w:pPr>
        <w:pStyle w:val="11"/>
        <w:spacing w:line="560" w:lineRule="exact"/>
        <w:ind w:firstLine="640"/>
        <w:rPr>
          <w:rFonts w:ascii="Times New Roman" w:hAnsi="Times New Roman" w:eastAsia="楷体_GB2312"/>
          <w:b/>
          <w:sz w:val="32"/>
          <w:szCs w:val="32"/>
        </w:rPr>
      </w:pPr>
      <w:r>
        <w:rPr>
          <w:rFonts w:ascii="Times New Roman" w:hAnsi="Times New Roman" w:eastAsia="楷体_GB2312"/>
          <w:b/>
          <w:sz w:val="32"/>
          <w:szCs w:val="32"/>
        </w:rPr>
        <w:t>（一）基本支出情况</w:t>
      </w:r>
    </w:p>
    <w:p>
      <w:pPr>
        <w:pStyle w:val="6"/>
        <w:numPr>
          <w:ilvl w:val="0"/>
          <w:numId w:val="0"/>
        </w:numPr>
        <w:shd w:val="clear" w:color="auto" w:fill="FFFFFF"/>
        <w:spacing w:before="0" w:beforeAutospacing="0" w:after="0" w:afterAutospacing="0" w:line="520" w:lineRule="atLeast"/>
        <w:ind w:firstLine="640" w:firstLineChars="200"/>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道县科技和工业信息化局</w:t>
      </w:r>
      <w:r>
        <w:rPr>
          <w:rFonts w:hint="eastAsia" w:ascii="仿宋" w:hAnsi="仿宋" w:eastAsia="仿宋" w:cs="Times New Roman"/>
          <w:color w:val="000000"/>
          <w:sz w:val="32"/>
          <w:szCs w:val="32"/>
        </w:rPr>
        <w:t>2025年基本支出</w:t>
      </w:r>
      <w:r>
        <w:rPr>
          <w:rFonts w:hint="eastAsia" w:ascii="仿宋" w:hAnsi="仿宋" w:eastAsia="仿宋" w:cs="Times New Roman"/>
          <w:color w:val="000000"/>
          <w:sz w:val="32"/>
          <w:szCs w:val="32"/>
          <w:lang w:val="en-US" w:eastAsia="zh-CN"/>
        </w:rPr>
        <w:t>786.56</w:t>
      </w:r>
      <w:r>
        <w:rPr>
          <w:rFonts w:hint="eastAsia" w:ascii="仿宋" w:hAnsi="仿宋" w:eastAsia="仿宋" w:cs="Times New Roman"/>
          <w:color w:val="000000"/>
          <w:sz w:val="32"/>
          <w:szCs w:val="32"/>
        </w:rPr>
        <w:t>万元，主要用于单位人员工资、社保费以及办公、差旅费、公务</w:t>
      </w:r>
      <w:r>
        <w:rPr>
          <w:rFonts w:hint="eastAsia" w:ascii="仿宋" w:hAnsi="仿宋" w:eastAsia="仿宋" w:cs="Times New Roman"/>
          <w:color w:val="000000"/>
          <w:sz w:val="32"/>
          <w:szCs w:val="32"/>
          <w:lang w:val="en-US" w:eastAsia="zh-CN"/>
        </w:rPr>
        <w:t>接待</w:t>
      </w:r>
      <w:r>
        <w:rPr>
          <w:rFonts w:hint="eastAsia" w:ascii="仿宋" w:hAnsi="仿宋" w:eastAsia="仿宋" w:cs="Times New Roman"/>
          <w:color w:val="000000"/>
          <w:sz w:val="32"/>
          <w:szCs w:val="32"/>
        </w:rPr>
        <w:t>费</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水电费</w:t>
      </w:r>
      <w:r>
        <w:rPr>
          <w:rFonts w:hint="eastAsia" w:ascii="仿宋" w:hAnsi="仿宋" w:eastAsia="仿宋" w:cs="Times New Roman"/>
          <w:color w:val="000000"/>
          <w:sz w:val="32"/>
          <w:szCs w:val="32"/>
        </w:rPr>
        <w:t>等</w:t>
      </w:r>
    </w:p>
    <w:p>
      <w:pPr>
        <w:pStyle w:val="11"/>
        <w:numPr>
          <w:ilvl w:val="0"/>
          <w:numId w:val="1"/>
        </w:numPr>
        <w:spacing w:line="560" w:lineRule="exact"/>
        <w:ind w:firstLine="640"/>
        <w:rPr>
          <w:rFonts w:ascii="Times New Roman" w:hAnsi="Times New Roman" w:eastAsia="楷体_GB2312"/>
          <w:b/>
          <w:sz w:val="32"/>
          <w:szCs w:val="32"/>
        </w:rPr>
      </w:pPr>
      <w:r>
        <w:rPr>
          <w:rFonts w:ascii="Times New Roman" w:hAnsi="Times New Roman" w:eastAsia="楷体_GB2312"/>
          <w:b/>
          <w:sz w:val="32"/>
          <w:szCs w:val="32"/>
        </w:rPr>
        <w:t>项目支出情况</w:t>
      </w:r>
    </w:p>
    <w:p>
      <w:pPr>
        <w:pStyle w:val="6"/>
        <w:shd w:val="clear" w:color="auto" w:fill="FFFFFF"/>
        <w:spacing w:before="0" w:beforeAutospacing="0" w:after="0" w:afterAutospacing="0" w:line="560" w:lineRule="exact"/>
        <w:ind w:firstLine="640" w:firstLineChars="200"/>
        <w:rPr>
          <w:rFonts w:hint="default" w:ascii="仿宋" w:hAnsi="仿宋" w:eastAsia="仿宋" w:cs="仿宋"/>
          <w:bCs/>
          <w:sz w:val="32"/>
          <w:szCs w:val="32"/>
          <w:lang w:val="en-US" w:eastAsia="zh-CN"/>
        </w:rPr>
      </w:pPr>
      <w:r>
        <w:rPr>
          <w:rFonts w:hint="eastAsia" w:ascii="仿宋" w:hAnsi="仿宋" w:eastAsia="仿宋" w:cs="仿宋"/>
          <w:bCs/>
          <w:sz w:val="32"/>
          <w:szCs w:val="32"/>
        </w:rPr>
        <w:t xml:space="preserve"> </w:t>
      </w:r>
      <w:r>
        <w:rPr>
          <w:rFonts w:hint="eastAsia" w:ascii="仿宋" w:hAnsi="仿宋" w:eastAsia="仿宋" w:cs="仿宋"/>
          <w:bCs/>
          <w:sz w:val="32"/>
          <w:szCs w:val="32"/>
          <w:lang w:eastAsia="zh-CN"/>
        </w:rPr>
        <w:t>道县科技和工业信息化局</w:t>
      </w:r>
      <w:r>
        <w:rPr>
          <w:rFonts w:hint="eastAsia" w:ascii="仿宋" w:hAnsi="仿宋" w:eastAsia="仿宋" w:cs="仿宋"/>
          <w:bCs/>
          <w:sz w:val="32"/>
          <w:szCs w:val="32"/>
        </w:rPr>
        <w:t>2025年项目</w:t>
      </w:r>
      <w:r>
        <w:rPr>
          <w:rFonts w:hint="eastAsia" w:ascii="仿宋" w:hAnsi="仿宋" w:eastAsia="仿宋" w:cs="仿宋"/>
          <w:bCs/>
          <w:sz w:val="32"/>
          <w:szCs w:val="32"/>
          <w:lang w:val="en-US" w:eastAsia="zh-CN"/>
        </w:rPr>
        <w:t>总</w:t>
      </w:r>
      <w:r>
        <w:rPr>
          <w:rFonts w:hint="eastAsia" w:ascii="仿宋" w:hAnsi="仿宋" w:eastAsia="仿宋" w:cs="仿宋"/>
          <w:bCs/>
          <w:sz w:val="32"/>
          <w:szCs w:val="32"/>
        </w:rPr>
        <w:t>支出</w:t>
      </w:r>
      <w:r>
        <w:rPr>
          <w:rFonts w:hint="eastAsia" w:ascii="仿宋" w:hAnsi="仿宋" w:eastAsia="仿宋" w:cs="仿宋"/>
          <w:bCs/>
          <w:sz w:val="32"/>
          <w:szCs w:val="32"/>
          <w:lang w:val="en-US" w:eastAsia="zh-CN"/>
        </w:rPr>
        <w:t>2189.88</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一般公共预算拨款为2149.14万元，</w:t>
      </w:r>
      <w:r>
        <w:rPr>
          <w:rFonts w:hint="eastAsia" w:ascii="仿宋" w:hAnsi="仿宋" w:eastAsia="仿宋" w:cs="仿宋"/>
          <w:bCs/>
          <w:sz w:val="32"/>
          <w:szCs w:val="32"/>
        </w:rPr>
        <w:t>主要</w:t>
      </w:r>
      <w:r>
        <w:rPr>
          <w:rFonts w:hint="eastAsia" w:ascii="仿宋" w:hAnsi="仿宋" w:eastAsia="仿宋" w:cs="仿宋"/>
          <w:bCs/>
          <w:sz w:val="32"/>
          <w:szCs w:val="32"/>
          <w:lang w:val="en-US" w:eastAsia="zh-CN"/>
        </w:rPr>
        <w:t>为1、企业研发财政奖补资金233.29万元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专精特新企业工作经费12.91万元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lang w:val="en-US" w:eastAsia="zh-CN"/>
        </w:rPr>
        <w:t>中央土壤污染防治资金（原道县化工厂地块土壤污染治理）496.70万元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lang w:val="en-US" w:eastAsia="zh-CN"/>
        </w:rPr>
        <w:t>2024年度第三批先进制造业高低建设专项资金559万元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25年第四批湖南省先进制造业高地建设专项资金</w:t>
      </w:r>
      <w:r>
        <w:rPr>
          <w:rFonts w:hint="eastAsia" w:ascii="仿宋" w:hAnsi="仿宋" w:eastAsia="仿宋" w:cs="仿宋"/>
          <w:bCs/>
          <w:sz w:val="32"/>
          <w:szCs w:val="32"/>
          <w:lang w:val="en-US" w:eastAsia="zh-CN"/>
        </w:rPr>
        <w:t>200万元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破产企业党政负责人2024年工资补助等款项</w:t>
      </w:r>
      <w:r>
        <w:rPr>
          <w:rFonts w:hint="eastAsia" w:ascii="仿宋" w:hAnsi="仿宋" w:eastAsia="仿宋" w:cs="仿宋"/>
          <w:bCs/>
          <w:sz w:val="32"/>
          <w:szCs w:val="32"/>
          <w:lang w:val="en-US" w:eastAsia="zh-CN"/>
        </w:rPr>
        <w:t>166.21万元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“创客中国”中小企业创新创业大赛工作经费及奖金</w:t>
      </w:r>
      <w:r>
        <w:rPr>
          <w:rFonts w:hint="eastAsia" w:ascii="仿宋" w:hAnsi="仿宋" w:eastAsia="仿宋" w:cs="仿宋"/>
          <w:bCs/>
          <w:sz w:val="32"/>
          <w:szCs w:val="32"/>
          <w:lang w:val="en-US" w:eastAsia="zh-CN"/>
        </w:rPr>
        <w:t>5万元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县糖厂、寿雁糖厂特殊工种职工提前退休待遇等款项（含国企改革工作经费）</w:t>
      </w:r>
      <w:r>
        <w:rPr>
          <w:rFonts w:hint="eastAsia" w:ascii="仿宋" w:hAnsi="仿宋" w:eastAsia="仿宋" w:cs="仿宋"/>
          <w:bCs/>
          <w:sz w:val="32"/>
          <w:szCs w:val="32"/>
          <w:lang w:val="en-US" w:eastAsia="zh-CN"/>
        </w:rPr>
        <w:t>386.97万元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防溺水短信服务费</w:t>
      </w:r>
      <w:r>
        <w:rPr>
          <w:rFonts w:hint="eastAsia" w:ascii="仿宋" w:hAnsi="仿宋" w:eastAsia="仿宋" w:cs="仿宋"/>
          <w:bCs/>
          <w:sz w:val="32"/>
          <w:szCs w:val="32"/>
          <w:lang w:val="en-US" w:eastAsia="zh-CN"/>
        </w:rPr>
        <w:t>3.46万元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24年全国中小企业运行监测填报人员工作经费</w:t>
      </w:r>
      <w:r>
        <w:rPr>
          <w:rFonts w:hint="eastAsia" w:ascii="仿宋" w:hAnsi="仿宋" w:eastAsia="仿宋" w:cs="仿宋"/>
          <w:bCs/>
          <w:sz w:val="32"/>
          <w:szCs w:val="32"/>
          <w:lang w:val="en-US" w:eastAsia="zh-CN"/>
        </w:rPr>
        <w:t>3.6万元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2024年湖南省中小企业发展专项资金</w:t>
      </w:r>
      <w:r>
        <w:rPr>
          <w:rFonts w:hint="eastAsia" w:ascii="仿宋" w:hAnsi="仿宋" w:eastAsia="仿宋" w:cs="仿宋"/>
          <w:bCs/>
          <w:sz w:val="32"/>
          <w:szCs w:val="32"/>
          <w:lang w:val="en-US" w:eastAsia="zh-CN"/>
        </w:rPr>
        <w:t>65万元</w:t>
      </w:r>
    </w:p>
    <w:p>
      <w:pPr>
        <w:pStyle w:val="6"/>
        <w:numPr>
          <w:ilvl w:val="0"/>
          <w:numId w:val="2"/>
        </w:numPr>
        <w:shd w:val="clear" w:color="auto" w:fill="FFFFFF"/>
        <w:spacing w:before="0" w:beforeAutospacing="0" w:after="0" w:afterAutospacing="0"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中小企业发展和管理信息（规工入统、省创新型中小企业、国家级小巨人、企业创新研发等）第三方培训服务费</w:t>
      </w:r>
      <w:r>
        <w:rPr>
          <w:rFonts w:hint="eastAsia" w:ascii="仿宋" w:hAnsi="仿宋" w:eastAsia="仿宋" w:cs="仿宋"/>
          <w:bCs/>
          <w:sz w:val="32"/>
          <w:szCs w:val="32"/>
          <w:lang w:val="en-US" w:eastAsia="zh-CN"/>
        </w:rPr>
        <w:t>17万元</w:t>
      </w:r>
    </w:p>
    <w:p>
      <w:pPr>
        <w:pStyle w:val="11"/>
        <w:spacing w:line="560" w:lineRule="exact"/>
        <w:ind w:left="630" w:firstLine="0" w:firstLineChars="0"/>
        <w:rPr>
          <w:rFonts w:ascii="Times New Roman" w:hAnsi="Times New Roman" w:eastAsia="黑体"/>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p>
    <w:p>
      <w:pPr>
        <w:pStyle w:val="11"/>
        <w:spacing w:line="560" w:lineRule="exact"/>
        <w:ind w:firstLine="640"/>
        <w:rPr>
          <w:rFonts w:hint="default" w:ascii="仿宋" w:hAnsi="仿宋" w:eastAsia="仿宋" w:cs="仿宋"/>
          <w:sz w:val="32"/>
          <w:szCs w:val="32"/>
          <w:lang w:val="en-US" w:eastAsia="zh-CN"/>
        </w:rPr>
      </w:pPr>
      <w:r>
        <w:rPr>
          <w:rFonts w:hint="eastAsia" w:ascii="仿宋" w:hAnsi="仿宋" w:eastAsia="仿宋" w:cs="仿宋"/>
          <w:sz w:val="32"/>
          <w:szCs w:val="32"/>
        </w:rPr>
        <w:t>2025年度政府性基金预算支出</w:t>
      </w:r>
      <w:r>
        <w:rPr>
          <w:rFonts w:hint="eastAsia" w:ascii="仿宋" w:hAnsi="仿宋" w:eastAsia="仿宋" w:cs="仿宋"/>
          <w:sz w:val="32"/>
          <w:szCs w:val="32"/>
          <w:lang w:val="en-US" w:eastAsia="zh-CN"/>
        </w:rPr>
        <w:t>40.74</w:t>
      </w:r>
      <w:r>
        <w:rPr>
          <w:rFonts w:hint="eastAsia" w:ascii="仿宋" w:hAnsi="仿宋" w:eastAsia="仿宋" w:cs="仿宋"/>
          <w:sz w:val="32"/>
          <w:szCs w:val="32"/>
        </w:rPr>
        <w:t>万元。</w:t>
      </w:r>
      <w:r>
        <w:rPr>
          <w:rFonts w:hint="eastAsia" w:ascii="仿宋" w:hAnsi="仿宋" w:eastAsia="仿宋" w:cs="仿宋"/>
          <w:sz w:val="32"/>
          <w:szCs w:val="32"/>
          <w:lang w:val="en-US" w:eastAsia="zh-CN"/>
        </w:rPr>
        <w:t>主要用于老旧小区改造资金。</w:t>
      </w:r>
    </w:p>
    <w:p>
      <w:pPr>
        <w:pStyle w:val="11"/>
        <w:spacing w:line="560" w:lineRule="exact"/>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国有资本经营预算支出情况</w:t>
      </w:r>
    </w:p>
    <w:p>
      <w:pPr>
        <w:pStyle w:val="11"/>
        <w:spacing w:line="560" w:lineRule="exact"/>
        <w:ind w:left="630" w:firstLine="0" w:firstLineChars="0"/>
        <w:rPr>
          <w:rFonts w:hint="eastAsia" w:ascii="仿宋" w:hAnsi="仿宋" w:eastAsia="仿宋" w:cs="仿宋"/>
          <w:sz w:val="32"/>
          <w:szCs w:val="32"/>
        </w:rPr>
      </w:pPr>
      <w:r>
        <w:rPr>
          <w:rFonts w:hint="eastAsia" w:ascii="仿宋" w:hAnsi="仿宋" w:eastAsia="仿宋" w:cs="仿宋"/>
          <w:sz w:val="32"/>
          <w:szCs w:val="32"/>
        </w:rPr>
        <w:t>2025年度无国有资本经营预算支出。</w:t>
      </w:r>
      <w:bookmarkStart w:id="0" w:name="_GoBack"/>
      <w:bookmarkEnd w:id="0"/>
    </w:p>
    <w:p>
      <w:pPr>
        <w:pStyle w:val="11"/>
        <w:spacing w:line="560" w:lineRule="exact"/>
        <w:ind w:left="630" w:firstLine="0" w:firstLineChars="0"/>
        <w:rPr>
          <w:rFonts w:ascii="Times New Roman" w:hAnsi="Times New Roman" w:eastAsia="黑体"/>
          <w:sz w:val="32"/>
          <w:szCs w:val="32"/>
        </w:rPr>
      </w:pPr>
      <w:r>
        <w:rPr>
          <w:rFonts w:hint="eastAsia" w:ascii="Times New Roman" w:hAnsi="Times New Roman" w:eastAsia="黑体"/>
          <w:sz w:val="32"/>
          <w:szCs w:val="32"/>
        </w:rPr>
        <w:t>五、</w:t>
      </w:r>
      <w:r>
        <w:rPr>
          <w:rFonts w:ascii="Times New Roman" w:hAnsi="Times New Roman" w:eastAsia="黑体"/>
          <w:sz w:val="32"/>
          <w:szCs w:val="32"/>
        </w:rPr>
        <w:t>社会保险基金预算支出情况</w:t>
      </w:r>
    </w:p>
    <w:p>
      <w:pPr>
        <w:pStyle w:val="11"/>
        <w:spacing w:line="560" w:lineRule="exact"/>
        <w:ind w:left="630" w:firstLine="0" w:firstLineChars="0"/>
        <w:rPr>
          <w:rFonts w:hint="eastAsia" w:ascii="仿宋" w:hAnsi="仿宋" w:eastAsia="仿宋" w:cs="仿宋"/>
          <w:sz w:val="32"/>
          <w:szCs w:val="32"/>
        </w:rPr>
      </w:pPr>
      <w:r>
        <w:rPr>
          <w:rFonts w:hint="eastAsia" w:ascii="仿宋" w:hAnsi="仿宋" w:eastAsia="仿宋" w:cs="仿宋"/>
          <w:sz w:val="32"/>
          <w:szCs w:val="32"/>
        </w:rPr>
        <w:t>2025年度无社会保险基金预算支出。</w:t>
      </w:r>
    </w:p>
    <w:p>
      <w:pPr>
        <w:spacing w:line="560" w:lineRule="exact"/>
        <w:ind w:firstLine="640" w:firstLineChars="200"/>
        <w:rPr>
          <w:rFonts w:eastAsia="黑体"/>
          <w:sz w:val="32"/>
          <w:szCs w:val="32"/>
        </w:rPr>
      </w:pPr>
      <w:r>
        <w:rPr>
          <w:rFonts w:eastAsia="黑体"/>
          <w:sz w:val="32"/>
          <w:szCs w:val="32"/>
        </w:rPr>
        <w:t>六、</w:t>
      </w:r>
      <w:r>
        <w:rPr>
          <w:rFonts w:hint="eastAsia" w:eastAsia="黑体"/>
          <w:sz w:val="32"/>
          <w:szCs w:val="32"/>
        </w:rPr>
        <w:t>其他资金支出情况</w:t>
      </w:r>
    </w:p>
    <w:p>
      <w:pPr>
        <w:pStyle w:val="11"/>
        <w:spacing w:line="560" w:lineRule="exact"/>
        <w:ind w:left="630" w:firstLine="0" w:firstLineChars="0"/>
        <w:rPr>
          <w:rFonts w:hint="eastAsia" w:ascii="仿宋" w:hAnsi="仿宋" w:eastAsia="仿宋" w:cs="仿宋"/>
          <w:sz w:val="32"/>
          <w:szCs w:val="32"/>
        </w:rPr>
      </w:pPr>
      <w:r>
        <w:rPr>
          <w:rFonts w:hint="eastAsia" w:ascii="仿宋" w:hAnsi="仿宋" w:eastAsia="仿宋" w:cs="仿宋"/>
          <w:sz w:val="32"/>
          <w:szCs w:val="32"/>
        </w:rPr>
        <w:t>2025年度</w:t>
      </w:r>
      <w:r>
        <w:rPr>
          <w:rFonts w:hint="eastAsia" w:ascii="仿宋" w:hAnsi="仿宋" w:eastAsia="仿宋" w:cs="仿宋"/>
          <w:sz w:val="32"/>
          <w:szCs w:val="32"/>
          <w:lang w:val="en-US" w:eastAsia="zh-CN"/>
        </w:rPr>
        <w:t>无</w:t>
      </w:r>
      <w:r>
        <w:rPr>
          <w:rFonts w:hint="eastAsia" w:ascii="仿宋" w:hAnsi="仿宋" w:eastAsia="仿宋" w:cs="仿宋"/>
          <w:sz w:val="32"/>
          <w:szCs w:val="32"/>
        </w:rPr>
        <w:t>其他资金</w:t>
      </w:r>
      <w:r>
        <w:rPr>
          <w:rFonts w:hint="eastAsia" w:ascii="仿宋" w:hAnsi="仿宋" w:eastAsia="仿宋" w:cs="仿宋"/>
          <w:sz w:val="32"/>
          <w:szCs w:val="32"/>
          <w:lang w:val="en-US" w:eastAsia="zh-CN"/>
        </w:rPr>
        <w:t>预算支出</w:t>
      </w:r>
      <w:r>
        <w:rPr>
          <w:rFonts w:hint="eastAsia" w:ascii="仿宋" w:hAnsi="仿宋" w:eastAsia="仿宋" w:cs="仿宋"/>
          <w:sz w:val="32"/>
          <w:szCs w:val="32"/>
        </w:rPr>
        <w:t>。</w:t>
      </w:r>
    </w:p>
    <w:p>
      <w:pPr>
        <w:spacing w:line="560" w:lineRule="exact"/>
        <w:ind w:firstLine="640" w:firstLineChars="200"/>
        <w:rPr>
          <w:rFonts w:eastAsia="黑体"/>
          <w:sz w:val="32"/>
          <w:szCs w:val="32"/>
        </w:rPr>
      </w:pPr>
      <w:r>
        <w:rPr>
          <w:rFonts w:hint="eastAsia" w:eastAsia="黑体"/>
          <w:sz w:val="32"/>
          <w:szCs w:val="32"/>
        </w:rPr>
        <w:t>七、</w:t>
      </w:r>
      <w:r>
        <w:rPr>
          <w:rFonts w:eastAsia="黑体"/>
          <w:sz w:val="32"/>
          <w:szCs w:val="32"/>
        </w:rPr>
        <w:t>部门整体支出绩效情况</w:t>
      </w:r>
    </w:p>
    <w:p>
      <w:pPr>
        <w:spacing w:line="560" w:lineRule="exact"/>
        <w:ind w:firstLine="642" w:firstLineChars="200"/>
        <w:rPr>
          <w:rFonts w:hint="eastAsia" w:ascii="楷体" w:hAnsi="楷体" w:eastAsia="楷体" w:cs="楷体"/>
          <w:b/>
          <w:bCs/>
          <w:sz w:val="32"/>
          <w:szCs w:val="32"/>
        </w:rPr>
      </w:pPr>
      <w:r>
        <w:rPr>
          <w:rFonts w:hint="eastAsia" w:ascii="楷体" w:hAnsi="楷体" w:eastAsia="楷体" w:cs="楷体"/>
          <w:b/>
          <w:bCs/>
          <w:sz w:val="32"/>
          <w:szCs w:val="32"/>
        </w:rPr>
        <w:t>（一）运行成本方面</w:t>
      </w:r>
    </w:p>
    <w:p>
      <w:pPr>
        <w:spacing w:line="560" w:lineRule="exact"/>
        <w:ind w:firstLine="640" w:firstLineChars="200"/>
        <w:rPr>
          <w:rFonts w:hint="eastAsia" w:ascii="仿宋" w:hAnsi="仿宋" w:eastAsia="仿宋"/>
          <w:sz w:val="32"/>
          <w:szCs w:val="32"/>
        </w:rPr>
      </w:pPr>
      <w:r>
        <w:rPr>
          <w:rFonts w:hint="eastAsia" w:ascii="仿宋" w:hAnsi="仿宋" w:eastAsia="仿宋" w:cs="仿宋"/>
          <w:sz w:val="32"/>
          <w:szCs w:val="32"/>
        </w:rPr>
        <w:t>严格按照财政批复的预算支出，无超预算项目支出。</w:t>
      </w:r>
    </w:p>
    <w:p>
      <w:pPr>
        <w:spacing w:line="560" w:lineRule="exact"/>
        <w:ind w:firstLine="642" w:firstLineChars="200"/>
        <w:rPr>
          <w:rFonts w:hint="eastAsia" w:ascii="楷体" w:hAnsi="楷体" w:eastAsia="楷体" w:cs="楷体"/>
          <w:b/>
          <w:bCs/>
          <w:sz w:val="32"/>
          <w:szCs w:val="32"/>
        </w:rPr>
      </w:pPr>
      <w:r>
        <w:rPr>
          <w:rFonts w:hint="eastAsia" w:ascii="楷体" w:hAnsi="楷体" w:eastAsia="楷体" w:cs="楷体"/>
          <w:b/>
          <w:bCs/>
          <w:sz w:val="32"/>
          <w:szCs w:val="32"/>
        </w:rPr>
        <w:t>（二）管理效率方面</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按照县财政批复的用款计划支付报账资金，积极与县财政国库协调资金支付业务，极力优先保障单位重点资金支付。</w:t>
      </w:r>
    </w:p>
    <w:p>
      <w:pPr>
        <w:spacing w:line="560" w:lineRule="exact"/>
        <w:ind w:firstLine="642" w:firstLineChars="200"/>
        <w:rPr>
          <w:rFonts w:hint="eastAsia" w:ascii="楷体" w:hAnsi="楷体" w:eastAsia="楷体" w:cs="楷体"/>
          <w:b/>
          <w:bCs/>
          <w:sz w:val="32"/>
          <w:szCs w:val="32"/>
        </w:rPr>
      </w:pPr>
      <w:r>
        <w:rPr>
          <w:rFonts w:hint="eastAsia" w:ascii="楷体" w:hAnsi="楷体" w:eastAsia="楷体" w:cs="楷体"/>
          <w:b/>
          <w:bCs/>
          <w:sz w:val="32"/>
          <w:szCs w:val="32"/>
        </w:rPr>
        <w:t>（三）履职效能方面</w:t>
      </w:r>
    </w:p>
    <w:p>
      <w:pPr>
        <w:keepNext w:val="0"/>
        <w:keepLines w:val="0"/>
        <w:pageBreakBefore w:val="0"/>
        <w:widowControl/>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val="0"/>
          <w:i w:val="0"/>
          <w:strike w:val="0"/>
          <w:sz w:val="32"/>
          <w:szCs w:val="32"/>
        </w:rPr>
        <w:t>2025年，在市局精心指导和县委政府坚强领导下，锚定“三高四新”战略定位，围绕“一主一特一新”现代产业体系，攻坚克难，推动全县工业经济在稳增长中提质增效。</w:t>
      </w:r>
    </w:p>
    <w:p>
      <w:pPr>
        <w:keepNext w:val="0"/>
        <w:keepLines w:val="0"/>
        <w:pageBreakBefore w:val="0"/>
        <w:widowControl/>
        <w:kinsoku/>
        <w:wordWrap/>
        <w:overflowPunct/>
        <w:topLinePunct w:val="0"/>
        <w:autoSpaceDE/>
        <w:autoSpaceDN/>
        <w:bidi w:val="0"/>
        <w:adjustRightInd/>
        <w:snapToGrid/>
        <w:spacing w:after="0" w:line="540" w:lineRule="exact"/>
        <w:ind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1.</w:t>
      </w:r>
      <w:r>
        <w:rPr>
          <w:rFonts w:hint="eastAsia" w:ascii="仿宋" w:hAnsi="仿宋" w:eastAsia="仿宋" w:cs="仿宋"/>
          <w:b/>
          <w:bCs/>
          <w:i w:val="0"/>
          <w:strike w:val="0"/>
          <w:sz w:val="32"/>
          <w:szCs w:val="32"/>
        </w:rPr>
        <w:t>工业经济运行总体平稳。</w:t>
      </w:r>
      <w:r>
        <w:rPr>
          <w:rFonts w:hint="eastAsia" w:ascii="仿宋" w:hAnsi="仿宋" w:eastAsia="仿宋" w:cs="仿宋"/>
          <w:b w:val="0"/>
          <w:i w:val="0"/>
          <w:strike w:val="0"/>
          <w:sz w:val="32"/>
          <w:szCs w:val="32"/>
        </w:rPr>
        <w:t>全县159家规模工业企业累计完成总产值210.95亿元，同比增长9.19%；规模工业增加值增长8.3%，</w:t>
      </w:r>
      <w:r>
        <w:rPr>
          <w:rFonts w:hint="eastAsia" w:ascii="仿宋" w:hAnsi="仿宋" w:eastAsia="仿宋" w:cs="仿宋"/>
          <w:b w:val="0"/>
          <w:i w:val="0"/>
          <w:strike w:val="0"/>
          <w:sz w:val="32"/>
          <w:szCs w:val="32"/>
          <w:lang w:val="en-US" w:eastAsia="zh-CN"/>
        </w:rPr>
        <w:t>排</w:t>
      </w:r>
      <w:r>
        <w:rPr>
          <w:rFonts w:hint="eastAsia" w:ascii="仿宋" w:hAnsi="仿宋" w:eastAsia="仿宋" w:cs="仿宋"/>
          <w:b w:val="0"/>
          <w:i w:val="0"/>
          <w:strike w:val="0"/>
          <w:sz w:val="32"/>
          <w:szCs w:val="32"/>
        </w:rPr>
        <w:t>全市</w:t>
      </w:r>
      <w:r>
        <w:rPr>
          <w:rFonts w:hint="eastAsia" w:ascii="仿宋" w:hAnsi="仿宋" w:eastAsia="仿宋" w:cs="仿宋"/>
          <w:b w:val="0"/>
          <w:i w:val="0"/>
          <w:strike w:val="0"/>
          <w:sz w:val="32"/>
          <w:szCs w:val="32"/>
          <w:lang w:val="en-US" w:eastAsia="zh-CN"/>
        </w:rPr>
        <w:t>第五</w:t>
      </w:r>
      <w:r>
        <w:rPr>
          <w:rFonts w:hint="eastAsia" w:ascii="仿宋" w:hAnsi="仿宋" w:eastAsia="仿宋" w:cs="仿宋"/>
          <w:b w:val="0"/>
          <w:i w:val="0"/>
          <w:strike w:val="0"/>
          <w:sz w:val="32"/>
          <w:szCs w:val="32"/>
        </w:rPr>
        <w:t>。工业固定资产投资与技改投资虽面临压力，但我们着力优化结构，技改投资增速排全市第</w:t>
      </w:r>
      <w:r>
        <w:rPr>
          <w:rFonts w:hint="eastAsia" w:ascii="仿宋" w:hAnsi="仿宋" w:eastAsia="仿宋" w:cs="仿宋"/>
          <w:b w:val="0"/>
          <w:i w:val="0"/>
          <w:strike w:val="0"/>
          <w:sz w:val="32"/>
          <w:szCs w:val="32"/>
          <w:lang w:val="en-US" w:eastAsia="zh-CN"/>
        </w:rPr>
        <w:t>四</w:t>
      </w:r>
      <w:r>
        <w:rPr>
          <w:rFonts w:hint="eastAsia" w:ascii="仿宋" w:hAnsi="仿宋" w:eastAsia="仿宋" w:cs="仿宋"/>
          <w:b w:val="0"/>
          <w:i w:val="0"/>
          <w:strike w:val="0"/>
          <w:sz w:val="32"/>
          <w:szCs w:val="32"/>
        </w:rPr>
        <w:t>。</w:t>
      </w:r>
    </w:p>
    <w:p>
      <w:pPr>
        <w:keepNext w:val="0"/>
        <w:keepLines w:val="0"/>
        <w:pageBreakBefore w:val="0"/>
        <w:widowControl/>
        <w:kinsoku/>
        <w:wordWrap/>
        <w:overflowPunct/>
        <w:topLinePunct w:val="0"/>
        <w:autoSpaceDE/>
        <w:autoSpaceDN/>
        <w:bidi w:val="0"/>
        <w:adjustRightInd/>
        <w:snapToGrid/>
        <w:spacing w:after="0" w:line="540" w:lineRule="exact"/>
        <w:ind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2.</w:t>
      </w:r>
      <w:r>
        <w:rPr>
          <w:rFonts w:hint="eastAsia" w:ascii="仿宋" w:hAnsi="仿宋" w:eastAsia="仿宋" w:cs="仿宋"/>
          <w:b/>
          <w:bCs/>
          <w:i w:val="0"/>
          <w:strike w:val="0"/>
          <w:sz w:val="32"/>
          <w:szCs w:val="32"/>
        </w:rPr>
        <w:t>产业集聚发展势头强劲。</w:t>
      </w:r>
      <w:r>
        <w:rPr>
          <w:rFonts w:hint="eastAsia" w:ascii="仿宋" w:hAnsi="仿宋" w:eastAsia="仿宋" w:cs="仿宋"/>
          <w:b w:val="0"/>
          <w:i w:val="0"/>
          <w:strike w:val="0"/>
          <w:sz w:val="32"/>
          <w:szCs w:val="32"/>
        </w:rPr>
        <w:t>电子信息主导产业集聚企业86家，产值达87.7亿元，获评特色产业集群。智能装备制造形成全省完整数控机床集群，集聚企业52家。新能源新材料产业快速崛起，以锂电为核心培育企业20余家。紫金锂业</w:t>
      </w:r>
      <w:r>
        <w:rPr>
          <w:rFonts w:hint="eastAsia" w:ascii="仿宋" w:hAnsi="仿宋" w:eastAsia="仿宋" w:cs="仿宋"/>
          <w:b w:val="0"/>
          <w:i w:val="0"/>
          <w:strike w:val="0"/>
          <w:sz w:val="32"/>
          <w:szCs w:val="32"/>
          <w:lang w:val="en-US" w:eastAsia="zh-CN"/>
        </w:rPr>
        <w:t>采选冶一体化</w:t>
      </w:r>
      <w:r>
        <w:rPr>
          <w:rFonts w:hint="eastAsia" w:ascii="仿宋" w:hAnsi="仿宋" w:eastAsia="仿宋" w:cs="仿宋"/>
          <w:b w:val="0"/>
          <w:i w:val="0"/>
          <w:strike w:val="0"/>
          <w:sz w:val="32"/>
          <w:szCs w:val="32"/>
        </w:rPr>
        <w:t>项目列为省、市重点，2025年</w:t>
      </w:r>
      <w:r>
        <w:rPr>
          <w:rFonts w:hint="eastAsia" w:ascii="仿宋" w:hAnsi="仿宋" w:eastAsia="仿宋" w:cs="仿宋"/>
          <w:b w:val="0"/>
          <w:i w:val="0"/>
          <w:strike w:val="0"/>
          <w:sz w:val="32"/>
          <w:szCs w:val="32"/>
          <w:lang w:val="en-US" w:eastAsia="zh-CN"/>
        </w:rPr>
        <w:t>12</w:t>
      </w:r>
      <w:r>
        <w:rPr>
          <w:rFonts w:hint="eastAsia" w:ascii="仿宋" w:hAnsi="仿宋" w:eastAsia="仿宋" w:cs="仿宋"/>
          <w:b w:val="0"/>
          <w:i w:val="0"/>
          <w:strike w:val="0"/>
          <w:sz w:val="32"/>
          <w:szCs w:val="32"/>
        </w:rPr>
        <w:t>月点火</w:t>
      </w:r>
      <w:r>
        <w:rPr>
          <w:rFonts w:hint="eastAsia" w:ascii="仿宋" w:hAnsi="仿宋" w:eastAsia="仿宋" w:cs="仿宋"/>
          <w:b w:val="0"/>
          <w:i w:val="0"/>
          <w:strike w:val="0"/>
          <w:sz w:val="32"/>
          <w:szCs w:val="32"/>
          <w:lang w:val="en-US" w:eastAsia="zh-CN"/>
        </w:rPr>
        <w:t>投</w:t>
      </w:r>
      <w:r>
        <w:rPr>
          <w:rFonts w:hint="eastAsia" w:ascii="仿宋" w:hAnsi="仿宋" w:eastAsia="仿宋" w:cs="仿宋"/>
          <w:b w:val="0"/>
          <w:i w:val="0"/>
          <w:strike w:val="0"/>
          <w:sz w:val="32"/>
          <w:szCs w:val="32"/>
        </w:rPr>
        <w:t>产</w:t>
      </w:r>
      <w:r>
        <w:rPr>
          <w:rFonts w:hint="eastAsia" w:ascii="仿宋" w:hAnsi="仿宋" w:eastAsia="仿宋" w:cs="仿宋"/>
          <w:b w:val="0"/>
          <w:i w:val="0"/>
          <w:strike w:val="0"/>
          <w:sz w:val="32"/>
          <w:szCs w:val="32"/>
          <w:lang w:eastAsia="zh-CN"/>
        </w:rPr>
        <w:t>，</w:t>
      </w:r>
      <w:r>
        <w:rPr>
          <w:rFonts w:hint="eastAsia" w:ascii="仿宋" w:hAnsi="仿宋" w:eastAsia="仿宋" w:cs="仿宋"/>
          <w:b w:val="0"/>
          <w:i w:val="0"/>
          <w:strike w:val="0"/>
          <w:sz w:val="32"/>
          <w:szCs w:val="32"/>
        </w:rPr>
        <w:t>创造了项目建设的“</w:t>
      </w:r>
      <w:r>
        <w:rPr>
          <w:rFonts w:hint="eastAsia" w:ascii="仿宋" w:hAnsi="仿宋" w:eastAsia="仿宋" w:cs="仿宋"/>
          <w:b w:val="0"/>
          <w:i w:val="0"/>
          <w:strike w:val="0"/>
          <w:sz w:val="32"/>
          <w:szCs w:val="32"/>
          <w:lang w:val="en-US" w:eastAsia="zh-CN"/>
        </w:rPr>
        <w:t>永州速度、道县经验、紫金效率</w:t>
      </w:r>
      <w:r>
        <w:rPr>
          <w:rFonts w:hint="eastAsia" w:ascii="仿宋" w:hAnsi="仿宋" w:eastAsia="仿宋" w:cs="仿宋"/>
          <w:b w:val="0"/>
          <w:i w:val="0"/>
          <w:strike w:val="0"/>
          <w:sz w:val="32"/>
          <w:szCs w:val="32"/>
        </w:rPr>
        <w:t>”。</w:t>
      </w:r>
    </w:p>
    <w:p>
      <w:pPr>
        <w:keepNext w:val="0"/>
        <w:keepLines w:val="0"/>
        <w:pageBreakBefore w:val="0"/>
        <w:widowControl/>
        <w:kinsoku/>
        <w:wordWrap/>
        <w:overflowPunct/>
        <w:topLinePunct w:val="0"/>
        <w:autoSpaceDE/>
        <w:autoSpaceDN/>
        <w:bidi w:val="0"/>
        <w:adjustRightInd/>
        <w:snapToGrid/>
        <w:spacing w:after="0" w:line="540" w:lineRule="exact"/>
        <w:ind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3.</w:t>
      </w:r>
      <w:r>
        <w:rPr>
          <w:rFonts w:hint="eastAsia" w:ascii="仿宋" w:hAnsi="仿宋" w:eastAsia="仿宋" w:cs="仿宋"/>
          <w:b/>
          <w:bCs/>
          <w:i w:val="0"/>
          <w:strike w:val="0"/>
          <w:sz w:val="32"/>
          <w:szCs w:val="32"/>
        </w:rPr>
        <w:t>企业创新</w:t>
      </w:r>
      <w:r>
        <w:rPr>
          <w:rFonts w:hint="eastAsia" w:ascii="仿宋" w:hAnsi="仿宋" w:eastAsia="仿宋" w:cs="仿宋"/>
          <w:b/>
          <w:bCs/>
          <w:i w:val="0"/>
          <w:strike w:val="0"/>
          <w:sz w:val="32"/>
          <w:szCs w:val="32"/>
          <w:lang w:val="en-US" w:eastAsia="zh-CN"/>
        </w:rPr>
        <w:t>能力稳步</w:t>
      </w:r>
      <w:r>
        <w:rPr>
          <w:rFonts w:hint="eastAsia" w:ascii="仿宋" w:hAnsi="仿宋" w:eastAsia="仿宋" w:cs="仿宋"/>
          <w:b/>
          <w:bCs/>
          <w:i w:val="0"/>
          <w:strike w:val="0"/>
          <w:sz w:val="32"/>
          <w:szCs w:val="32"/>
        </w:rPr>
        <w:t>提升。</w:t>
      </w:r>
      <w:r>
        <w:rPr>
          <w:rFonts w:hint="eastAsia" w:ascii="仿宋" w:hAnsi="仿宋" w:eastAsia="仿宋" w:cs="仿宋"/>
          <w:b w:val="0"/>
          <w:i w:val="0"/>
          <w:strike w:val="0"/>
          <w:sz w:val="32"/>
          <w:szCs w:val="32"/>
          <w:lang w:val="en-US" w:eastAsia="zh-CN"/>
        </w:rPr>
        <w:t>智能化改造提速，培育智能工厂9家、智能车间21个，</w:t>
      </w:r>
      <w:r>
        <w:rPr>
          <w:rFonts w:hint="eastAsia" w:ascii="仿宋" w:hAnsi="仿宋" w:eastAsia="仿宋" w:cs="仿宋"/>
          <w:b w:val="0"/>
          <w:i w:val="0"/>
          <w:strike w:val="0"/>
          <w:sz w:val="32"/>
          <w:szCs w:val="32"/>
        </w:rPr>
        <w:t>新增省级专精特新中小企业7家，国家级专精特新“小巨人”企业1家（复核）。三湘源电子、冉旭新能源被认定为省级先进级智能工厂。全县规上企业智能化改造占比达93.7%，企业上云全覆盖，上平台企业达45家。全年争取上级项目资金1154万元，创历史新高，其中建顺电子项目成功申报省首套件支持项目。</w:t>
      </w:r>
    </w:p>
    <w:p>
      <w:pPr>
        <w:keepNext w:val="0"/>
        <w:keepLines w:val="0"/>
        <w:pageBreakBefore w:val="0"/>
        <w:widowControl/>
        <w:kinsoku/>
        <w:wordWrap/>
        <w:overflowPunct/>
        <w:topLinePunct w:val="0"/>
        <w:autoSpaceDE/>
        <w:autoSpaceDN/>
        <w:bidi w:val="0"/>
        <w:adjustRightInd/>
        <w:snapToGrid/>
        <w:spacing w:after="0" w:line="540" w:lineRule="exact"/>
        <w:ind w:left="0"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i w:val="0"/>
          <w:strike w:val="0"/>
          <w:sz w:val="32"/>
          <w:szCs w:val="32"/>
          <w:lang w:val="en-US" w:eastAsia="zh-CN"/>
        </w:rPr>
        <w:t>4.</w:t>
      </w:r>
      <w:r>
        <w:rPr>
          <w:rFonts w:hint="eastAsia" w:ascii="仿宋" w:hAnsi="仿宋" w:eastAsia="仿宋" w:cs="仿宋"/>
          <w:b/>
          <w:i w:val="0"/>
          <w:strike w:val="0"/>
          <w:sz w:val="32"/>
          <w:szCs w:val="32"/>
        </w:rPr>
        <w:t>要素保障</w:t>
      </w:r>
      <w:r>
        <w:rPr>
          <w:rFonts w:hint="eastAsia" w:ascii="仿宋" w:hAnsi="仿宋" w:eastAsia="仿宋" w:cs="仿宋"/>
          <w:b/>
          <w:i w:val="0"/>
          <w:strike w:val="0"/>
          <w:sz w:val="32"/>
          <w:szCs w:val="32"/>
          <w:lang w:val="en-US" w:eastAsia="zh-CN"/>
        </w:rPr>
        <w:t>措施</w:t>
      </w:r>
      <w:r>
        <w:rPr>
          <w:rFonts w:hint="eastAsia" w:ascii="仿宋" w:hAnsi="仿宋" w:eastAsia="仿宋" w:cs="仿宋"/>
          <w:b/>
          <w:i w:val="0"/>
          <w:strike w:val="0"/>
          <w:sz w:val="32"/>
          <w:szCs w:val="32"/>
        </w:rPr>
        <w:t>持续完善</w:t>
      </w:r>
      <w:r>
        <w:rPr>
          <w:rFonts w:hint="eastAsia" w:ascii="仿宋" w:hAnsi="仿宋" w:eastAsia="仿宋" w:cs="仿宋"/>
          <w:b/>
          <w:i w:val="0"/>
          <w:strike w:val="0"/>
          <w:sz w:val="32"/>
          <w:szCs w:val="32"/>
          <w:lang w:eastAsia="zh-CN"/>
        </w:rPr>
        <w:t>。</w:t>
      </w:r>
      <w:r>
        <w:rPr>
          <w:rFonts w:hint="eastAsia" w:ascii="仿宋" w:hAnsi="仿宋" w:eastAsia="仿宋" w:cs="仿宋"/>
          <w:b w:val="0"/>
          <w:i w:val="0"/>
          <w:strike w:val="0"/>
          <w:sz w:val="32"/>
          <w:szCs w:val="32"/>
        </w:rPr>
        <w:t>园区承载力增强，配套设施日益完善。</w:t>
      </w:r>
      <w:r>
        <w:rPr>
          <w:rFonts w:hint="eastAsia" w:ascii="仿宋" w:hAnsi="仿宋" w:eastAsia="仿宋" w:cs="仿宋"/>
          <w:b w:val="0"/>
          <w:i w:val="0"/>
          <w:strike w:val="0"/>
          <w:sz w:val="32"/>
          <w:szCs w:val="32"/>
          <w:lang w:val="en-US" w:eastAsia="zh-CN"/>
        </w:rPr>
        <w:t>重大项目建设顺利实施，</w:t>
      </w:r>
      <w:r>
        <w:rPr>
          <w:rStyle w:val="16"/>
          <w:rFonts w:hint="eastAsia" w:ascii="仿宋_GB2312" w:eastAsia="仿宋_GB2312" w:cs="仿宋_GB2312"/>
          <w:b w:val="0"/>
          <w:bCs/>
          <w:sz w:val="32"/>
        </w:rPr>
        <w:t>湘源锂多金属矿采选冶一体化</w:t>
      </w:r>
      <w:r>
        <w:rPr>
          <w:rStyle w:val="16"/>
          <w:rFonts w:hint="eastAsia" w:ascii="仿宋_GB2312" w:eastAsia="仿宋_GB2312" w:cs="仿宋_GB2312"/>
          <w:b w:val="0"/>
          <w:bCs/>
          <w:sz w:val="32"/>
          <w:lang w:eastAsia="zh-CN"/>
        </w:rPr>
        <w:t>、</w:t>
      </w:r>
      <w:r>
        <w:rPr>
          <w:rStyle w:val="16"/>
          <w:rFonts w:hint="eastAsia" w:ascii="仿宋_GB2312" w:eastAsia="仿宋_GB2312" w:cs="仿宋_GB2312"/>
          <w:b w:val="0"/>
          <w:bCs/>
          <w:sz w:val="32"/>
          <w:lang w:val="en-US" w:eastAsia="zh-CN"/>
        </w:rPr>
        <w:t>永州南500KV输变电路线、华新水泥超低排放、原化工厂土壤污染整治等一批重大项目顺利实施，有力支撑了工业经济发展。</w:t>
      </w:r>
      <w:r>
        <w:rPr>
          <w:rFonts w:hint="eastAsia" w:ascii="仿宋" w:hAnsi="仿宋" w:eastAsia="仿宋" w:cs="仿宋"/>
          <w:b w:val="0"/>
          <w:i w:val="0"/>
          <w:strike w:val="0"/>
          <w:sz w:val="32"/>
          <w:szCs w:val="32"/>
        </w:rPr>
        <w:t>金融支持加</w:t>
      </w:r>
      <w:r>
        <w:rPr>
          <w:rFonts w:hint="eastAsia" w:ascii="仿宋" w:hAnsi="仿宋" w:eastAsia="仿宋" w:cs="仿宋"/>
          <w:b w:val="0"/>
          <w:i w:val="0"/>
          <w:strike w:val="0"/>
          <w:sz w:val="32"/>
          <w:szCs w:val="32"/>
          <w:lang w:val="en-US" w:eastAsia="zh-CN"/>
        </w:rPr>
        <w:t>大</w:t>
      </w:r>
      <w:r>
        <w:rPr>
          <w:rFonts w:hint="eastAsia" w:ascii="仿宋" w:hAnsi="仿宋" w:eastAsia="仿宋" w:cs="仿宋"/>
          <w:b w:val="0"/>
          <w:i w:val="0"/>
          <w:strike w:val="0"/>
          <w:spacing w:val="-23"/>
          <w:sz w:val="32"/>
          <w:szCs w:val="32"/>
        </w:rPr>
        <w:t>，</w:t>
      </w:r>
      <w:r>
        <w:rPr>
          <w:rStyle w:val="16"/>
          <w:rFonts w:hint="eastAsia" w:ascii="仿宋_GB2312" w:eastAsia="仿宋_GB2312" w:cs="仿宋_GB2312"/>
          <w:b w:val="0"/>
          <w:sz w:val="32"/>
        </w:rPr>
        <w:t>全年争取</w:t>
      </w:r>
      <w:r>
        <w:rPr>
          <w:rStyle w:val="16"/>
          <w:rFonts w:hint="eastAsia" w:ascii="仿宋_GB2312" w:eastAsia="仿宋_GB2312" w:cs="仿宋_GB2312"/>
          <w:b w:val="0"/>
          <w:sz w:val="32"/>
          <w:lang w:val="en-US" w:eastAsia="zh-CN"/>
        </w:rPr>
        <w:t>各类</w:t>
      </w:r>
      <w:r>
        <w:rPr>
          <w:rStyle w:val="16"/>
          <w:rFonts w:hint="eastAsia" w:ascii="仿宋_GB2312" w:eastAsia="仿宋_GB2312" w:cs="仿宋_GB2312"/>
          <w:b w:val="0"/>
          <w:sz w:val="32"/>
        </w:rPr>
        <w:t>项目资金</w:t>
      </w:r>
      <w:r>
        <w:rPr>
          <w:rStyle w:val="16"/>
          <w:rFonts w:hint="eastAsia" w:ascii="仿宋_GB2312" w:eastAsia="仿宋_GB2312" w:cs="仿宋_GB2312"/>
          <w:b w:val="0"/>
          <w:sz w:val="32"/>
          <w:lang w:val="en-US" w:eastAsia="zh-CN"/>
        </w:rPr>
        <w:t>2.44亿</w:t>
      </w:r>
      <w:r>
        <w:rPr>
          <w:rStyle w:val="16"/>
          <w:rFonts w:hint="eastAsia" w:ascii="仿宋_GB2312" w:eastAsia="仿宋_GB2312" w:cs="仿宋_GB2312"/>
          <w:b w:val="0"/>
          <w:sz w:val="32"/>
        </w:rPr>
        <w:t>元</w:t>
      </w:r>
      <w:r>
        <w:rPr>
          <w:rFonts w:hint="eastAsia" w:ascii="仿宋" w:hAnsi="仿宋" w:eastAsia="仿宋" w:cs="仿宋"/>
          <w:b w:val="0"/>
          <w:i w:val="0"/>
          <w:strike w:val="0"/>
          <w:spacing w:val="-23"/>
          <w:sz w:val="32"/>
          <w:szCs w:val="32"/>
          <w:lang w:val="en-US" w:eastAsia="zh-CN"/>
        </w:rPr>
        <w:t>。</w:t>
      </w:r>
      <w:r>
        <w:rPr>
          <w:rFonts w:hint="eastAsia" w:ascii="仿宋" w:hAnsi="仿宋" w:eastAsia="仿宋" w:cs="仿宋"/>
          <w:b w:val="0"/>
          <w:i w:val="0"/>
          <w:strike w:val="0"/>
          <w:spacing w:val="-23"/>
          <w:sz w:val="32"/>
          <w:szCs w:val="32"/>
        </w:rPr>
        <w:t>清欠工作扎实推进，拖欠中小企业账款清偿任务超额完</w:t>
      </w:r>
      <w:r>
        <w:rPr>
          <w:rFonts w:hint="eastAsia" w:ascii="仿宋" w:hAnsi="仿宋" w:eastAsia="仿宋" w:cs="仿宋"/>
          <w:b w:val="0"/>
          <w:i w:val="0"/>
          <w:strike w:val="0"/>
          <w:sz w:val="32"/>
          <w:szCs w:val="32"/>
        </w:rPr>
        <w:t>成。</w:t>
      </w:r>
      <w:r>
        <w:rPr>
          <w:rFonts w:hint="eastAsia" w:ascii="仿宋" w:hAnsi="仿宋" w:eastAsia="仿宋" w:cs="仿宋"/>
          <w:b w:val="0"/>
          <w:i w:val="0"/>
          <w:strike w:val="0"/>
          <w:sz w:val="32"/>
          <w:szCs w:val="32"/>
          <w:lang w:val="en-US" w:eastAsia="zh-CN"/>
        </w:rPr>
        <w:t>数字基建加快，累计建成5G基站823个。</w:t>
      </w:r>
    </w:p>
    <w:p>
      <w:pPr>
        <w:keepNext w:val="0"/>
        <w:keepLines w:val="0"/>
        <w:pageBreakBefore w:val="0"/>
        <w:widowControl/>
        <w:kinsoku/>
        <w:wordWrap/>
        <w:overflowPunct/>
        <w:topLinePunct w:val="0"/>
        <w:autoSpaceDE/>
        <w:autoSpaceDN/>
        <w:bidi w:val="0"/>
        <w:adjustRightInd/>
        <w:snapToGrid/>
        <w:spacing w:after="0" w:line="600" w:lineRule="exact"/>
        <w:ind w:left="0"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5.</w:t>
      </w:r>
      <w:r>
        <w:rPr>
          <w:rFonts w:hint="eastAsia" w:ascii="仿宋" w:hAnsi="仿宋" w:eastAsia="仿宋" w:cs="仿宋"/>
          <w:b/>
          <w:bCs/>
          <w:i w:val="0"/>
          <w:strike w:val="0"/>
          <w:sz w:val="32"/>
          <w:szCs w:val="32"/>
        </w:rPr>
        <w:t>安全稳定底线牢牢守住。</w:t>
      </w:r>
      <w:r>
        <w:rPr>
          <w:rFonts w:hint="eastAsia" w:ascii="仿宋" w:hAnsi="仿宋" w:eastAsia="仿宋" w:cs="仿宋"/>
          <w:b w:val="0"/>
          <w:i w:val="0"/>
          <w:strike w:val="0"/>
          <w:sz w:val="32"/>
          <w:szCs w:val="32"/>
        </w:rPr>
        <w:t>严格落实安全生产责任制，常态化开展隐患排查，强化民爆等行业监管，近年来未发生安全生产事故。大力化解信访维稳案件，积极化解科工系统历史遗留问题，及时受理、办结信访件，维护了系统稳定。</w:t>
      </w:r>
    </w:p>
    <w:p>
      <w:pPr>
        <w:pStyle w:val="11"/>
        <w:numPr>
          <w:ilvl w:val="0"/>
          <w:numId w:val="0"/>
        </w:numPr>
        <w:spacing w:line="560" w:lineRule="exact"/>
        <w:ind w:firstLine="320" w:firstLineChars="100"/>
        <w:rPr>
          <w:rFonts w:ascii="Times New Roman" w:hAnsi="Times New Roman" w:eastAsia="黑体"/>
          <w:sz w:val="32"/>
          <w:szCs w:val="32"/>
        </w:rPr>
      </w:pPr>
      <w:r>
        <w:rPr>
          <w:rFonts w:hint="eastAsia" w:ascii="Times New Roman" w:hAnsi="Times New Roman" w:eastAsia="黑体"/>
          <w:sz w:val="32"/>
          <w:szCs w:val="32"/>
          <w:lang w:eastAsia="zh-CN"/>
        </w:rPr>
        <w:t>（</w:t>
      </w:r>
      <w:r>
        <w:rPr>
          <w:rFonts w:hint="eastAsia" w:ascii="Times New Roman" w:hAnsi="Times New Roman" w:eastAsia="黑体"/>
          <w:sz w:val="32"/>
          <w:szCs w:val="32"/>
          <w:lang w:val="en-US" w:eastAsia="zh-CN"/>
        </w:rPr>
        <w:t>五）</w:t>
      </w:r>
      <w:r>
        <w:rPr>
          <w:rFonts w:ascii="Times New Roman" w:hAnsi="Times New Roman" w:eastAsia="黑体"/>
          <w:sz w:val="32"/>
          <w:szCs w:val="32"/>
        </w:rPr>
        <w:t>存在的问题及原因分析</w:t>
      </w:r>
    </w:p>
    <w:p>
      <w:pPr>
        <w:keepNext w:val="0"/>
        <w:keepLines w:val="0"/>
        <w:pageBreakBefore w:val="0"/>
        <w:widowControl/>
        <w:kinsoku/>
        <w:wordWrap/>
        <w:overflowPunct/>
        <w:topLinePunct w:val="0"/>
        <w:autoSpaceDE/>
        <w:autoSpaceDN/>
        <w:bidi w:val="0"/>
        <w:adjustRightInd/>
        <w:snapToGrid/>
        <w:spacing w:after="0" w:line="540" w:lineRule="exact"/>
        <w:ind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1.</w:t>
      </w:r>
      <w:r>
        <w:rPr>
          <w:rFonts w:hint="eastAsia" w:ascii="仿宋" w:hAnsi="仿宋" w:eastAsia="仿宋" w:cs="仿宋"/>
          <w:b/>
          <w:bCs/>
          <w:i w:val="0"/>
          <w:strike w:val="0"/>
          <w:sz w:val="32"/>
          <w:szCs w:val="32"/>
        </w:rPr>
        <w:t>企业主体稳定性承压。</w:t>
      </w:r>
      <w:r>
        <w:rPr>
          <w:rFonts w:hint="eastAsia" w:ascii="仿宋" w:hAnsi="仿宋" w:eastAsia="仿宋" w:cs="仿宋"/>
          <w:b w:val="0"/>
          <w:i w:val="0"/>
          <w:strike w:val="0"/>
          <w:sz w:val="32"/>
          <w:szCs w:val="32"/>
        </w:rPr>
        <w:t>受外部环境影响，部分企业订单下滑、产能闲置。2025年企业退规25家（其中13家转为规下），规上企业总数缩减至146家。新入统的7家企业产值贡献仅占1.43%，支撑力有限。</w:t>
      </w:r>
    </w:p>
    <w:p>
      <w:pPr>
        <w:keepNext w:val="0"/>
        <w:keepLines w:val="0"/>
        <w:pageBreakBefore w:val="0"/>
        <w:widowControl/>
        <w:kinsoku/>
        <w:wordWrap/>
        <w:overflowPunct/>
        <w:topLinePunct w:val="0"/>
        <w:autoSpaceDE/>
        <w:autoSpaceDN/>
        <w:bidi w:val="0"/>
        <w:adjustRightInd/>
        <w:snapToGrid/>
        <w:spacing w:after="0" w:line="540" w:lineRule="exact"/>
        <w:ind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2.</w:t>
      </w:r>
      <w:r>
        <w:rPr>
          <w:rFonts w:hint="eastAsia" w:ascii="仿宋" w:hAnsi="仿宋" w:eastAsia="仿宋" w:cs="仿宋"/>
          <w:b/>
          <w:bCs/>
          <w:i w:val="0"/>
          <w:strike w:val="0"/>
          <w:sz w:val="32"/>
          <w:szCs w:val="32"/>
        </w:rPr>
        <w:t>产业结构有待优化。</w:t>
      </w:r>
      <w:r>
        <w:rPr>
          <w:rFonts w:hint="eastAsia" w:ascii="仿宋" w:hAnsi="仿宋" w:eastAsia="仿宋" w:cs="仿宋"/>
          <w:b w:val="0"/>
          <w:i w:val="0"/>
          <w:strike w:val="0"/>
          <w:sz w:val="32"/>
          <w:szCs w:val="32"/>
        </w:rPr>
        <w:t>传统产业占比仍较高，产业链本地配套率不足35%，协同效应弱。部分企业处于代加工环节，根植性与附加值不强。部分存量企业数据质量不高，应对统计核查能力不足。</w:t>
      </w:r>
    </w:p>
    <w:p>
      <w:pPr>
        <w:keepNext w:val="0"/>
        <w:keepLines w:val="0"/>
        <w:pageBreakBefore w:val="0"/>
        <w:widowControl/>
        <w:kinsoku/>
        <w:wordWrap/>
        <w:overflowPunct/>
        <w:topLinePunct w:val="0"/>
        <w:autoSpaceDE/>
        <w:autoSpaceDN/>
        <w:bidi w:val="0"/>
        <w:adjustRightInd/>
        <w:snapToGrid/>
        <w:spacing w:after="0" w:line="540" w:lineRule="exact"/>
        <w:ind w:firstLine="642"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3.</w:t>
      </w:r>
      <w:r>
        <w:rPr>
          <w:rFonts w:hint="eastAsia" w:ascii="仿宋" w:hAnsi="仿宋" w:eastAsia="仿宋" w:cs="仿宋"/>
          <w:b/>
          <w:bCs/>
          <w:i w:val="0"/>
          <w:strike w:val="0"/>
          <w:sz w:val="32"/>
          <w:szCs w:val="32"/>
        </w:rPr>
        <w:t>发展要素制约明显。</w:t>
      </w:r>
      <w:r>
        <w:rPr>
          <w:rFonts w:hint="eastAsia" w:ascii="仿宋" w:hAnsi="仿宋" w:eastAsia="仿宋" w:cs="仿宋"/>
          <w:b w:val="0"/>
          <w:i w:val="0"/>
          <w:strike w:val="0"/>
          <w:sz w:val="32"/>
          <w:szCs w:val="32"/>
        </w:rPr>
        <w:t>整体研发投入强度偏低，核心知识产权较少，高层次人才引进难。</w:t>
      </w:r>
      <w:r>
        <w:rPr>
          <w:rFonts w:hint="eastAsia" w:ascii="仿宋" w:hAnsi="仿宋" w:eastAsia="仿宋" w:cs="仿宋"/>
          <w:b w:val="0"/>
          <w:i w:val="0"/>
          <w:strike w:val="0"/>
          <w:sz w:val="32"/>
          <w:szCs w:val="32"/>
          <w:lang w:val="en-US" w:eastAsia="zh-CN"/>
        </w:rPr>
        <w:t>用电、用气、物流等发展要素成本偏高，影响企业发展壮大。</w:t>
      </w:r>
    </w:p>
    <w:p>
      <w:pPr>
        <w:keepNext w:val="0"/>
        <w:keepLines w:val="0"/>
        <w:pageBreakBefore w:val="0"/>
        <w:widowControl/>
        <w:kinsoku/>
        <w:wordWrap/>
        <w:overflowPunct/>
        <w:topLinePunct w:val="0"/>
        <w:autoSpaceDE/>
        <w:autoSpaceDN/>
        <w:bidi w:val="0"/>
        <w:adjustRightInd/>
        <w:snapToGrid/>
        <w:spacing w:after="0" w:line="540" w:lineRule="exact"/>
        <w:ind w:left="0" w:firstLine="642" w:firstLineChars="200"/>
        <w:jc w:val="both"/>
        <w:textAlignment w:val="auto"/>
        <w:rPr>
          <w:rFonts w:hint="default" w:ascii="仿宋" w:hAnsi="仿宋" w:eastAsia="仿宋" w:cs="仿宋"/>
          <w:b w:val="0"/>
          <w:i w:val="0"/>
          <w:strike w:val="0"/>
          <w:sz w:val="32"/>
          <w:szCs w:val="32"/>
        </w:rPr>
      </w:pPr>
      <w:r>
        <w:rPr>
          <w:rFonts w:hint="eastAsia" w:ascii="仿宋" w:hAnsi="仿宋" w:eastAsia="仿宋" w:cs="仿宋"/>
          <w:b/>
          <w:bCs/>
          <w:i w:val="0"/>
          <w:strike w:val="0"/>
          <w:sz w:val="32"/>
          <w:szCs w:val="32"/>
          <w:lang w:val="en-US" w:eastAsia="zh-CN"/>
        </w:rPr>
        <w:t>4.</w:t>
      </w:r>
      <w:r>
        <w:rPr>
          <w:rFonts w:hint="default" w:ascii="仿宋" w:hAnsi="仿宋" w:eastAsia="仿宋" w:cs="仿宋"/>
          <w:b/>
          <w:bCs/>
          <w:i w:val="0"/>
          <w:strike w:val="0"/>
          <w:sz w:val="32"/>
          <w:szCs w:val="32"/>
        </w:rPr>
        <w:t>绿色发展压力增大</w:t>
      </w:r>
      <w:r>
        <w:rPr>
          <w:rFonts w:hint="eastAsia" w:ascii="仿宋" w:hAnsi="仿宋" w:eastAsia="仿宋" w:cs="仿宋"/>
          <w:b/>
          <w:bCs/>
          <w:i w:val="0"/>
          <w:strike w:val="0"/>
          <w:sz w:val="32"/>
          <w:szCs w:val="32"/>
          <w:lang w:eastAsia="zh-CN"/>
        </w:rPr>
        <w:t>。</w:t>
      </w:r>
      <w:r>
        <w:rPr>
          <w:rFonts w:hint="default" w:ascii="仿宋" w:hAnsi="仿宋" w:eastAsia="仿宋" w:cs="仿宋"/>
          <w:b w:val="0"/>
          <w:i w:val="0"/>
          <w:strike w:val="0"/>
          <w:sz w:val="32"/>
          <w:szCs w:val="32"/>
        </w:rPr>
        <w:t>资源环境约束趋紧，</w:t>
      </w:r>
      <w:r>
        <w:rPr>
          <w:rFonts w:hint="eastAsia" w:ascii="仿宋" w:hAnsi="仿宋" w:eastAsia="仿宋" w:cs="仿宋"/>
          <w:b w:val="0"/>
          <w:i w:val="0"/>
          <w:strike w:val="0"/>
          <w:sz w:val="32"/>
          <w:szCs w:val="32"/>
        </w:rPr>
        <w:t>绿色发展压力增大，资源环境约束趋紧。</w:t>
      </w:r>
      <w:r>
        <w:rPr>
          <w:rFonts w:hint="default" w:ascii="仿宋" w:hAnsi="仿宋" w:eastAsia="仿宋" w:cs="仿宋"/>
          <w:b w:val="0"/>
          <w:i w:val="0"/>
          <w:strike w:val="0"/>
          <w:sz w:val="32"/>
          <w:szCs w:val="32"/>
        </w:rPr>
        <w:t>能源结构转型承压，绿色产业规模效应未形成。绿色治理能力不足，工业固废综合利用率等指标有待提升。</w:t>
      </w:r>
    </w:p>
    <w:p>
      <w:pPr>
        <w:spacing w:line="560" w:lineRule="exact"/>
        <w:ind w:left="420" w:leftChars="200" w:firstLine="320" w:firstLineChars="100"/>
        <w:rPr>
          <w:rFonts w:hint="eastAsia" w:ascii="仿宋" w:hAnsi="仿宋" w:eastAsia="仿宋" w:cs="仿宋"/>
          <w:sz w:val="32"/>
          <w:szCs w:val="32"/>
        </w:rPr>
      </w:pPr>
      <w:r>
        <w:rPr>
          <w:rFonts w:hint="eastAsia" w:eastAsia="黑体"/>
          <w:sz w:val="32"/>
          <w:szCs w:val="32"/>
        </w:rPr>
        <w:t>八、</w:t>
      </w:r>
      <w:r>
        <w:rPr>
          <w:rFonts w:eastAsia="黑体"/>
          <w:sz w:val="32"/>
          <w:szCs w:val="32"/>
        </w:rPr>
        <w:t>下一步改进措施</w:t>
      </w:r>
    </w:p>
    <w:p>
      <w:pPr>
        <w:keepNext w:val="0"/>
        <w:keepLines w:val="0"/>
        <w:pageBreakBefore w:val="0"/>
        <w:widowControl/>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val="0"/>
          <w:i w:val="0"/>
          <w:strike w:val="0"/>
          <w:sz w:val="32"/>
          <w:szCs w:val="32"/>
          <w:lang w:val="en-US" w:eastAsia="zh-CN"/>
        </w:rPr>
        <w:t>1.</w:t>
      </w:r>
      <w:r>
        <w:rPr>
          <w:rFonts w:hint="eastAsia" w:ascii="仿宋" w:hAnsi="仿宋" w:eastAsia="仿宋" w:cs="仿宋"/>
          <w:b/>
          <w:i w:val="0"/>
          <w:strike w:val="0"/>
          <w:sz w:val="32"/>
          <w:szCs w:val="32"/>
        </w:rPr>
        <w:t>聚焦稳增长，强化企业培育。</w:t>
      </w:r>
      <w:r>
        <w:rPr>
          <w:rFonts w:hint="eastAsia" w:ascii="仿宋" w:hAnsi="仿宋" w:eastAsia="仿宋" w:cs="仿宋"/>
          <w:b w:val="0"/>
          <w:i w:val="0"/>
          <w:strike w:val="0"/>
          <w:sz w:val="32"/>
          <w:szCs w:val="32"/>
        </w:rPr>
        <w:t>以“稳企业、促增长”为核心，深化“县级领导联系服务企业”“政企交流主题日”机制，常态化“送政策、解难题、优服务”。建立重点骨干企业“白名单”，在要素保障、政策资金上予以倾斜。严格执行《新增规模以上工业企业行动实施方案》，组建专班，筑牢增长基础，确保新增规上企业10家以上。</w:t>
      </w:r>
    </w:p>
    <w:p>
      <w:pPr>
        <w:keepNext w:val="0"/>
        <w:keepLines w:val="0"/>
        <w:pageBreakBefore w:val="0"/>
        <w:widowControl/>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val="0"/>
          <w:i w:val="0"/>
          <w:strike w:val="0"/>
          <w:sz w:val="32"/>
          <w:szCs w:val="32"/>
          <w:lang w:val="en-US" w:eastAsia="zh-CN"/>
        </w:rPr>
        <w:t>2.</w:t>
      </w:r>
      <w:r>
        <w:rPr>
          <w:rFonts w:hint="eastAsia" w:ascii="仿宋" w:hAnsi="仿宋" w:eastAsia="仿宋" w:cs="仿宋"/>
          <w:b/>
          <w:i w:val="0"/>
          <w:strike w:val="0"/>
          <w:sz w:val="32"/>
          <w:szCs w:val="32"/>
        </w:rPr>
        <w:t>聚焦强集群，</w:t>
      </w:r>
      <w:r>
        <w:rPr>
          <w:rFonts w:hint="eastAsia" w:ascii="仿宋" w:hAnsi="仿宋" w:eastAsia="仿宋" w:cs="仿宋"/>
          <w:b/>
          <w:i w:val="0"/>
          <w:strike w:val="0"/>
          <w:sz w:val="32"/>
          <w:szCs w:val="32"/>
          <w:lang w:val="en-US" w:eastAsia="zh-CN"/>
        </w:rPr>
        <w:t>强化</w:t>
      </w:r>
      <w:r>
        <w:rPr>
          <w:rFonts w:hint="eastAsia" w:ascii="仿宋" w:hAnsi="仿宋" w:eastAsia="仿宋" w:cs="仿宋"/>
          <w:b/>
          <w:i w:val="0"/>
          <w:strike w:val="0"/>
          <w:sz w:val="32"/>
          <w:szCs w:val="32"/>
        </w:rPr>
        <w:t>骨干引领。</w:t>
      </w:r>
      <w:r>
        <w:rPr>
          <w:rFonts w:hint="eastAsia" w:ascii="仿宋" w:hAnsi="仿宋" w:eastAsia="仿宋" w:cs="仿宋"/>
          <w:b w:val="0"/>
          <w:i w:val="0"/>
          <w:strike w:val="0"/>
          <w:sz w:val="32"/>
          <w:szCs w:val="32"/>
        </w:rPr>
        <w:t>实施骨干企业倍增计划，重点培育一批产值超亿</w:t>
      </w:r>
      <w:r>
        <w:rPr>
          <w:rFonts w:hint="eastAsia" w:ascii="仿宋" w:hAnsi="仿宋" w:eastAsia="仿宋" w:cs="仿宋"/>
          <w:b w:val="0"/>
          <w:i w:val="0"/>
          <w:strike w:val="0"/>
          <w:sz w:val="32"/>
          <w:szCs w:val="32"/>
          <w:lang w:val="en-US" w:eastAsia="zh-CN"/>
        </w:rPr>
        <w:t>元</w:t>
      </w:r>
      <w:r>
        <w:rPr>
          <w:rFonts w:hint="eastAsia" w:ascii="仿宋" w:hAnsi="仿宋" w:eastAsia="仿宋" w:cs="仿宋"/>
          <w:b w:val="0"/>
          <w:i w:val="0"/>
          <w:strike w:val="0"/>
          <w:sz w:val="32"/>
          <w:szCs w:val="32"/>
        </w:rPr>
        <w:t>及税收贡献大的企业，形成“骨干支撑”格局</w:t>
      </w:r>
      <w:r>
        <w:rPr>
          <w:rFonts w:hint="eastAsia" w:ascii="仿宋" w:hAnsi="仿宋" w:eastAsia="仿宋" w:cs="仿宋"/>
          <w:b w:val="0"/>
          <w:i w:val="0"/>
          <w:strike w:val="0"/>
          <w:sz w:val="32"/>
          <w:szCs w:val="32"/>
          <w:lang w:eastAsia="zh-CN"/>
        </w:rPr>
        <w:t>，</w:t>
      </w:r>
      <w:r>
        <w:rPr>
          <w:rFonts w:hint="eastAsia" w:ascii="仿宋" w:hAnsi="仿宋" w:eastAsia="仿宋" w:cs="仿宋"/>
          <w:b w:val="0"/>
          <w:i w:val="0"/>
          <w:strike w:val="0"/>
          <w:sz w:val="32"/>
          <w:szCs w:val="32"/>
          <w:lang w:val="en-US" w:eastAsia="zh-CN"/>
        </w:rPr>
        <w:t>确保实现全县规工企业年产值217亿元以上</w:t>
      </w:r>
      <w:r>
        <w:rPr>
          <w:rFonts w:hint="eastAsia" w:ascii="仿宋" w:hAnsi="仿宋" w:eastAsia="仿宋" w:cs="仿宋"/>
          <w:b w:val="0"/>
          <w:i w:val="0"/>
          <w:strike w:val="0"/>
          <w:sz w:val="32"/>
          <w:szCs w:val="32"/>
        </w:rPr>
        <w:t>。全力推动智能装备制造产业集群申报省级培育名单。积极争取超长期国债、制造业高质量发展等各类资金支持。狠抓项目建设，保障</w:t>
      </w:r>
      <w:r>
        <w:rPr>
          <w:rFonts w:hint="eastAsia" w:ascii="仿宋" w:hAnsi="仿宋" w:eastAsia="仿宋" w:cs="仿宋"/>
          <w:b w:val="0"/>
          <w:i w:val="0"/>
          <w:strike w:val="0"/>
          <w:sz w:val="32"/>
          <w:szCs w:val="32"/>
          <w:lang w:val="en-US" w:eastAsia="zh-CN"/>
        </w:rPr>
        <w:t>电讯建设、</w:t>
      </w:r>
      <w:r>
        <w:rPr>
          <w:rFonts w:hint="eastAsia" w:ascii="仿宋" w:hAnsi="仿宋" w:eastAsia="仿宋" w:cs="仿宋"/>
          <w:b w:val="0"/>
          <w:i w:val="0"/>
          <w:strike w:val="0"/>
          <w:sz w:val="32"/>
          <w:szCs w:val="32"/>
        </w:rPr>
        <w:t>智能装备产业园、绿色矿山及紫金锂业产业链延伸等项目推进，力促签约项目开工、开工项目竣工、竣工项目达效</w:t>
      </w:r>
      <w:r>
        <w:rPr>
          <w:rFonts w:hint="eastAsia" w:ascii="仿宋" w:hAnsi="仿宋" w:eastAsia="仿宋" w:cs="仿宋"/>
          <w:b w:val="0"/>
          <w:i w:val="0"/>
          <w:strike w:val="0"/>
          <w:sz w:val="32"/>
          <w:szCs w:val="32"/>
          <w:lang w:eastAsia="zh-CN"/>
        </w:rPr>
        <w:t>，</w:t>
      </w:r>
      <w:r>
        <w:rPr>
          <w:rFonts w:hint="eastAsia" w:ascii="仿宋" w:hAnsi="仿宋" w:eastAsia="仿宋" w:cs="仿宋"/>
          <w:b w:val="0"/>
          <w:i w:val="0"/>
          <w:strike w:val="0"/>
          <w:sz w:val="32"/>
          <w:szCs w:val="32"/>
          <w:lang w:val="en-US" w:eastAsia="zh-CN"/>
        </w:rPr>
        <w:t>实现</w:t>
      </w:r>
      <w:r>
        <w:rPr>
          <w:rFonts w:hint="eastAsia" w:ascii="仿宋_GB2312" w:hAnsi="仿宋_GB2312" w:eastAsia="仿宋_GB2312" w:cs="仿宋_GB2312"/>
          <w:b w:val="0"/>
          <w:bCs w:val="0"/>
          <w:i w:val="0"/>
          <w:caps w:val="0"/>
          <w:color w:val="auto"/>
          <w:spacing w:val="0"/>
          <w:w w:val="100"/>
          <w:kern w:val="2"/>
          <w:sz w:val="32"/>
          <w:szCs w:val="32"/>
          <w:lang w:val="en-US" w:eastAsia="zh-CN"/>
        </w:rPr>
        <w:t>工业固投增长10%、工业技改增长15%</w:t>
      </w:r>
      <w:r>
        <w:rPr>
          <w:rFonts w:hint="eastAsia" w:ascii="仿宋" w:hAnsi="仿宋" w:eastAsia="仿宋" w:cs="仿宋"/>
          <w:b w:val="0"/>
          <w:i w:val="0"/>
          <w:strike w:val="0"/>
          <w:sz w:val="32"/>
          <w:szCs w:val="32"/>
        </w:rPr>
        <w:t>。</w:t>
      </w:r>
    </w:p>
    <w:p>
      <w:pPr>
        <w:keepNext w:val="0"/>
        <w:keepLines w:val="0"/>
        <w:pageBreakBefore w:val="0"/>
        <w:widowControl/>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b w:val="0"/>
          <w:i w:val="0"/>
          <w:strike w:val="0"/>
          <w:sz w:val="32"/>
          <w:szCs w:val="32"/>
          <w:lang w:eastAsia="zh-CN"/>
        </w:rPr>
      </w:pPr>
      <w:r>
        <w:rPr>
          <w:rFonts w:hint="eastAsia" w:ascii="仿宋" w:hAnsi="仿宋" w:eastAsia="仿宋" w:cs="仿宋"/>
          <w:b w:val="0"/>
          <w:i w:val="0"/>
          <w:strike w:val="0"/>
          <w:sz w:val="32"/>
          <w:szCs w:val="32"/>
          <w:lang w:val="en-US" w:eastAsia="zh-CN"/>
        </w:rPr>
        <w:t>3.</w:t>
      </w:r>
      <w:r>
        <w:rPr>
          <w:rFonts w:hint="eastAsia" w:ascii="仿宋" w:hAnsi="仿宋" w:eastAsia="仿宋" w:cs="仿宋"/>
          <w:b/>
          <w:i w:val="0"/>
          <w:strike w:val="0"/>
          <w:sz w:val="32"/>
          <w:szCs w:val="32"/>
        </w:rPr>
        <w:t>聚焦提质效，</w:t>
      </w:r>
      <w:r>
        <w:rPr>
          <w:rFonts w:hint="eastAsia" w:ascii="仿宋" w:hAnsi="仿宋" w:eastAsia="仿宋" w:cs="仿宋"/>
          <w:b/>
          <w:i w:val="0"/>
          <w:strike w:val="0"/>
          <w:sz w:val="32"/>
          <w:szCs w:val="32"/>
          <w:lang w:val="en-US" w:eastAsia="zh-CN"/>
        </w:rPr>
        <w:t>强化</w:t>
      </w:r>
      <w:r>
        <w:rPr>
          <w:rFonts w:hint="eastAsia" w:ascii="仿宋" w:hAnsi="仿宋" w:eastAsia="仿宋" w:cs="仿宋"/>
          <w:b/>
          <w:i w:val="0"/>
          <w:strike w:val="0"/>
          <w:sz w:val="32"/>
          <w:szCs w:val="32"/>
        </w:rPr>
        <w:t>创新发展。</w:t>
      </w:r>
      <w:r>
        <w:rPr>
          <w:rFonts w:hint="eastAsia" w:ascii="仿宋" w:hAnsi="仿宋" w:eastAsia="仿宋" w:cs="仿宋"/>
          <w:b w:val="0"/>
          <w:i w:val="0"/>
          <w:strike w:val="0"/>
          <w:sz w:val="32"/>
          <w:szCs w:val="32"/>
          <w:lang w:val="en-US" w:eastAsia="zh-CN"/>
        </w:rPr>
        <w:t>进一步加大</w:t>
      </w:r>
      <w:r>
        <w:rPr>
          <w:rFonts w:hint="eastAsia" w:ascii="仿宋" w:hAnsi="仿宋" w:eastAsia="仿宋" w:cs="仿宋"/>
          <w:b w:val="0"/>
          <w:i w:val="0"/>
          <w:strike w:val="0"/>
          <w:sz w:val="32"/>
          <w:szCs w:val="32"/>
          <w:lang w:eastAsia="zh-CN"/>
        </w:rPr>
        <w:t>“</w:t>
      </w:r>
      <w:r>
        <w:rPr>
          <w:rFonts w:hint="eastAsia" w:ascii="仿宋" w:hAnsi="仿宋" w:eastAsia="仿宋" w:cs="仿宋"/>
          <w:b w:val="0"/>
          <w:i w:val="0"/>
          <w:strike w:val="0"/>
          <w:sz w:val="32"/>
          <w:szCs w:val="32"/>
          <w:lang w:val="en-US" w:eastAsia="zh-CN"/>
        </w:rPr>
        <w:t>人工智能+”</w:t>
      </w:r>
      <w:r>
        <w:rPr>
          <w:rFonts w:hint="eastAsia" w:ascii="仿宋" w:hAnsi="仿宋" w:eastAsia="仿宋" w:cs="仿宋"/>
          <w:b w:val="0"/>
          <w:i w:val="0"/>
          <w:strike w:val="0"/>
          <w:sz w:val="32"/>
          <w:szCs w:val="32"/>
        </w:rPr>
        <w:t>“智赋万企”</w:t>
      </w:r>
      <w:r>
        <w:rPr>
          <w:rFonts w:hint="eastAsia" w:ascii="仿宋" w:hAnsi="仿宋" w:eastAsia="仿宋" w:cs="仿宋"/>
          <w:b w:val="0"/>
          <w:i w:val="0"/>
          <w:strike w:val="0"/>
          <w:sz w:val="32"/>
          <w:szCs w:val="32"/>
          <w:lang w:eastAsia="zh-CN"/>
        </w:rPr>
        <w:t>“</w:t>
      </w:r>
      <w:r>
        <w:rPr>
          <w:rFonts w:hint="eastAsia" w:ascii="仿宋_GB2312" w:hAnsi="仿宋_GB2312" w:eastAsia="仿宋_GB2312" w:cs="仿宋_GB2312"/>
          <w:b w:val="0"/>
          <w:bCs w:val="0"/>
          <w:i w:val="0"/>
          <w:caps w:val="0"/>
          <w:color w:val="auto"/>
          <w:spacing w:val="0"/>
          <w:w w:val="100"/>
          <w:kern w:val="2"/>
          <w:sz w:val="32"/>
          <w:szCs w:val="32"/>
          <w:lang w:val="en-US" w:eastAsia="zh-CN"/>
        </w:rPr>
        <w:t>两重两新”工作推进力度，实施一批技术改造项目，</w:t>
      </w:r>
      <w:r>
        <w:rPr>
          <w:rFonts w:hint="eastAsia" w:ascii="仿宋" w:hAnsi="仿宋" w:eastAsia="仿宋" w:cs="仿宋"/>
          <w:b w:val="0"/>
          <w:i w:val="0"/>
          <w:strike w:val="0"/>
          <w:sz w:val="32"/>
          <w:szCs w:val="32"/>
        </w:rPr>
        <w:t>鼓励企业“机器换人”，建设智能化生产线，新增智能工厂与数字化车间，</w:t>
      </w:r>
      <w:r>
        <w:rPr>
          <w:rFonts w:hint="eastAsia" w:ascii="仿宋" w:hAnsi="仿宋" w:eastAsia="仿宋" w:cs="仿宋"/>
          <w:b w:val="0"/>
          <w:i w:val="0"/>
          <w:strike w:val="0"/>
          <w:sz w:val="32"/>
          <w:szCs w:val="32"/>
          <w:lang w:val="en-US" w:eastAsia="zh-CN"/>
        </w:rPr>
        <w:t>完成</w:t>
      </w:r>
      <w:r>
        <w:rPr>
          <w:rFonts w:hint="eastAsia" w:ascii="仿宋_GB2312" w:hAnsi="仿宋_GB2312" w:eastAsia="仿宋_GB2312" w:cs="仿宋_GB2312"/>
          <w:b w:val="0"/>
          <w:bCs w:val="0"/>
          <w:i w:val="0"/>
          <w:caps w:val="0"/>
          <w:color w:val="auto"/>
          <w:spacing w:val="0"/>
          <w:w w:val="100"/>
          <w:kern w:val="2"/>
          <w:sz w:val="32"/>
          <w:szCs w:val="32"/>
          <w:lang w:val="en-US" w:eastAsia="zh-CN"/>
        </w:rPr>
        <w:t>新认定“专精特新”中小企业、企业技术中心、先进级智能工厂、数字化转型贯标企业等15家</w:t>
      </w:r>
      <w:r>
        <w:rPr>
          <w:rFonts w:hint="eastAsia" w:ascii="仿宋" w:hAnsi="仿宋" w:eastAsia="仿宋" w:cs="仿宋"/>
          <w:b w:val="0"/>
          <w:i w:val="0"/>
          <w:strike w:val="0"/>
          <w:sz w:val="32"/>
          <w:szCs w:val="32"/>
        </w:rPr>
        <w:t>。推进绿色制造，创建绿色工厂，促进产业高端化、智能化、绿色化发展</w:t>
      </w:r>
      <w:r>
        <w:rPr>
          <w:rFonts w:hint="eastAsia" w:ascii="仿宋" w:hAnsi="仿宋" w:eastAsia="仿宋" w:cs="仿宋"/>
          <w:b w:val="0"/>
          <w:i w:val="0"/>
          <w:strike w:val="0"/>
          <w:sz w:val="32"/>
          <w:szCs w:val="32"/>
          <w:lang w:eastAsia="zh-CN"/>
        </w:rPr>
        <w:t>，</w:t>
      </w:r>
      <w:r>
        <w:rPr>
          <w:rFonts w:hint="eastAsia" w:ascii="仿宋_GB2312" w:hAnsi="仿宋_GB2312" w:eastAsia="仿宋_GB2312" w:cs="仿宋_GB2312"/>
          <w:b w:val="0"/>
          <w:bCs w:val="0"/>
          <w:i w:val="0"/>
          <w:caps w:val="0"/>
          <w:color w:val="auto"/>
          <w:spacing w:val="0"/>
          <w:w w:val="100"/>
          <w:kern w:val="2"/>
          <w:sz w:val="32"/>
          <w:szCs w:val="32"/>
          <w:lang w:val="en-US" w:eastAsia="zh-CN"/>
        </w:rPr>
        <w:t>促进企业高质量发展，进一步增强企业、产业的市场竞争力。</w:t>
      </w:r>
    </w:p>
    <w:p>
      <w:pPr>
        <w:keepNext w:val="0"/>
        <w:keepLines w:val="0"/>
        <w:pageBreakBefore w:val="0"/>
        <w:widowControl/>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b w:val="0"/>
          <w:i w:val="0"/>
          <w:strike w:val="0"/>
          <w:sz w:val="32"/>
          <w:szCs w:val="32"/>
        </w:rPr>
      </w:pPr>
      <w:r>
        <w:rPr>
          <w:rFonts w:hint="eastAsia" w:ascii="仿宋" w:hAnsi="仿宋" w:eastAsia="仿宋" w:cs="仿宋"/>
          <w:b w:val="0"/>
          <w:i w:val="0"/>
          <w:strike w:val="0"/>
          <w:sz w:val="32"/>
          <w:szCs w:val="32"/>
          <w:lang w:val="en-US" w:eastAsia="zh-CN"/>
        </w:rPr>
        <w:t>4.</w:t>
      </w:r>
      <w:r>
        <w:rPr>
          <w:rFonts w:hint="eastAsia" w:ascii="仿宋" w:hAnsi="仿宋" w:eastAsia="仿宋" w:cs="仿宋"/>
          <w:b/>
          <w:i w:val="0"/>
          <w:strike w:val="0"/>
          <w:sz w:val="32"/>
          <w:szCs w:val="32"/>
        </w:rPr>
        <w:t>聚焦优环境，</w:t>
      </w:r>
      <w:r>
        <w:rPr>
          <w:rFonts w:hint="eastAsia" w:ascii="仿宋" w:hAnsi="仿宋" w:eastAsia="仿宋" w:cs="仿宋"/>
          <w:b/>
          <w:i w:val="0"/>
          <w:strike w:val="0"/>
          <w:sz w:val="32"/>
          <w:szCs w:val="32"/>
          <w:lang w:val="en-US" w:eastAsia="zh-CN"/>
        </w:rPr>
        <w:t>强化</w:t>
      </w:r>
      <w:r>
        <w:rPr>
          <w:rFonts w:hint="eastAsia" w:ascii="仿宋" w:hAnsi="仿宋" w:eastAsia="仿宋" w:cs="仿宋"/>
          <w:b/>
          <w:i w:val="0"/>
          <w:strike w:val="0"/>
          <w:sz w:val="32"/>
          <w:szCs w:val="32"/>
        </w:rPr>
        <w:t>安全稳定。</w:t>
      </w:r>
      <w:r>
        <w:rPr>
          <w:rFonts w:hint="eastAsia" w:ascii="仿宋" w:hAnsi="仿宋" w:eastAsia="仿宋" w:cs="仿宋"/>
          <w:b w:val="0"/>
          <w:bCs/>
          <w:i w:val="0"/>
          <w:strike w:val="0"/>
          <w:sz w:val="32"/>
          <w:szCs w:val="32"/>
          <w:lang w:val="en-US" w:eastAsia="zh-CN"/>
        </w:rPr>
        <w:t>大力开展“三大抓”企业服务年行动，</w:t>
      </w:r>
      <w:r>
        <w:rPr>
          <w:rFonts w:hint="eastAsia" w:ascii="仿宋" w:hAnsi="仿宋" w:eastAsia="仿宋" w:cs="仿宋"/>
          <w:b w:val="0"/>
          <w:i w:val="0"/>
          <w:strike w:val="0"/>
          <w:sz w:val="32"/>
          <w:szCs w:val="32"/>
        </w:rPr>
        <w:t>持续优化营商环境，确保惠企政策及时兑现。深化拖欠中小企业账款清偿工作。扎实开展安全生产治本攻坚行动，强化日常监管，坚决守牢安全生产与生态环保底线，维护工信系统和谐稳定大局。</w:t>
      </w:r>
    </w:p>
    <w:p>
      <w:pPr>
        <w:spacing w:line="560" w:lineRule="exact"/>
        <w:ind w:firstLine="640" w:firstLineChars="200"/>
        <w:rPr>
          <w:rFonts w:eastAsia="黑体"/>
          <w:sz w:val="32"/>
          <w:szCs w:val="32"/>
        </w:rPr>
      </w:pPr>
      <w:r>
        <w:rPr>
          <w:rFonts w:hint="eastAsia" w:eastAsia="黑体"/>
          <w:sz w:val="32"/>
          <w:szCs w:val="32"/>
        </w:rPr>
        <w:t>九、</w:t>
      </w:r>
      <w:r>
        <w:rPr>
          <w:rFonts w:eastAsia="黑体"/>
          <w:sz w:val="32"/>
          <w:szCs w:val="32"/>
        </w:rPr>
        <w:t>绩效自评结果拟应用和公开情况</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根据财政部门规定，我单位将在</w:t>
      </w:r>
      <w:r>
        <w:rPr>
          <w:rFonts w:hint="eastAsia" w:ascii="仿宋" w:hAnsi="仿宋" w:eastAsia="仿宋" w:cs="仿宋"/>
          <w:sz w:val="32"/>
          <w:szCs w:val="32"/>
          <w:lang w:val="en-US" w:eastAsia="zh-CN"/>
        </w:rPr>
        <w:t>道县</w:t>
      </w:r>
      <w:r>
        <w:rPr>
          <w:rFonts w:hint="eastAsia" w:ascii="仿宋" w:hAnsi="仿宋" w:eastAsia="仿宋" w:cs="仿宋"/>
          <w:sz w:val="32"/>
          <w:szCs w:val="32"/>
        </w:rPr>
        <w:t>人民政府网公布绩效自评结果，接受社会各界的监督。</w:t>
      </w:r>
    </w:p>
    <w:p>
      <w:pPr>
        <w:spacing w:line="560" w:lineRule="exact"/>
        <w:ind w:left="420" w:leftChars="200" w:firstLine="320" w:firstLineChars="100"/>
        <w:rPr>
          <w:rFonts w:eastAsia="黑体"/>
          <w:sz w:val="32"/>
          <w:szCs w:val="32"/>
        </w:rPr>
      </w:pPr>
      <w:r>
        <w:rPr>
          <w:rFonts w:hint="eastAsia" w:eastAsia="黑体"/>
          <w:sz w:val="32"/>
          <w:szCs w:val="32"/>
        </w:rPr>
        <w:t>十、</w:t>
      </w:r>
      <w:r>
        <w:rPr>
          <w:rFonts w:eastAsia="黑体"/>
          <w:sz w:val="32"/>
          <w:szCs w:val="32"/>
        </w:rPr>
        <w:t>其他需要说明的情况</w:t>
      </w:r>
    </w:p>
    <w:p>
      <w:pPr>
        <w:spacing w:line="560" w:lineRule="exact"/>
        <w:ind w:left="420" w:leftChars="200"/>
        <w:rPr>
          <w:rFonts w:hint="eastAsia" w:ascii="黑体" w:hAnsi="黑体" w:eastAsia="黑体"/>
          <w:kern w:val="0"/>
          <w:sz w:val="32"/>
          <w:szCs w:val="32"/>
        </w:rPr>
      </w:pPr>
      <w:r>
        <w:rPr>
          <w:rFonts w:hint="eastAsia" w:ascii="仿宋" w:hAnsi="仿宋" w:eastAsia="仿宋" w:cs="仿宋"/>
          <w:sz w:val="32"/>
          <w:szCs w:val="32"/>
        </w:rPr>
        <w:t xml:space="preserve">  无。</w:t>
      </w:r>
    </w:p>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
    <w:altName w:val="方正楷体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0000000000000000000"/>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57785" cy="131445"/>
                      </a:xfrm>
                      <a:prstGeom prst="rect">
                        <a:avLst/>
                      </a:prstGeom>
                      <a:noFill/>
                      <a:ln w="6350">
                        <a:noFill/>
                      </a:ln>
                    </wps:spPr>
                    <wps:txbx>
                      <w:txbxContent>
                        <w:p>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DrvABY0QAAAAIBAAAPAAAAAAAAAAEAIAAAADgAAABkcnMvZG93bnJldi54bWxQSwECFAAUAAAA&#10;CACHTuJAXxSKbRgCAAAWBAAADgAAAAAAAAABACAAAAA2AQAAZHJzL2Uyb0RvYy54bWxQSwUGAAAA&#10;AAYABgBZAQAAw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FA0B51"/>
    <w:multiLevelType w:val="singleLevel"/>
    <w:tmpl w:val="0AFA0B51"/>
    <w:lvl w:ilvl="0" w:tentative="0">
      <w:start w:val="2"/>
      <w:numFmt w:val="chineseCounting"/>
      <w:suff w:val="nothing"/>
      <w:lvlText w:val="（%1）"/>
      <w:lvlJc w:val="left"/>
      <w:rPr>
        <w:rFonts w:hint="eastAsia"/>
      </w:rPr>
    </w:lvl>
  </w:abstractNum>
  <w:abstractNum w:abstractNumId="1">
    <w:nsid w:val="2B440481"/>
    <w:multiLevelType w:val="singleLevel"/>
    <w:tmpl w:val="2B440481"/>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RmMDA0MjRiOThhYWMwZTZlNThkOWE2NWIzMTJlYTgifQ=="/>
  </w:docVars>
  <w:rsids>
    <w:rsidRoot w:val="1DE26AFC"/>
    <w:rsid w:val="00001C0A"/>
    <w:rsid w:val="00005E3A"/>
    <w:rsid w:val="00046C50"/>
    <w:rsid w:val="00057E77"/>
    <w:rsid w:val="000D62B7"/>
    <w:rsid w:val="000E7EDF"/>
    <w:rsid w:val="000F6130"/>
    <w:rsid w:val="00101065"/>
    <w:rsid w:val="00157D96"/>
    <w:rsid w:val="00184C54"/>
    <w:rsid w:val="00197D60"/>
    <w:rsid w:val="001A20CD"/>
    <w:rsid w:val="001E6CE6"/>
    <w:rsid w:val="001F215E"/>
    <w:rsid w:val="00201105"/>
    <w:rsid w:val="0023387F"/>
    <w:rsid w:val="00236674"/>
    <w:rsid w:val="00272677"/>
    <w:rsid w:val="00296EA1"/>
    <w:rsid w:val="002A4D4B"/>
    <w:rsid w:val="002D0E67"/>
    <w:rsid w:val="00306074"/>
    <w:rsid w:val="00312ABC"/>
    <w:rsid w:val="003210F1"/>
    <w:rsid w:val="0032791A"/>
    <w:rsid w:val="003A73FB"/>
    <w:rsid w:val="003C17C5"/>
    <w:rsid w:val="00401D1A"/>
    <w:rsid w:val="00404B44"/>
    <w:rsid w:val="00417120"/>
    <w:rsid w:val="0047709A"/>
    <w:rsid w:val="00484199"/>
    <w:rsid w:val="004A112C"/>
    <w:rsid w:val="004A30F7"/>
    <w:rsid w:val="004A6958"/>
    <w:rsid w:val="004D0DED"/>
    <w:rsid w:val="004D2AB2"/>
    <w:rsid w:val="00522ECC"/>
    <w:rsid w:val="00534A27"/>
    <w:rsid w:val="00576085"/>
    <w:rsid w:val="005B731B"/>
    <w:rsid w:val="005D7074"/>
    <w:rsid w:val="005E39A6"/>
    <w:rsid w:val="00611257"/>
    <w:rsid w:val="00620F8F"/>
    <w:rsid w:val="00675238"/>
    <w:rsid w:val="006C2351"/>
    <w:rsid w:val="00721581"/>
    <w:rsid w:val="0075245D"/>
    <w:rsid w:val="0076066F"/>
    <w:rsid w:val="0076133E"/>
    <w:rsid w:val="007878E1"/>
    <w:rsid w:val="007A5E07"/>
    <w:rsid w:val="008051A1"/>
    <w:rsid w:val="0082094E"/>
    <w:rsid w:val="00831A88"/>
    <w:rsid w:val="00842A4F"/>
    <w:rsid w:val="00874E12"/>
    <w:rsid w:val="008A15C2"/>
    <w:rsid w:val="008E2D8F"/>
    <w:rsid w:val="008F76E1"/>
    <w:rsid w:val="009133B7"/>
    <w:rsid w:val="0092707A"/>
    <w:rsid w:val="00953655"/>
    <w:rsid w:val="00956D95"/>
    <w:rsid w:val="00A70C52"/>
    <w:rsid w:val="00A90C6F"/>
    <w:rsid w:val="00AF00D4"/>
    <w:rsid w:val="00B05D52"/>
    <w:rsid w:val="00B17CE9"/>
    <w:rsid w:val="00B24F50"/>
    <w:rsid w:val="00B30B27"/>
    <w:rsid w:val="00BC3A12"/>
    <w:rsid w:val="00BC648B"/>
    <w:rsid w:val="00BE5D79"/>
    <w:rsid w:val="00C67AFF"/>
    <w:rsid w:val="00C86B43"/>
    <w:rsid w:val="00C97593"/>
    <w:rsid w:val="00CA482E"/>
    <w:rsid w:val="00CC4D6A"/>
    <w:rsid w:val="00D40D58"/>
    <w:rsid w:val="00D44C03"/>
    <w:rsid w:val="00D61F0F"/>
    <w:rsid w:val="00D71D7E"/>
    <w:rsid w:val="00D80C2C"/>
    <w:rsid w:val="00DC2D05"/>
    <w:rsid w:val="00DD454A"/>
    <w:rsid w:val="00DE497D"/>
    <w:rsid w:val="00DE7293"/>
    <w:rsid w:val="00E04A27"/>
    <w:rsid w:val="00E531F9"/>
    <w:rsid w:val="00E655D3"/>
    <w:rsid w:val="00EF469C"/>
    <w:rsid w:val="00F02B70"/>
    <w:rsid w:val="00F06618"/>
    <w:rsid w:val="00FB33AD"/>
    <w:rsid w:val="00FD19FE"/>
    <w:rsid w:val="04AF1BB9"/>
    <w:rsid w:val="04B21D42"/>
    <w:rsid w:val="0A4344E3"/>
    <w:rsid w:val="0C9615C8"/>
    <w:rsid w:val="0DF6450F"/>
    <w:rsid w:val="0EA9279A"/>
    <w:rsid w:val="0FF824F4"/>
    <w:rsid w:val="13E646CF"/>
    <w:rsid w:val="1A8873A0"/>
    <w:rsid w:val="1C1551C5"/>
    <w:rsid w:val="1DE26AFC"/>
    <w:rsid w:val="21311E2C"/>
    <w:rsid w:val="234806C2"/>
    <w:rsid w:val="23E14EBE"/>
    <w:rsid w:val="251A2763"/>
    <w:rsid w:val="26035315"/>
    <w:rsid w:val="26FF3750"/>
    <w:rsid w:val="28C77944"/>
    <w:rsid w:val="2F2D14C0"/>
    <w:rsid w:val="30CE0A81"/>
    <w:rsid w:val="320B6E2F"/>
    <w:rsid w:val="337F4403"/>
    <w:rsid w:val="3385661C"/>
    <w:rsid w:val="3C1C1F71"/>
    <w:rsid w:val="3C992CF8"/>
    <w:rsid w:val="3EE967CD"/>
    <w:rsid w:val="3F1C7550"/>
    <w:rsid w:val="400E0AF2"/>
    <w:rsid w:val="40615CD2"/>
    <w:rsid w:val="410019B6"/>
    <w:rsid w:val="41CC4968"/>
    <w:rsid w:val="42642FF3"/>
    <w:rsid w:val="44653C9C"/>
    <w:rsid w:val="44E27DBA"/>
    <w:rsid w:val="4C251A45"/>
    <w:rsid w:val="4C3E5D52"/>
    <w:rsid w:val="4CA50490"/>
    <w:rsid w:val="4F441D9F"/>
    <w:rsid w:val="50A30CB8"/>
    <w:rsid w:val="52C00DE5"/>
    <w:rsid w:val="55B915A0"/>
    <w:rsid w:val="58240FC6"/>
    <w:rsid w:val="58995F31"/>
    <w:rsid w:val="5A45592F"/>
    <w:rsid w:val="5B81656C"/>
    <w:rsid w:val="5E9A69B7"/>
    <w:rsid w:val="5FC12C62"/>
    <w:rsid w:val="62B045A2"/>
    <w:rsid w:val="6BCA0B06"/>
    <w:rsid w:val="6E4A64AC"/>
    <w:rsid w:val="6E860BE1"/>
    <w:rsid w:val="6FDFA934"/>
    <w:rsid w:val="6FF76D1B"/>
    <w:rsid w:val="71456650"/>
    <w:rsid w:val="71A02D3C"/>
    <w:rsid w:val="779649B4"/>
    <w:rsid w:val="78C72CE9"/>
    <w:rsid w:val="792C6B53"/>
    <w:rsid w:val="7B7D2454"/>
    <w:rsid w:val="7D9829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6"/>
    <w:qFormat/>
    <w:uiPriority w:val="0"/>
    <w:pPr>
      <w:keepNext/>
      <w:keepLines/>
      <w:spacing w:line="600" w:lineRule="exact"/>
      <w:ind w:firstLine="640" w:firstLineChars="200"/>
      <w:outlineLvl w:val="2"/>
    </w:pPr>
    <w:rPr>
      <w:rFonts w:eastAsia="楷体" w:cs="Times New Roman"/>
      <w:b/>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2"/>
    <w:basedOn w:val="1"/>
    <w:qFormat/>
    <w:uiPriority w:val="0"/>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563C1" w:themeColor="hyperlink"/>
      <w:u w:val="single"/>
      <w14:textFill>
        <w14:solidFill>
          <w14:schemeClr w14:val="hlink"/>
        </w14:solidFill>
      </w14:textFill>
    </w:rPr>
  </w:style>
  <w:style w:type="paragraph" w:styleId="11">
    <w:name w:val="List Paragraph"/>
    <w:basedOn w:val="1"/>
    <w:qFormat/>
    <w:uiPriority w:val="99"/>
    <w:pPr>
      <w:ind w:firstLine="420" w:firstLineChars="200"/>
    </w:pPr>
    <w:rPr>
      <w:rFonts w:ascii="Calibri" w:hAnsi="Calibri"/>
      <w:szCs w:val="22"/>
    </w:rPr>
  </w:style>
  <w:style w:type="paragraph" w:customStyle="1" w:styleId="12">
    <w:name w:val="p0"/>
    <w:basedOn w:val="1"/>
    <w:qFormat/>
    <w:uiPriority w:val="99"/>
    <w:pPr>
      <w:widowControl/>
    </w:pPr>
    <w:rPr>
      <w:kern w:val="0"/>
      <w:szCs w:val="21"/>
    </w:rPr>
  </w:style>
  <w:style w:type="table" w:customStyle="1" w:styleId="13">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14">
    <w:name w:val="Table Paragraph"/>
    <w:basedOn w:val="1"/>
    <w:qFormat/>
    <w:uiPriority w:val="1"/>
    <w:pPr>
      <w:autoSpaceDE w:val="0"/>
      <w:autoSpaceDN w:val="0"/>
      <w:jc w:val="left"/>
    </w:pPr>
    <w:rPr>
      <w:rFonts w:ascii="仿宋_GB2312" w:hAnsi="仿宋_GB2312" w:eastAsia="仿宋_GB2312" w:cs="仿宋_GB2312"/>
      <w:kern w:val="0"/>
      <w:sz w:val="22"/>
      <w:szCs w:val="22"/>
    </w:rPr>
  </w:style>
  <w:style w:type="character" w:customStyle="1" w:styleId="15">
    <w:name w:val="Unresolved Mention"/>
    <w:basedOn w:val="9"/>
    <w:semiHidden/>
    <w:unhideWhenUsed/>
    <w:qFormat/>
    <w:uiPriority w:val="99"/>
    <w:rPr>
      <w:color w:val="605E5C"/>
      <w:shd w:val="clear" w:color="auto" w:fill="E1DFDD"/>
    </w:rPr>
  </w:style>
  <w:style w:type="character" w:customStyle="1" w:styleId="16">
    <w:name w:val="标题 3 字符"/>
    <w:link w:val="2"/>
    <w:qFormat/>
    <w:uiPriority w:val="0"/>
    <w:rPr>
      <w:rFonts w:eastAsia="楷体" w:cs="Times New Roman"/>
      <w:b/>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5672</Words>
  <Characters>5905</Characters>
  <Lines>58</Lines>
  <Paragraphs>16</Paragraphs>
  <TotalTime>8</TotalTime>
  <ScaleCrop>false</ScaleCrop>
  <LinksUpToDate>false</LinksUpToDate>
  <CharactersWithSpaces>5910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2026-04-08T11:40:00Z</dcterms:created>
  <dc:creator>cx6</dc:creator>
  <cp:lastModifiedBy>kylin</cp:lastModifiedBy>
  <cp:lastPrinted>2025-04-20T15:07:00Z</cp:lastPrinted>
  <dcterms:modified xsi:type="dcterms:W3CDTF">2026-09-09T15:41:40Z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4C9D9072FFF3421E86566F787EE1CC48</vt:lpwstr>
  </property>
  <property fmtid="{D5CDD505-2E9C-101B-9397-08002B2CF9AE}" pid="4" name="KSOTemplateDocerSaveRecord">
    <vt:lpwstr>eyJoZGlkIjoiOTAwNWJiOTllOWZmYTkxMThhNjgxNjQwZDI3YTg4MDciLCJ1c2VySWQiOiI1NTE0MzE4NTgifQ==</vt:lpwstr>
  </property>
</Properties>
</file>