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center"/>
        <w:rPr>
          <w:sz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p>
                  </w:txbxContent>
                </v:textbox>
              </v:shape>
            </w:pict>
          </mc:Fallback>
        </mc:AlternateContent>
      </w:r>
    </w:p>
    <w:p>
      <w:pPr>
        <w:pStyle w:val="16"/>
        <w:jc w:val="center"/>
        <w:rPr>
          <w:sz w:val="56"/>
        </w:rPr>
      </w:pPr>
    </w:p>
    <w:p>
      <w:pPr>
        <w:pStyle w:val="16"/>
        <w:jc w:val="center"/>
        <w:rPr>
          <w:rFonts w:hint="eastAsia"/>
          <w:sz w:val="56"/>
        </w:rPr>
      </w:pPr>
    </w:p>
    <w:p>
      <w:pPr>
        <w:pStyle w:val="16"/>
        <w:jc w:val="center"/>
        <w:rPr>
          <w:rFonts w:hint="eastAsia" w:ascii="Times New Roman" w:hAnsi="Times New Roman" w:eastAsia="方正小标宋简体" w:cs="Times New Roman"/>
          <w:kern w:val="0"/>
          <w:sz w:val="72"/>
          <w:szCs w:val="72"/>
        </w:rPr>
      </w:pPr>
    </w:p>
    <w:p>
      <w:pPr>
        <w:pStyle w:val="16"/>
        <w:jc w:val="center"/>
        <w:rPr>
          <w:rFonts w:hint="eastAsia" w:ascii="Times New Roman" w:hAnsi="Times New Roman" w:eastAsia="方正小标宋简体" w:cs="Times New Roman"/>
          <w:kern w:val="0"/>
          <w:sz w:val="72"/>
          <w:szCs w:val="72"/>
        </w:rPr>
      </w:pPr>
      <w:r>
        <w:rPr>
          <w:rFonts w:hint="eastAsia" w:ascii="Times New Roman" w:hAnsi="Times New Roman" w:eastAsia="方正小标宋简体" w:cs="Times New Roman"/>
          <w:kern w:val="0"/>
          <w:sz w:val="72"/>
          <w:szCs w:val="72"/>
        </w:rPr>
        <w:t>202</w:t>
      </w:r>
      <w:r>
        <w:rPr>
          <w:rFonts w:hint="eastAsia" w:ascii="Times New Roman" w:hAnsi="Times New Roman" w:eastAsia="方正小标宋简体" w:cs="Times New Roman"/>
          <w:kern w:val="0"/>
          <w:sz w:val="72"/>
          <w:szCs w:val="72"/>
          <w:lang w:val="en-US" w:eastAsia="zh-CN"/>
        </w:rPr>
        <w:t>5</w:t>
      </w:r>
      <w:r>
        <w:rPr>
          <w:rFonts w:hint="eastAsia" w:ascii="Times New Roman" w:hAnsi="Times New Roman" w:eastAsia="方正小标宋简体" w:cs="Times New Roman"/>
          <w:kern w:val="0"/>
          <w:sz w:val="72"/>
          <w:szCs w:val="72"/>
        </w:rPr>
        <w:t>年度</w:t>
      </w:r>
    </w:p>
    <w:p>
      <w:pPr>
        <w:pStyle w:val="16"/>
        <w:jc w:val="center"/>
        <w:rPr>
          <w:rFonts w:hint="eastAsia" w:ascii="Times New Roman" w:hAnsi="Times New Roman" w:eastAsia="方正小标宋简体" w:cs="Times New Roman"/>
          <w:kern w:val="0"/>
          <w:sz w:val="72"/>
          <w:szCs w:val="72"/>
        </w:rPr>
      </w:pPr>
    </w:p>
    <w:p>
      <w:pPr>
        <w:pStyle w:val="16"/>
        <w:jc w:val="center"/>
        <w:rPr>
          <w:rFonts w:hint="eastAsia" w:ascii="Times New Roman" w:hAnsi="Times New Roman" w:eastAsia="方正小标宋简体" w:cs="Times New Roman"/>
          <w:kern w:val="0"/>
          <w:sz w:val="72"/>
          <w:szCs w:val="72"/>
        </w:rPr>
      </w:pPr>
      <w:r>
        <w:rPr>
          <w:rFonts w:hint="eastAsia" w:ascii="Times New Roman" w:hAnsi="Times New Roman" w:eastAsia="方正小标宋简体" w:cs="Times New Roman"/>
          <w:kern w:val="0"/>
          <w:sz w:val="72"/>
          <w:szCs w:val="72"/>
          <w:lang w:eastAsia="zh-CN"/>
        </w:rPr>
        <w:t>道县湘源温泉风景区事务中心</w:t>
      </w:r>
      <w:r>
        <w:rPr>
          <w:rFonts w:hint="eastAsia" w:ascii="Times New Roman" w:hAnsi="Times New Roman" w:eastAsia="方正小标宋简体" w:cs="Times New Roman"/>
          <w:kern w:val="0"/>
          <w:sz w:val="72"/>
          <w:szCs w:val="72"/>
        </w:rPr>
        <w:t>部门决算</w:t>
      </w:r>
    </w:p>
    <w:p>
      <w:pPr>
        <w:pStyle w:val="16"/>
        <w:jc w:val="center"/>
        <w:rPr>
          <w:rFonts w:hint="eastAsia" w:ascii="Times New Roman" w:hAnsi="Times New Roman" w:eastAsia="方正小标宋简体" w:cs="Times New Roman"/>
          <w:kern w:val="0"/>
          <w:sz w:val="72"/>
          <w:szCs w:val="72"/>
        </w:rPr>
      </w:pPr>
    </w:p>
    <w:p>
      <w:pPr>
        <w:pStyle w:val="16"/>
        <w:jc w:val="center"/>
        <w:rPr>
          <w:sz w:val="56"/>
          <w:szCs w:val="56"/>
        </w:rPr>
      </w:pPr>
    </w:p>
    <w:p>
      <w:pPr>
        <w:pStyle w:val="16"/>
        <w:jc w:val="center"/>
        <w:rPr>
          <w:sz w:val="56"/>
          <w:szCs w:val="56"/>
        </w:rPr>
      </w:pPr>
    </w:p>
    <w:p>
      <w:pPr>
        <w:pStyle w:val="16"/>
        <w:jc w:val="center"/>
        <w:rPr>
          <w:sz w:val="56"/>
          <w:szCs w:val="56"/>
        </w:rPr>
      </w:pPr>
    </w:p>
    <w:p>
      <w:pPr>
        <w:pStyle w:val="16"/>
        <w:jc w:val="center"/>
        <w:rPr>
          <w:sz w:val="56"/>
          <w:szCs w:val="56"/>
        </w:rPr>
      </w:pPr>
    </w:p>
    <w:p>
      <w:pPr>
        <w:pStyle w:val="16"/>
        <w:jc w:val="center"/>
        <w:rPr>
          <w:sz w:val="32"/>
          <w:szCs w:val="32"/>
        </w:rPr>
      </w:pPr>
    </w:p>
    <w:p>
      <w:pPr>
        <w:pStyle w:val="16"/>
        <w:jc w:val="center"/>
        <w:rPr>
          <w:sz w:val="32"/>
          <w:szCs w:val="32"/>
        </w:rPr>
      </w:pPr>
    </w:p>
    <w:p>
      <w:pPr>
        <w:pStyle w:val="16"/>
        <w:jc w:val="center"/>
        <w:rPr>
          <w:sz w:val="32"/>
          <w:szCs w:val="32"/>
        </w:rPr>
      </w:pPr>
    </w:p>
    <w:p>
      <w:pPr>
        <w:pStyle w:val="16"/>
        <w:jc w:val="center"/>
        <w:rPr>
          <w:sz w:val="32"/>
          <w:szCs w:val="32"/>
        </w:rPr>
      </w:pPr>
    </w:p>
    <w:p>
      <w:pPr>
        <w:pStyle w:val="16"/>
        <w:spacing w:line="500" w:lineRule="exact"/>
        <w:jc w:val="both"/>
        <w:rPr>
          <w:rFonts w:hint="eastAsia" w:ascii="仿宋" w:hAnsi="仿宋" w:eastAsia="仿宋" w:cs="仿宋"/>
          <w:b/>
          <w:sz w:val="32"/>
          <w:szCs w:val="32"/>
        </w:rPr>
      </w:pPr>
    </w:p>
    <w:p>
      <w:pPr>
        <w:pStyle w:val="16"/>
        <w:spacing w:line="500" w:lineRule="exact"/>
        <w:jc w:val="center"/>
        <w:rPr>
          <w:rFonts w:hint="eastAsia" w:ascii="仿宋" w:hAnsi="仿宋" w:eastAsia="仿宋" w:cs="仿宋"/>
          <w:b/>
          <w:sz w:val="32"/>
          <w:szCs w:val="32"/>
        </w:rPr>
      </w:pPr>
    </w:p>
    <w:p>
      <w:pPr>
        <w:pStyle w:val="16"/>
        <w:spacing w:line="500" w:lineRule="exact"/>
        <w:jc w:val="center"/>
        <w:rPr>
          <w:rFonts w:hint="eastAsia" w:ascii="仿宋" w:hAnsi="仿宋" w:eastAsia="仿宋" w:cs="仿宋"/>
          <w:b/>
          <w:sz w:val="32"/>
          <w:szCs w:val="32"/>
        </w:rPr>
      </w:pPr>
    </w:p>
    <w:p>
      <w:pPr>
        <w:pStyle w:val="16"/>
        <w:spacing w:line="500" w:lineRule="exact"/>
        <w:jc w:val="center"/>
        <w:rPr>
          <w:rFonts w:hint="eastAsia" w:ascii="仿宋" w:hAnsi="仿宋" w:eastAsia="仿宋" w:cs="仿宋"/>
          <w:b/>
          <w:sz w:val="32"/>
          <w:szCs w:val="32"/>
        </w:rPr>
      </w:pPr>
    </w:p>
    <w:p>
      <w:pPr>
        <w:pStyle w:val="16"/>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w:t>
      </w:r>
      <w:r>
        <w:rPr>
          <w:rFonts w:hint="eastAsia" w:ascii="仿宋" w:hAnsi="仿宋" w:eastAsia="仿宋" w:cs="仿宋"/>
          <w:b/>
          <w:sz w:val="32"/>
          <w:szCs w:val="32"/>
          <w:lang w:val="en-US" w:eastAsia="zh-CN"/>
        </w:rPr>
        <w:t xml:space="preserve">     </w:t>
      </w:r>
      <w:r>
        <w:rPr>
          <w:rFonts w:hint="eastAsia" w:ascii="仿宋" w:hAnsi="仿宋" w:eastAsia="仿宋" w:cs="仿宋"/>
          <w:b/>
          <w:sz w:val="32"/>
          <w:szCs w:val="32"/>
        </w:rPr>
        <w:t>录</w:t>
      </w:r>
    </w:p>
    <w:p>
      <w:pPr>
        <w:pStyle w:val="16"/>
        <w:spacing w:line="500" w:lineRule="exact"/>
        <w:jc w:val="center"/>
        <w:rPr>
          <w:rFonts w:hint="eastAsia" w:ascii="仿宋" w:hAnsi="仿宋" w:eastAsia="仿宋" w:cs="仿宋"/>
          <w:b/>
          <w:sz w:val="32"/>
          <w:szCs w:val="32"/>
        </w:rPr>
      </w:pPr>
    </w:p>
    <w:p>
      <w:pPr>
        <w:pStyle w:val="16"/>
        <w:spacing w:line="500" w:lineRule="exact"/>
        <w:jc w:val="center"/>
        <w:rPr>
          <w:rFonts w:hint="eastAsia" w:ascii="仿宋" w:hAnsi="仿宋" w:eastAsia="仿宋" w:cs="仿宋"/>
          <w:b/>
          <w:sz w:val="32"/>
          <w:szCs w:val="32"/>
        </w:rPr>
      </w:pPr>
    </w:p>
    <w:p>
      <w:pPr>
        <w:pStyle w:val="16"/>
        <w:spacing w:line="500" w:lineRule="exact"/>
        <w:ind w:firstLine="562" w:firstLineChars="200"/>
        <w:rPr>
          <w:rFonts w:hint="eastAsia" w:ascii="仿宋" w:hAnsi="仿宋" w:eastAsia="仿宋" w:cs="仿宋"/>
          <w:b w:val="0"/>
          <w:bCs/>
          <w:sz w:val="28"/>
          <w:szCs w:val="28"/>
        </w:rPr>
      </w:pPr>
      <w:r>
        <w:rPr>
          <w:rFonts w:hint="eastAsia" w:ascii="仿宋" w:hAnsi="仿宋" w:eastAsia="仿宋" w:cs="仿宋"/>
          <w:b/>
          <w:bCs w:val="0"/>
          <w:sz w:val="28"/>
          <w:szCs w:val="28"/>
        </w:rPr>
        <w:t>第一部分</w:t>
      </w:r>
      <w:r>
        <w:rPr>
          <w:rFonts w:hint="eastAsia" w:ascii="仿宋" w:hAnsi="仿宋" w:eastAsia="仿宋" w:cs="仿宋"/>
          <w:b/>
          <w:bCs w:val="0"/>
          <w:sz w:val="28"/>
          <w:szCs w:val="28"/>
          <w:lang w:val="en-US" w:eastAsia="zh-CN"/>
        </w:rPr>
        <w:t xml:space="preserve"> 道县湘源温泉风景区事务中心</w:t>
      </w:r>
      <w:r>
        <w:rPr>
          <w:rFonts w:hint="eastAsia" w:ascii="仿宋" w:hAnsi="仿宋" w:eastAsia="仿宋" w:cs="仿宋"/>
          <w:b/>
          <w:bCs w:val="0"/>
          <w:sz w:val="28"/>
          <w:szCs w:val="28"/>
        </w:rPr>
        <w:t>概况</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一、部门职责</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二、</w:t>
      </w:r>
      <w:r>
        <w:rPr>
          <w:rFonts w:ascii="Times New Roman" w:hAnsi="Times New Roman" w:eastAsia="仿宋_GB2312" w:cs="Times New Roman"/>
          <w:sz w:val="32"/>
          <w:szCs w:val="32"/>
        </w:rPr>
        <w:t>机构设置及决算单位构成</w:t>
      </w:r>
    </w:p>
    <w:p>
      <w:pPr>
        <w:pStyle w:val="16"/>
        <w:spacing w:line="50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第二部分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部门决算表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一、收入支出决算总表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二、收入决算表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三、支出决算表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四、财政拨款收入支出决算总表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六、一般公共预算财政拨款基本支出决算明细表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七、政府性基金预算财政拨款收入支出决算表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八、国有资本经营预算财政拨款支出决算表</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九、财政拨款“三公”经费支出决算表</w:t>
      </w:r>
    </w:p>
    <w:p>
      <w:pPr>
        <w:pStyle w:val="16"/>
        <w:spacing w:line="500" w:lineRule="exact"/>
        <w:ind w:firstLine="562" w:firstLineChars="200"/>
        <w:rPr>
          <w:rFonts w:hint="eastAsia" w:ascii="仿宋" w:hAnsi="仿宋" w:eastAsia="仿宋" w:cs="仿宋"/>
          <w:b w:val="0"/>
          <w:bCs/>
          <w:sz w:val="28"/>
          <w:szCs w:val="28"/>
        </w:rPr>
      </w:pPr>
      <w:r>
        <w:rPr>
          <w:rFonts w:hint="eastAsia" w:ascii="仿宋" w:hAnsi="仿宋" w:eastAsia="仿宋" w:cs="仿宋"/>
          <w:b/>
          <w:bCs w:val="0"/>
          <w:sz w:val="28"/>
          <w:szCs w:val="28"/>
        </w:rPr>
        <w:t>第三部分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部门决算情况说明</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一、收入支出决算总体情况说明</w:t>
      </w:r>
    </w:p>
    <w:p>
      <w:pPr>
        <w:spacing w:line="50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rPr>
        <w:t>二、收入决算情况说明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pPr>
        <w:pStyle w:val="16"/>
        <w:spacing w:line="500" w:lineRule="exact"/>
        <w:ind w:firstLine="700" w:firstLineChars="250"/>
        <w:rPr>
          <w:rFonts w:hint="eastAsia" w:ascii="仿宋" w:hAnsi="仿宋" w:eastAsia="仿宋" w:cs="仿宋"/>
          <w:sz w:val="28"/>
          <w:szCs w:val="28"/>
        </w:rPr>
      </w:pPr>
      <w:r>
        <w:rPr>
          <w:rFonts w:hint="eastAsia" w:ascii="仿宋" w:hAnsi="仿宋" w:eastAsia="仿宋" w:cs="仿宋"/>
          <w:sz w:val="28"/>
          <w:szCs w:val="28"/>
        </w:rPr>
        <w:t>十三、关于202</w:t>
      </w:r>
      <w:r>
        <w:rPr>
          <w:rFonts w:hint="eastAsia" w:ascii="仿宋" w:hAnsi="仿宋" w:eastAsia="仿宋" w:cs="仿宋"/>
          <w:sz w:val="28"/>
          <w:szCs w:val="28"/>
          <w:lang w:val="en-US" w:eastAsia="zh-CN"/>
        </w:rPr>
        <w:t>5</w:t>
      </w:r>
      <w:r>
        <w:rPr>
          <w:rFonts w:hint="eastAsia" w:ascii="仿宋" w:hAnsi="仿宋" w:eastAsia="仿宋" w:cs="仿宋"/>
          <w:sz w:val="28"/>
          <w:szCs w:val="28"/>
        </w:rPr>
        <w:t>年度</w:t>
      </w:r>
      <w:r>
        <w:rPr>
          <w:rFonts w:hint="eastAsia" w:ascii="仿宋" w:hAnsi="仿宋" w:eastAsia="仿宋" w:cs="仿宋"/>
          <w:sz w:val="28"/>
          <w:szCs w:val="28"/>
          <w:lang w:eastAsia="zh-CN"/>
        </w:rPr>
        <w:t>预算</w:t>
      </w:r>
      <w:r>
        <w:rPr>
          <w:rFonts w:hint="eastAsia" w:ascii="仿宋" w:hAnsi="仿宋" w:eastAsia="仿宋" w:cs="仿宋"/>
          <w:sz w:val="28"/>
          <w:szCs w:val="28"/>
        </w:rPr>
        <w:t>绩效情况的说明</w:t>
      </w:r>
    </w:p>
    <w:p>
      <w:pPr>
        <w:pStyle w:val="16"/>
        <w:spacing w:line="50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第四部分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名词解释</w:t>
      </w:r>
    </w:p>
    <w:p>
      <w:pPr>
        <w:pStyle w:val="16"/>
        <w:spacing w:line="500" w:lineRule="exact"/>
        <w:ind w:firstLine="562" w:firstLineChars="200"/>
        <w:rPr>
          <w:rFonts w:hint="eastAsia" w:ascii="仿宋" w:hAnsi="仿宋" w:eastAsia="仿宋" w:cs="仿宋"/>
          <w:b/>
          <w:bCs w:val="0"/>
          <w:sz w:val="28"/>
          <w:szCs w:val="28"/>
          <w:lang w:eastAsia="zh-CN"/>
        </w:rPr>
      </w:pPr>
      <w:r>
        <w:rPr>
          <w:rFonts w:hint="eastAsia" w:ascii="仿宋" w:hAnsi="仿宋" w:eastAsia="仿宋" w:cs="仿宋"/>
          <w:b/>
          <w:bCs w:val="0"/>
          <w:sz w:val="28"/>
          <w:szCs w:val="28"/>
        </w:rPr>
        <w:t>第</w:t>
      </w:r>
      <w:r>
        <w:rPr>
          <w:rFonts w:hint="eastAsia" w:ascii="仿宋" w:hAnsi="仿宋" w:eastAsia="仿宋" w:cs="仿宋"/>
          <w:b/>
          <w:bCs w:val="0"/>
          <w:sz w:val="28"/>
          <w:szCs w:val="28"/>
          <w:lang w:eastAsia="zh-CN"/>
        </w:rPr>
        <w:t>五</w:t>
      </w:r>
      <w:r>
        <w:rPr>
          <w:rFonts w:hint="eastAsia" w:ascii="仿宋" w:hAnsi="仿宋" w:eastAsia="仿宋" w:cs="仿宋"/>
          <w:b/>
          <w:bCs w:val="0"/>
          <w:sz w:val="28"/>
          <w:szCs w:val="28"/>
        </w:rPr>
        <w:t>部分</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lang w:eastAsia="zh-CN"/>
        </w:rPr>
        <w:t>附件</w:t>
      </w:r>
    </w:p>
    <w:p>
      <w:pPr>
        <w:pStyle w:val="16"/>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both"/>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spacing w:line="360" w:lineRule="auto"/>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rPr>
        <w:t xml:space="preserve">第一部分 </w:t>
      </w:r>
    </w:p>
    <w:p>
      <w:pPr>
        <w:pStyle w:val="16"/>
        <w:spacing w:line="360" w:lineRule="auto"/>
        <w:jc w:val="center"/>
        <w:rPr>
          <w:rFonts w:hint="eastAsia" w:ascii="Times New Roman" w:hAnsi="Times New Roman" w:eastAsia="方正小标宋_GBK" w:cs="Times New Roman"/>
          <w:kern w:val="0"/>
          <w:sz w:val="52"/>
          <w:szCs w:val="52"/>
        </w:rPr>
      </w:pPr>
      <w:r>
        <w:rPr>
          <w:rFonts w:hint="eastAsia" w:ascii="Times New Roman" w:hAnsi="Times New Roman" w:eastAsia="方正小标宋_GBK" w:cs="Times New Roman"/>
          <w:kern w:val="0"/>
          <w:sz w:val="52"/>
          <w:szCs w:val="52"/>
          <w:lang w:eastAsia="zh-CN"/>
        </w:rPr>
        <w:t>道县湘源温泉风景区事务中心</w:t>
      </w:r>
      <w:r>
        <w:rPr>
          <w:rFonts w:hint="eastAsia" w:ascii="Times New Roman" w:hAnsi="Times New Roman" w:eastAsia="方正小标宋_GBK" w:cs="Times New Roman"/>
          <w:kern w:val="0"/>
          <w:sz w:val="52"/>
          <w:szCs w:val="52"/>
        </w:rPr>
        <w:t>概况</w:t>
      </w:r>
    </w:p>
    <w:p>
      <w:pPr>
        <w:pStyle w:val="17"/>
        <w:numPr>
          <w:ilvl w:val="0"/>
          <w:numId w:val="0"/>
        </w:numPr>
        <w:ind w:firstLine="321" w:firstLineChars="100"/>
        <w:jc w:val="left"/>
        <w:rPr>
          <w:rFonts w:hint="eastAsia" w:ascii="仿宋" w:hAnsi="仿宋" w:eastAsia="仿宋" w:cs="仿宋"/>
          <w:b/>
          <w:bCs/>
          <w:sz w:val="32"/>
          <w:szCs w:val="32"/>
        </w:rPr>
      </w:pPr>
    </w:p>
    <w:p>
      <w:pPr>
        <w:pStyle w:val="17"/>
        <w:numPr>
          <w:ilvl w:val="0"/>
          <w:numId w:val="0"/>
        </w:numPr>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一、</w:t>
      </w:r>
      <w:r>
        <w:rPr>
          <w:rFonts w:hint="eastAsia" w:ascii="仿宋" w:hAnsi="仿宋" w:eastAsia="仿宋" w:cs="仿宋"/>
          <w:b/>
          <w:bCs/>
          <w:sz w:val="32"/>
          <w:szCs w:val="32"/>
        </w:rPr>
        <w:t>部门职责</w:t>
      </w:r>
    </w:p>
    <w:p>
      <w:pPr>
        <w:pStyle w:val="17"/>
        <w:numPr>
          <w:ilvl w:val="0"/>
          <w:numId w:val="0"/>
        </w:numPr>
        <w:jc w:val="left"/>
        <w:rPr>
          <w:rFonts w:hint="eastAsia" w:ascii="仿宋" w:hAnsi="仿宋" w:eastAsia="仿宋" w:cs="仿宋"/>
          <w:b/>
          <w:bCs/>
          <w:sz w:val="32"/>
          <w:szCs w:val="32"/>
        </w:rPr>
      </w:pPr>
    </w:p>
    <w:p>
      <w:pPr>
        <w:pStyle w:val="11"/>
        <w:ind w:firstLine="640" w:firstLineChars="200"/>
        <w:rPr>
          <w:rFonts w:hint="eastAsia" w:ascii="仿宋" w:hAnsi="仿宋" w:eastAsia="仿宋" w:cs="仿宋"/>
          <w:spacing w:val="-3"/>
          <w:sz w:val="32"/>
          <w:szCs w:val="32"/>
          <w:lang w:eastAsia="zh-CN"/>
        </w:rPr>
      </w:pPr>
      <w:r>
        <w:rPr>
          <w:rFonts w:hint="eastAsia" w:ascii="仿宋" w:hAnsi="仿宋" w:eastAsia="仿宋" w:cs="仿宋"/>
          <w:sz w:val="32"/>
          <w:szCs w:val="32"/>
        </w:rPr>
        <w:t>道县</w:t>
      </w:r>
      <w:r>
        <w:rPr>
          <w:rFonts w:hint="eastAsia" w:ascii="仿宋" w:hAnsi="仿宋" w:eastAsia="仿宋" w:cs="仿宋"/>
          <w:sz w:val="32"/>
          <w:szCs w:val="32"/>
          <w:lang w:eastAsia="zh-CN"/>
        </w:rPr>
        <w:t>湘源温泉风景区事务中心</w:t>
      </w:r>
      <w:r>
        <w:rPr>
          <w:rFonts w:hint="eastAsia" w:ascii="仿宋" w:hAnsi="仿宋" w:eastAsia="仿宋" w:cs="仿宋"/>
          <w:sz w:val="32"/>
          <w:szCs w:val="32"/>
        </w:rPr>
        <w:t>的主要职责是：</w:t>
      </w:r>
      <w:r>
        <w:rPr>
          <w:rFonts w:hint="eastAsia" w:ascii="仿宋" w:hAnsi="仿宋" w:eastAsia="仿宋"/>
          <w:sz w:val="30"/>
          <w:szCs w:val="30"/>
        </w:rPr>
        <w:t>负责辖区内的生态、矿产、旅游等资源进行有效保护和管理；对辖区内安全生产、森林防火、社会治安等工作实施监管，对现有旅游基础设施及资产的管理工作；负责做好原湘源锡矿改制后买断人员的稳定工作;</w:t>
      </w:r>
      <w:r>
        <w:rPr>
          <w:rFonts w:hint="eastAsia" w:ascii="仿宋_GB2312" w:hAnsi="宋体" w:eastAsia="仿宋_GB2312"/>
          <w:sz w:val="30"/>
          <w:szCs w:val="30"/>
        </w:rPr>
        <w:t>完成县委、县政府交办的其他工作</w:t>
      </w:r>
      <w:r>
        <w:rPr>
          <w:rFonts w:hint="eastAsia"/>
        </w:rPr>
        <w:t>。</w:t>
      </w:r>
    </w:p>
    <w:p>
      <w:pPr>
        <w:widowControl/>
        <w:numPr>
          <w:ilvl w:val="0"/>
          <w:numId w:val="0"/>
        </w:numPr>
        <w:spacing w:line="600" w:lineRule="exact"/>
        <w:ind w:firstLine="643" w:firstLineChars="200"/>
        <w:rPr>
          <w:rFonts w:hint="eastAsia" w:ascii="黑体" w:hAnsi="黑体" w:eastAsia="黑体" w:cs="黑体"/>
          <w:b w:val="0"/>
          <w:bCs/>
          <w:kern w:val="0"/>
          <w:sz w:val="32"/>
          <w:szCs w:val="32"/>
        </w:rPr>
      </w:pPr>
      <w:r>
        <w:rPr>
          <w:rFonts w:hint="eastAsia" w:ascii="仿宋" w:hAnsi="仿宋" w:eastAsia="仿宋" w:cs="仿宋"/>
          <w:b/>
          <w:bCs w:val="0"/>
          <w:kern w:val="0"/>
          <w:sz w:val="32"/>
          <w:szCs w:val="32"/>
        </w:rPr>
        <w:t>二、机构设置及决算单位构成</w:t>
      </w:r>
    </w:p>
    <w:p>
      <w:pPr>
        <w:widowControl/>
        <w:spacing w:line="600" w:lineRule="exact"/>
        <w:ind w:firstLine="640" w:firstLineChars="200"/>
        <w:rPr>
          <w:rFonts w:ascii="仿宋" w:hAnsi="仿宋" w:eastAsia="仿宋" w:cs="仿宋"/>
          <w:spacing w:val="-9"/>
          <w:sz w:val="32"/>
          <w:szCs w:val="32"/>
        </w:rPr>
      </w:pPr>
      <w:r>
        <w:rPr>
          <w:rFonts w:hint="eastAsia" w:ascii="Times New Roman" w:hAnsi="Times New Roman" w:eastAsia="仿宋_GB2312" w:cs="仿宋_GB2312"/>
          <w:bCs/>
          <w:kern w:val="0"/>
          <w:sz w:val="32"/>
          <w:szCs w:val="32"/>
        </w:rPr>
        <w:t>（一）内设机构设置。内设机构包括</w:t>
      </w:r>
      <w:r>
        <w:rPr>
          <w:rFonts w:hint="eastAsia" w:ascii="仿宋_GB2312" w:hAnsi="仿宋_GB2312" w:eastAsia="仿宋_GB2312" w:cs="仿宋_GB2312"/>
          <w:color w:val="000000"/>
          <w:sz w:val="32"/>
          <w:szCs w:val="32"/>
          <w:shd w:val="clear" w:color="auto" w:fill="FFFFFF"/>
        </w:rPr>
        <w:t>办公室、政工</w:t>
      </w:r>
      <w:r>
        <w:rPr>
          <w:rFonts w:hint="eastAsia" w:ascii="仿宋_GB2312" w:hAnsi="仿宋_GB2312" w:eastAsia="仿宋_GB2312" w:cs="仿宋_GB2312"/>
          <w:color w:val="000000"/>
          <w:sz w:val="32"/>
          <w:szCs w:val="32"/>
          <w:shd w:val="clear" w:color="auto" w:fill="FFFFFF"/>
          <w:lang w:eastAsia="zh-CN"/>
        </w:rPr>
        <w:t>室</w:t>
      </w:r>
      <w:r>
        <w:rPr>
          <w:rFonts w:hint="eastAsia" w:ascii="仿宋_GB2312" w:hAnsi="仿宋_GB2312" w:eastAsia="仿宋_GB2312" w:cs="仿宋_GB2312"/>
          <w:color w:val="000000"/>
          <w:sz w:val="32"/>
          <w:szCs w:val="32"/>
          <w:shd w:val="clear" w:color="auto" w:fill="FFFFFF"/>
        </w:rPr>
        <w:t>、财务</w:t>
      </w:r>
      <w:r>
        <w:rPr>
          <w:rFonts w:hint="eastAsia" w:ascii="仿宋_GB2312" w:hAnsi="仿宋_GB2312" w:eastAsia="仿宋_GB2312" w:cs="仿宋_GB2312"/>
          <w:color w:val="000000"/>
          <w:sz w:val="32"/>
          <w:szCs w:val="32"/>
          <w:shd w:val="clear" w:color="auto" w:fill="FFFFFF"/>
          <w:lang w:eastAsia="zh-CN"/>
        </w:rPr>
        <w:t>室</w:t>
      </w:r>
      <w:r>
        <w:rPr>
          <w:rFonts w:hint="eastAsia" w:ascii="仿宋_GB2312" w:hAnsi="仿宋_GB2312" w:eastAsia="仿宋_GB2312" w:cs="仿宋_GB2312"/>
          <w:color w:val="000000"/>
          <w:sz w:val="32"/>
          <w:szCs w:val="32"/>
          <w:shd w:val="clear" w:color="auto" w:fill="FFFFFF"/>
        </w:rPr>
        <w:t>等股室</w:t>
      </w:r>
      <w:r>
        <w:rPr>
          <w:rFonts w:hint="eastAsia" w:ascii="仿宋" w:hAnsi="仿宋" w:eastAsia="仿宋"/>
          <w:sz w:val="32"/>
          <w:szCs w:val="32"/>
        </w:rPr>
        <w:t>。</w:t>
      </w:r>
    </w:p>
    <w:p>
      <w:pPr>
        <w:spacing w:before="64" w:line="358" w:lineRule="auto"/>
        <w:ind w:firstLine="640" w:firstLineChars="200"/>
        <w:jc w:val="both"/>
        <w:rPr>
          <w:rFonts w:hint="eastAsia" w:ascii="仿宋" w:hAnsi="仿宋" w:eastAsia="仿宋" w:cs="仿宋"/>
          <w:spacing w:val="-3"/>
          <w:sz w:val="32"/>
          <w:szCs w:val="32"/>
          <w:lang w:eastAsia="zh-CN"/>
        </w:rPr>
        <w:sectPr>
          <w:headerReference r:id="rId3" w:type="default"/>
          <w:footerReference r:id="rId4" w:type="default"/>
          <w:pgSz w:w="11906" w:h="16839"/>
          <w:pgMar w:top="816" w:right="508" w:bottom="1165" w:left="740" w:header="0" w:footer="990" w:gutter="0"/>
          <w:pgNumType w:fmt="decimal" w:start="1"/>
          <w:cols w:space="720" w:num="1"/>
        </w:sectPr>
      </w:pPr>
      <w:r>
        <w:rPr>
          <w:rFonts w:hint="eastAsia" w:ascii="Times New Roman" w:hAnsi="Times New Roman" w:eastAsia="仿宋_GB2312" w:cs="仿宋_GB2312"/>
          <w:bCs/>
          <w:kern w:val="0"/>
          <w:sz w:val="32"/>
          <w:szCs w:val="32"/>
        </w:rPr>
        <w:t>（二）决算单位构成。</w:t>
      </w:r>
      <w:r>
        <w:rPr>
          <w:rFonts w:hint="eastAsia" w:ascii="仿宋" w:hAnsi="仿宋" w:eastAsia="仿宋" w:cs="仿宋"/>
          <w:sz w:val="32"/>
          <w:szCs w:val="32"/>
        </w:rPr>
        <w:t>道县</w:t>
      </w:r>
      <w:r>
        <w:rPr>
          <w:rFonts w:hint="eastAsia" w:ascii="仿宋" w:hAnsi="仿宋" w:eastAsia="仿宋" w:cs="仿宋"/>
          <w:sz w:val="32"/>
          <w:szCs w:val="32"/>
          <w:lang w:eastAsia="zh-CN"/>
        </w:rPr>
        <w:t>湘源温泉风景区事务中心</w:t>
      </w:r>
      <w:r>
        <w:rPr>
          <w:rFonts w:ascii="仿宋" w:hAnsi="仿宋" w:eastAsia="仿宋" w:cs="仿宋"/>
          <w:spacing w:val="-62"/>
          <w:sz w:val="32"/>
          <w:szCs w:val="32"/>
        </w:rPr>
        <w:t xml:space="preserve"> </w:t>
      </w:r>
      <w:r>
        <w:rPr>
          <w:rFonts w:ascii="仿宋" w:hAnsi="仿宋" w:eastAsia="仿宋" w:cs="仿宋"/>
          <w:sz w:val="32"/>
          <w:szCs w:val="32"/>
        </w:rPr>
        <w:t>202</w:t>
      </w:r>
      <w:r>
        <w:rPr>
          <w:rFonts w:hint="eastAsia" w:ascii="仿宋" w:hAnsi="仿宋" w:eastAsia="仿宋" w:cs="仿宋"/>
          <w:sz w:val="32"/>
          <w:szCs w:val="32"/>
          <w:lang w:val="en-US" w:eastAsia="zh-CN"/>
        </w:rPr>
        <w:t>5</w:t>
      </w:r>
      <w:r>
        <w:rPr>
          <w:rFonts w:ascii="仿宋" w:hAnsi="仿宋" w:eastAsia="仿宋" w:cs="仿宋"/>
          <w:sz w:val="32"/>
          <w:szCs w:val="32"/>
        </w:rPr>
        <w:t>年部门决算汇总</w:t>
      </w:r>
      <w:r>
        <w:rPr>
          <w:rFonts w:ascii="仿宋" w:hAnsi="仿宋" w:eastAsia="仿宋" w:cs="仿宋"/>
          <w:spacing w:val="-1"/>
          <w:sz w:val="32"/>
          <w:szCs w:val="32"/>
        </w:rPr>
        <w:t>公开单位构成包</w:t>
      </w:r>
      <w:r>
        <w:rPr>
          <w:rFonts w:ascii="仿宋" w:hAnsi="仿宋" w:eastAsia="仿宋" w:cs="仿宋"/>
          <w:spacing w:val="-4"/>
          <w:sz w:val="32"/>
          <w:szCs w:val="32"/>
        </w:rPr>
        <w:t>括：</w:t>
      </w:r>
      <w:r>
        <w:rPr>
          <w:rFonts w:hint="eastAsia" w:ascii="仿宋" w:hAnsi="仿宋" w:eastAsia="仿宋" w:cs="仿宋"/>
          <w:sz w:val="32"/>
          <w:szCs w:val="32"/>
        </w:rPr>
        <w:t>道县</w:t>
      </w:r>
      <w:r>
        <w:rPr>
          <w:rFonts w:hint="eastAsia" w:ascii="仿宋" w:hAnsi="仿宋" w:eastAsia="仿宋" w:cs="仿宋"/>
          <w:sz w:val="32"/>
          <w:szCs w:val="32"/>
          <w:lang w:eastAsia="zh-CN"/>
        </w:rPr>
        <w:t>湘源温泉风景区事务中心</w:t>
      </w:r>
      <w:r>
        <w:rPr>
          <w:rFonts w:ascii="仿宋" w:hAnsi="仿宋" w:eastAsia="仿宋" w:cs="仿宋"/>
          <w:spacing w:val="-4"/>
          <w:sz w:val="32"/>
          <w:szCs w:val="32"/>
        </w:rPr>
        <w:t>本级。</w:t>
      </w:r>
    </w:p>
    <w:p>
      <w:pPr>
        <w:pStyle w:val="16"/>
        <w:jc w:val="both"/>
        <w:rPr>
          <w:rFonts w:hint="eastAsia" w:ascii="方正小标宋_GBK" w:hAnsi="方正小标宋_GBK" w:eastAsia="方正小标宋_GBK" w:cs="方正小标宋_GBK"/>
          <w:sz w:val="84"/>
          <w:szCs w:val="84"/>
        </w:rPr>
      </w:pPr>
    </w:p>
    <w:p>
      <w:pPr>
        <w:pStyle w:val="16"/>
        <w:jc w:val="center"/>
        <w:rPr>
          <w:rFonts w:hint="eastAsia" w:ascii="仿宋" w:hAnsi="仿宋" w:eastAsia="仿宋" w:cs="仿宋"/>
          <w:b/>
          <w:bCs/>
          <w:sz w:val="52"/>
          <w:szCs w:val="52"/>
        </w:rPr>
      </w:pPr>
      <w:r>
        <w:rPr>
          <w:rFonts w:hint="eastAsia" w:ascii="仿宋" w:hAnsi="仿宋" w:eastAsia="仿宋" w:cs="仿宋"/>
          <w:b/>
          <w:bCs/>
          <w:sz w:val="52"/>
          <w:szCs w:val="52"/>
        </w:rPr>
        <w:t>第二部分</w:t>
      </w:r>
      <w:r>
        <w:rPr>
          <w:rFonts w:hint="eastAsia" w:ascii="仿宋" w:hAnsi="仿宋" w:eastAsia="仿宋" w:cs="仿宋"/>
          <w:b/>
          <w:bCs/>
          <w:sz w:val="52"/>
          <w:szCs w:val="52"/>
          <w:lang w:val="en-US" w:eastAsia="zh-CN"/>
        </w:rPr>
        <w:t xml:space="preserve">  </w:t>
      </w:r>
      <w:r>
        <w:rPr>
          <w:rFonts w:hint="eastAsia" w:ascii="仿宋" w:hAnsi="仿宋" w:eastAsia="仿宋" w:cs="仿宋"/>
          <w:b/>
          <w:bCs/>
          <w:sz w:val="52"/>
          <w:szCs w:val="52"/>
        </w:rPr>
        <w:t>部门决算表</w:t>
      </w:r>
    </w:p>
    <w:p>
      <w:pPr>
        <w:jc w:val="left"/>
        <w:rPr>
          <w:rFonts w:hint="eastAsia" w:ascii="仿宋" w:hAnsi="仿宋" w:eastAsia="仿宋" w:cs="仿宋"/>
          <w:b/>
          <w:bCs/>
          <w:sz w:val="52"/>
          <w:szCs w:val="52"/>
        </w:rPr>
        <w:sectPr>
          <w:pgSz w:w="11906" w:h="16838"/>
          <w:pgMar w:top="720" w:right="720" w:bottom="720" w:left="720" w:header="851" w:footer="992" w:gutter="0"/>
          <w:pgNumType w:fmt="decimal"/>
          <w:cols w:space="425" w:num="1"/>
          <w:docGrid w:type="lines" w:linePitch="312" w:charSpace="0"/>
        </w:sectPr>
      </w:pPr>
    </w:p>
    <w:tbl>
      <w:tblPr>
        <w:tblStyle w:val="12"/>
        <w:tblW w:w="15754" w:type="dxa"/>
        <w:tblInd w:w="0" w:type="dxa"/>
        <w:tblLayout w:type="fixed"/>
        <w:tblCellMar>
          <w:top w:w="0" w:type="dxa"/>
          <w:left w:w="0" w:type="dxa"/>
          <w:bottom w:w="0" w:type="dxa"/>
          <w:right w:w="0" w:type="dxa"/>
        </w:tblCellMar>
      </w:tblPr>
      <w:tblGrid>
        <w:gridCol w:w="289"/>
        <w:gridCol w:w="345"/>
        <w:gridCol w:w="315"/>
        <w:gridCol w:w="240"/>
        <w:gridCol w:w="2402"/>
        <w:gridCol w:w="436"/>
        <w:gridCol w:w="1227"/>
        <w:gridCol w:w="810"/>
        <w:gridCol w:w="255"/>
        <w:gridCol w:w="225"/>
        <w:gridCol w:w="1065"/>
        <w:gridCol w:w="255"/>
        <w:gridCol w:w="390"/>
        <w:gridCol w:w="274"/>
        <w:gridCol w:w="491"/>
        <w:gridCol w:w="140"/>
        <w:gridCol w:w="115"/>
        <w:gridCol w:w="320"/>
        <w:gridCol w:w="295"/>
        <w:gridCol w:w="315"/>
        <w:gridCol w:w="255"/>
        <w:gridCol w:w="630"/>
        <w:gridCol w:w="76"/>
        <w:gridCol w:w="179"/>
        <w:gridCol w:w="555"/>
        <w:gridCol w:w="60"/>
        <w:gridCol w:w="255"/>
        <w:gridCol w:w="343"/>
        <w:gridCol w:w="527"/>
        <w:gridCol w:w="90"/>
        <w:gridCol w:w="165"/>
        <w:gridCol w:w="610"/>
        <w:gridCol w:w="455"/>
        <w:gridCol w:w="1095"/>
        <w:gridCol w:w="22"/>
        <w:gridCol w:w="119"/>
        <w:gridCol w:w="114"/>
      </w:tblGrid>
      <w:tr>
        <w:tblPrEx>
          <w:tblCellMar>
            <w:top w:w="0" w:type="dxa"/>
            <w:left w:w="0" w:type="dxa"/>
            <w:bottom w:w="0" w:type="dxa"/>
            <w:right w:w="0" w:type="dxa"/>
          </w:tblCellMar>
        </w:tblPrEx>
        <w:trPr>
          <w:gridBefore w:val="1"/>
          <w:gridAfter w:val="3"/>
          <w:wBefore w:w="289" w:type="dxa"/>
          <w:wAfter w:w="255" w:type="dxa"/>
          <w:trHeight w:val="435" w:hRule="atLeast"/>
        </w:trPr>
        <w:tc>
          <w:tcPr>
            <w:tcW w:w="15210" w:type="dxa"/>
            <w:gridSpan w:val="33"/>
            <w:tcBorders>
              <w:top w:val="nil"/>
              <w:left w:val="nil"/>
              <w:bottom w:val="nil"/>
              <w:right w:val="nil"/>
            </w:tcBorders>
            <w:shd w:val="clear" w:color="auto" w:fill="auto"/>
            <w:noWrap/>
            <w:tcMar>
              <w:top w:w="15" w:type="dxa"/>
              <w:left w:w="15" w:type="dxa"/>
              <w:bottom w:w="0" w:type="dxa"/>
              <w:right w:w="15" w:type="dxa"/>
            </w:tcMar>
            <w:vAlign w:val="center"/>
          </w:tcPr>
          <w:tbl>
            <w:tblPr>
              <w:tblStyle w:val="12"/>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44"/>
              <w:gridCol w:w="1088"/>
              <w:gridCol w:w="1935"/>
              <w:gridCol w:w="3825"/>
              <w:gridCol w:w="1031"/>
              <w:gridCol w:w="502"/>
              <w:gridCol w:w="1557"/>
              <w:gridCol w:w="9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54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08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3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82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33"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3" w:type="dxa"/>
                  <w:gridSpan w:val="2"/>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544"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部门：道县湘源温泉风景区事务中心</w:t>
                  </w:r>
                </w:p>
              </w:tc>
              <w:tc>
                <w:tcPr>
                  <w:tcW w:w="108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3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82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33"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3" w:type="dxa"/>
                  <w:gridSpan w:val="2"/>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756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6915"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513"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9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64.98</w:t>
                  </w: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五、教育支出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十四、资源勘探工业信息等支出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二十三、其他支出</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64.98</w:t>
                  </w: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16" w:type="dxa"/>
                <w:trHeight w:val="453" w:hRule="atLeast"/>
              </w:trPr>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916" w:type="dxa"/>
                <w:trHeight w:val="448" w:hRule="atLeast"/>
              </w:trPr>
              <w:tc>
                <w:tcPr>
                  <w:tcW w:w="45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64.98</w:t>
                  </w:r>
                </w:p>
              </w:tc>
              <w:tc>
                <w:tcPr>
                  <w:tcW w:w="38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2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64.98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gridBefore w:val="1"/>
          <w:wBefore w:w="289" w:type="dxa"/>
          <w:trHeight w:val="285" w:hRule="atLeast"/>
        </w:trPr>
        <w:tc>
          <w:tcPr>
            <w:tcW w:w="34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55"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130" w:type="dxa"/>
            <w:gridSpan w:val="5"/>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45"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0" w:type="dxa"/>
            <w:gridSpan w:val="5"/>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85"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85"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70"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25"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15" w:type="dxa"/>
            <w:gridSpan w:val="6"/>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gridBefore w:val="1"/>
          <w:gridAfter w:val="3"/>
          <w:wBefore w:w="289" w:type="dxa"/>
          <w:wAfter w:w="255" w:type="dxa"/>
          <w:trHeight w:val="285" w:hRule="atLeast"/>
        </w:trPr>
        <w:tc>
          <w:tcPr>
            <w:tcW w:w="900"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4875"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left"/>
              <w:rPr>
                <w:rFonts w:ascii="宋体" w:hAnsi="宋体" w:eastAsia="宋体" w:cs="宋体"/>
                <w:sz w:val="24"/>
                <w:szCs w:val="24"/>
              </w:rPr>
            </w:pPr>
            <w:r>
              <w:rPr>
                <w:rFonts w:hint="eastAsia"/>
                <w:lang w:eastAsia="zh-CN"/>
              </w:rPr>
              <w:t>道县湘源温泉风景区事务中心</w:t>
            </w:r>
          </w:p>
        </w:tc>
        <w:tc>
          <w:tcPr>
            <w:tcW w:w="1545"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0"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85" w:type="dxa"/>
            <w:gridSpan w:val="5"/>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885"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70"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25"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15" w:type="dxa"/>
            <w:gridSpan w:val="5"/>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gridBefore w:val="1"/>
          <w:gridAfter w:val="3"/>
          <w:wBefore w:w="289" w:type="dxa"/>
          <w:wAfter w:w="255" w:type="dxa"/>
          <w:trHeight w:val="450" w:hRule="atLeast"/>
        </w:trPr>
        <w:tc>
          <w:tcPr>
            <w:tcW w:w="5775" w:type="dxa"/>
            <w:gridSpan w:val="7"/>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545"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410" w:type="dxa"/>
            <w:gridSpan w:val="4"/>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185" w:type="dxa"/>
            <w:gridSpan w:val="5"/>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88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870"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125"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415" w:type="dxa"/>
            <w:gridSpan w:val="5"/>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gridBefore w:val="1"/>
          <w:gridAfter w:val="3"/>
          <w:wBefore w:w="289" w:type="dxa"/>
          <w:wAfter w:w="255" w:type="dxa"/>
          <w:trHeight w:val="450" w:hRule="atLeast"/>
        </w:trPr>
        <w:tc>
          <w:tcPr>
            <w:tcW w:w="900"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4875" w:type="dxa"/>
            <w:gridSpan w:val="4"/>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545"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0"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85" w:type="dxa"/>
            <w:gridSpan w:val="5"/>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88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870"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25"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415" w:type="dxa"/>
            <w:gridSpan w:val="5"/>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Before w:val="1"/>
          <w:gridAfter w:val="3"/>
          <w:wBefore w:w="289" w:type="dxa"/>
          <w:wAfter w:w="255" w:type="dxa"/>
          <w:trHeight w:val="450" w:hRule="atLeast"/>
        </w:trPr>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4875" w:type="dxa"/>
            <w:gridSpan w:val="4"/>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45"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0"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85" w:type="dxa"/>
            <w:gridSpan w:val="5"/>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88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870"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25"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415" w:type="dxa"/>
            <w:gridSpan w:val="5"/>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Before w:val="1"/>
          <w:gridAfter w:val="3"/>
          <w:wBefore w:w="289" w:type="dxa"/>
          <w:wAfter w:w="255" w:type="dxa"/>
          <w:trHeight w:val="450" w:hRule="atLeast"/>
        </w:trPr>
        <w:tc>
          <w:tcPr>
            <w:tcW w:w="5775" w:type="dxa"/>
            <w:gridSpan w:val="7"/>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54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410"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185"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885"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870"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12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415"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gridBefore w:val="1"/>
          <w:gridAfter w:val="3"/>
          <w:wBefore w:w="289" w:type="dxa"/>
          <w:wAfter w:w="255" w:type="dxa"/>
          <w:trHeight w:val="450" w:hRule="atLeast"/>
        </w:trPr>
        <w:tc>
          <w:tcPr>
            <w:tcW w:w="5775" w:type="dxa"/>
            <w:gridSpan w:val="7"/>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64.98</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64.98</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Before w:val="1"/>
          <w:gridAfter w:val="3"/>
          <w:wBefore w:w="289" w:type="dxa"/>
          <w:wAfter w:w="255" w:type="dxa"/>
          <w:trHeight w:val="375"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pacing w:val="3"/>
                <w:sz w:val="22"/>
                <w:szCs w:val="22"/>
                <w:lang w:val="en-US" w:eastAsia="zh-CN"/>
              </w:rPr>
              <w:t>一般公共服务支出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60.02</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60.02</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375"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20103</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pacing w:val="3"/>
                <w:sz w:val="22"/>
                <w:szCs w:val="22"/>
                <w:lang w:val="en-US" w:eastAsia="zh-CN"/>
              </w:rPr>
              <w:t>政府办公厅（室）及相关机构事务</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60.02</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60.02</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2010350</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60.02</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60.02</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Before w:val="1"/>
          <w:gridAfter w:val="3"/>
          <w:wBefore w:w="289" w:type="dxa"/>
          <w:wAfter w:w="255" w:type="dxa"/>
          <w:trHeight w:val="315"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36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315"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pacing w:val="3"/>
                <w:sz w:val="22"/>
                <w:szCs w:val="22"/>
              </w:rPr>
              <w:t>社会保障和就业支出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36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pacing w:val="3"/>
                <w:sz w:val="22"/>
                <w:szCs w:val="22"/>
              </w:rPr>
              <w:t>行政事业单位养老支出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345"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1.61</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1.61</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39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1.61</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1.61</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375"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行政单位医疗</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0.27</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0.27</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9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2101102</w:t>
            </w:r>
          </w:p>
        </w:tc>
        <w:tc>
          <w:tcPr>
            <w:tcW w:w="487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事业单位医疗</w:t>
            </w:r>
          </w:p>
        </w:tc>
        <w:tc>
          <w:tcPr>
            <w:tcW w:w="154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1.33</w:t>
            </w:r>
          </w:p>
        </w:tc>
        <w:tc>
          <w:tcPr>
            <w:tcW w:w="141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1.33</w:t>
            </w:r>
          </w:p>
        </w:tc>
        <w:tc>
          <w:tcPr>
            <w:tcW w:w="118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8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870"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25"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415" w:type="dxa"/>
            <w:gridSpan w:val="5"/>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Before w:val="1"/>
          <w:gridAfter w:val="3"/>
          <w:wBefore w:w="289" w:type="dxa"/>
          <w:wAfter w:w="255" w:type="dxa"/>
          <w:trHeight w:val="615" w:hRule="atLeast"/>
        </w:trPr>
        <w:tc>
          <w:tcPr>
            <w:tcW w:w="15210" w:type="dxa"/>
            <w:gridSpan w:val="33"/>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108" w:type="dxa"/>
            <w:bottom w:w="0" w:type="dxa"/>
            <w:right w:w="108" w:type="dxa"/>
          </w:tblCellMar>
        </w:tblPrEx>
        <w:trPr>
          <w:gridAfter w:val="1"/>
          <w:wAfter w:w="114" w:type="dxa"/>
          <w:trHeight w:val="672" w:hRule="atLeast"/>
        </w:trPr>
        <w:tc>
          <w:tcPr>
            <w:tcW w:w="15640" w:type="dxa"/>
            <w:gridSpan w:val="36"/>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gridAfter w:val="1"/>
          <w:wAfter w:w="114" w:type="dxa"/>
          <w:trHeight w:val="403" w:hRule="atLeast"/>
        </w:trPr>
        <w:tc>
          <w:tcPr>
            <w:tcW w:w="949"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355"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10"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5"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10"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75"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gridAfter w:val="1"/>
          <w:wAfter w:w="114" w:type="dxa"/>
          <w:trHeight w:val="403" w:hRule="atLeast"/>
        </w:trPr>
        <w:tc>
          <w:tcPr>
            <w:tcW w:w="949" w:type="dxa"/>
            <w:gridSpan w:val="3"/>
            <w:tcBorders>
              <w:top w:val="nil"/>
              <w:left w:val="nil"/>
              <w:bottom w:val="nil"/>
              <w:right w:val="nil"/>
            </w:tcBorders>
            <w:shd w:val="clear" w:color="000000" w:fill="FFFFFF"/>
            <w:noWrap/>
            <w:vAlign w:val="center"/>
          </w:tcPr>
          <w:p>
            <w:pPr>
              <w:widowControl/>
              <w:jc w:val="both"/>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pPr>
              <w:widowControl/>
              <w:jc w:val="both"/>
              <w:rPr>
                <w:rFonts w:ascii="宋体" w:hAnsi="宋体" w:eastAsia="宋体" w:cs="宋体"/>
                <w:kern w:val="0"/>
                <w:sz w:val="24"/>
                <w:szCs w:val="24"/>
              </w:rPr>
            </w:pPr>
            <w:r>
              <w:rPr>
                <w:rFonts w:hint="eastAsia" w:ascii="宋体" w:hAnsi="宋体" w:eastAsia="宋体" w:cs="宋体"/>
                <w:kern w:val="0"/>
                <w:sz w:val="24"/>
                <w:szCs w:val="24"/>
              </w:rPr>
              <w:t>　</w:t>
            </w:r>
          </w:p>
        </w:tc>
        <w:tc>
          <w:tcPr>
            <w:tcW w:w="5355" w:type="dxa"/>
            <w:gridSpan w:val="6"/>
            <w:tcBorders>
              <w:top w:val="nil"/>
              <w:left w:val="nil"/>
              <w:bottom w:val="nil"/>
              <w:right w:val="nil"/>
            </w:tcBorders>
            <w:shd w:val="clear" w:color="000000" w:fill="FFFFFF"/>
            <w:noWrap/>
            <w:vAlign w:val="center"/>
          </w:tcPr>
          <w:p>
            <w:pPr>
              <w:widowControl/>
              <w:jc w:val="both"/>
              <w:rPr>
                <w:rFonts w:ascii="宋体" w:hAnsi="宋体" w:eastAsia="宋体" w:cs="宋体"/>
                <w:kern w:val="0"/>
                <w:sz w:val="24"/>
                <w:szCs w:val="24"/>
              </w:rPr>
            </w:pPr>
            <w:r>
              <w:rPr>
                <w:rFonts w:hint="eastAsia"/>
                <w:lang w:eastAsia="zh-CN"/>
              </w:rPr>
              <w:t>道县湘源温泉风景区事务中心</w:t>
            </w:r>
            <w:r>
              <w:rPr>
                <w:rFonts w:hint="eastAsia" w:ascii="宋体" w:hAnsi="宋体" w:eastAsia="宋体" w:cs="宋体"/>
                <w:kern w:val="0"/>
                <w:sz w:val="24"/>
                <w:szCs w:val="24"/>
              </w:rPr>
              <w:t>　</w:t>
            </w:r>
          </w:p>
        </w:tc>
        <w:tc>
          <w:tcPr>
            <w:tcW w:w="1710"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35"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10" w:type="dxa"/>
            <w:gridSpan w:val="6"/>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75"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114" w:type="dxa"/>
          <w:trHeight w:val="595" w:hRule="atLeast"/>
        </w:trPr>
        <w:tc>
          <w:tcPr>
            <w:tcW w:w="6544" w:type="dxa"/>
            <w:gridSpan w:val="10"/>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1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35" w:type="dxa"/>
            <w:gridSpan w:val="6"/>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2010" w:type="dxa"/>
            <w:gridSpan w:val="6"/>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275"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2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1236"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gridAfter w:val="1"/>
          <w:wAfter w:w="114" w:type="dxa"/>
          <w:trHeight w:val="595" w:hRule="atLeast"/>
        </w:trPr>
        <w:tc>
          <w:tcPr>
            <w:tcW w:w="1189"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5355" w:type="dxa"/>
            <w:gridSpan w:val="6"/>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71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35" w:type="dxa"/>
            <w:gridSpan w:val="6"/>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10" w:type="dxa"/>
            <w:gridSpan w:val="6"/>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75"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3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3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312" w:hRule="atLeast"/>
        </w:trPr>
        <w:tc>
          <w:tcPr>
            <w:tcW w:w="1189"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5355" w:type="dxa"/>
            <w:gridSpan w:val="6"/>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1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35" w:type="dxa"/>
            <w:gridSpan w:val="6"/>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10" w:type="dxa"/>
            <w:gridSpan w:val="6"/>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75"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3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3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490" w:hRule="atLeast"/>
        </w:trPr>
        <w:tc>
          <w:tcPr>
            <w:tcW w:w="6544" w:type="dxa"/>
            <w:gridSpan w:val="10"/>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710"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35" w:type="dxa"/>
            <w:gridSpan w:val="6"/>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010" w:type="dxa"/>
            <w:gridSpan w:val="6"/>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275" w:type="dxa"/>
            <w:gridSpan w:val="5"/>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230"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1236"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gridAfter w:val="1"/>
          <w:wAfter w:w="114" w:type="dxa"/>
          <w:trHeight w:val="460" w:hRule="atLeast"/>
        </w:trPr>
        <w:tc>
          <w:tcPr>
            <w:tcW w:w="6544" w:type="dxa"/>
            <w:gridSpan w:val="10"/>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64.98</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64.98</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114" w:type="dxa"/>
          <w:trHeight w:val="38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spacing w:val="3"/>
                <w:sz w:val="22"/>
                <w:szCs w:val="22"/>
                <w:lang w:val="en-US" w:eastAsia="zh-CN"/>
              </w:rPr>
              <w:t>一般公共服务支出</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ascii="宋体" w:hAnsi="宋体" w:eastAsia="宋体" w:cs="宋体"/>
                <w:sz w:val="24"/>
                <w:szCs w:val="24"/>
                <w:lang w:val="en-US" w:eastAsia="zh-CN"/>
              </w:rPr>
              <w:t>60.02</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60.02</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114" w:type="dxa"/>
          <w:trHeight w:val="38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spacing w:val="3"/>
                <w:sz w:val="22"/>
                <w:szCs w:val="22"/>
                <w:lang w:val="en-US" w:eastAsia="zh-CN"/>
              </w:rPr>
              <w:t>政府办公厅（室）及相关机构事务</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ascii="宋体" w:hAnsi="宋体" w:eastAsia="宋体" w:cs="宋体"/>
                <w:sz w:val="24"/>
                <w:szCs w:val="24"/>
                <w:lang w:val="en-US" w:eastAsia="zh-CN"/>
              </w:rPr>
              <w:t>60.02</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60.02</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114" w:type="dxa"/>
          <w:trHeight w:val="32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2010350</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ascii="宋体" w:hAnsi="宋体" w:eastAsia="宋体" w:cs="宋体"/>
                <w:sz w:val="24"/>
                <w:szCs w:val="24"/>
                <w:lang w:val="en-US" w:eastAsia="zh-CN"/>
              </w:rPr>
              <w:t>60.02</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60.02</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114" w:type="dxa"/>
          <w:trHeight w:val="31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32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46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34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pacing w:val="3"/>
                <w:sz w:val="22"/>
                <w:szCs w:val="22"/>
              </w:rPr>
              <w:t>社会保障和就业支出</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38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pacing w:val="3"/>
                <w:sz w:val="22"/>
                <w:szCs w:val="22"/>
              </w:rPr>
              <w:t>行政事业单位养老支出</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38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ascii="宋体" w:hAnsi="宋体" w:eastAsia="宋体" w:cs="宋体"/>
                <w:sz w:val="24"/>
                <w:szCs w:val="24"/>
                <w:lang w:val="en-US" w:eastAsia="zh-CN"/>
              </w:rPr>
              <w:t>2.95</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2.95</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114" w:type="dxa"/>
          <w:trHeight w:val="34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1.61</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1.61</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35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1.61</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lang w:val="en-US" w:eastAsia="zh-CN"/>
              </w:rPr>
            </w:pPr>
            <w:r>
              <w:rPr>
                <w:rFonts w:hint="eastAsia" w:ascii="宋体" w:hAnsi="宋体" w:eastAsia="宋体" w:cs="宋体"/>
                <w:sz w:val="24"/>
                <w:szCs w:val="24"/>
                <w:lang w:val="en-US" w:eastAsia="zh-CN"/>
              </w:rPr>
              <w:t>1.61</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340"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ascii="宋体" w:hAnsi="宋体" w:eastAsia="宋体" w:cs="宋体"/>
                <w:sz w:val="24"/>
                <w:szCs w:val="24"/>
                <w:lang w:val="en-US" w:eastAsia="zh-CN"/>
              </w:rPr>
              <w:t>0.27</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0.27</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gridAfter w:val="1"/>
          <w:wAfter w:w="114" w:type="dxa"/>
          <w:trHeight w:val="355" w:hRule="atLeast"/>
        </w:trPr>
        <w:tc>
          <w:tcPr>
            <w:tcW w:w="11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5355" w:type="dxa"/>
            <w:gridSpan w:val="6"/>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710"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ascii="宋体" w:hAnsi="宋体" w:eastAsia="宋体" w:cs="宋体"/>
                <w:sz w:val="24"/>
                <w:szCs w:val="24"/>
                <w:lang w:val="en-US" w:eastAsia="zh-CN"/>
              </w:rPr>
              <w:t>1.33</w:t>
            </w:r>
          </w:p>
        </w:tc>
        <w:tc>
          <w:tcPr>
            <w:tcW w:w="1635" w:type="dxa"/>
            <w:gridSpan w:val="6"/>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ascii="宋体" w:hAnsi="宋体" w:eastAsia="宋体" w:cs="宋体"/>
                <w:sz w:val="24"/>
                <w:szCs w:val="24"/>
                <w:lang w:val="en-US" w:eastAsia="zh-CN"/>
              </w:rPr>
              <w:t>1.33</w:t>
            </w:r>
          </w:p>
        </w:tc>
        <w:tc>
          <w:tcPr>
            <w:tcW w:w="2010" w:type="dxa"/>
            <w:gridSpan w:val="6"/>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4"/>
                <w:szCs w:val="24"/>
                <w:lang w:val="en-US" w:eastAsia="zh-CN"/>
              </w:rPr>
            </w:pPr>
          </w:p>
        </w:tc>
        <w:tc>
          <w:tcPr>
            <w:tcW w:w="1275"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0"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236"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gridAfter w:val="1"/>
          <w:wAfter w:w="114" w:type="dxa"/>
          <w:trHeight w:val="828" w:hRule="atLeast"/>
        </w:trPr>
        <w:tc>
          <w:tcPr>
            <w:tcW w:w="15640" w:type="dxa"/>
            <w:gridSpan w:val="36"/>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tblPrEx>
          <w:tblCellMar>
            <w:top w:w="0" w:type="dxa"/>
            <w:left w:w="108" w:type="dxa"/>
            <w:bottom w:w="0" w:type="dxa"/>
            <w:right w:w="108" w:type="dxa"/>
          </w:tblCellMar>
        </w:tblPrEx>
        <w:trPr>
          <w:gridAfter w:val="2"/>
          <w:wAfter w:w="233" w:type="dxa"/>
          <w:trHeight w:val="534" w:hRule="atLeast"/>
        </w:trPr>
        <w:tc>
          <w:tcPr>
            <w:tcW w:w="15521" w:type="dxa"/>
            <w:gridSpan w:val="35"/>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gridAfter w:val="2"/>
          <w:wAfter w:w="233" w:type="dxa"/>
          <w:trHeight w:val="199" w:hRule="atLeast"/>
        </w:trPr>
        <w:tc>
          <w:tcPr>
            <w:tcW w:w="3591"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5" w:type="dxa"/>
            <w:gridSpan w:val="9"/>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gridAfter w:val="2"/>
          <w:wAfter w:w="233" w:type="dxa"/>
          <w:trHeight w:val="300" w:hRule="atLeast"/>
        </w:trPr>
        <w:tc>
          <w:tcPr>
            <w:tcW w:w="3591" w:type="dxa"/>
            <w:gridSpan w:val="5"/>
            <w:tcBorders>
              <w:top w:val="nil"/>
              <w:left w:val="nil"/>
              <w:bottom w:val="nil"/>
              <w:right w:val="nil"/>
            </w:tcBorders>
            <w:shd w:val="clear" w:color="000000" w:fill="FFFFFF"/>
            <w:noWrap/>
            <w:vAlign w:val="center"/>
          </w:tcPr>
          <w:p>
            <w:pPr>
              <w:widowControl/>
              <w:jc w:val="left"/>
              <w:rPr>
                <w:rFonts w:hint="eastAsia" w:ascii="宋体" w:hAnsi="宋体" w:eastAsia="宋体" w:cs="宋体"/>
                <w:color w:val="000000"/>
                <w:kern w:val="0"/>
                <w:sz w:val="20"/>
                <w:szCs w:val="20"/>
                <w:lang w:eastAsia="zh-CN"/>
              </w:rPr>
            </w:pPr>
            <w:r>
              <w:rPr>
                <w:rFonts w:hint="eastAsia" w:ascii="宋体" w:hAnsi="宋体" w:eastAsia="宋体" w:cs="宋体"/>
                <w:color w:val="000000"/>
                <w:kern w:val="0"/>
                <w:sz w:val="20"/>
                <w:szCs w:val="20"/>
              </w:rPr>
              <w:t>部门：</w:t>
            </w:r>
            <w:r>
              <w:rPr>
                <w:rFonts w:hint="eastAsia"/>
                <w:lang w:eastAsia="zh-CN"/>
              </w:rPr>
              <w:t>道县湘源温泉风景区事务中心</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05" w:type="dxa"/>
            <w:gridSpan w:val="9"/>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2"/>
          <w:wAfter w:w="233" w:type="dxa"/>
          <w:trHeight w:val="402" w:hRule="atLeast"/>
        </w:trPr>
        <w:tc>
          <w:tcPr>
            <w:tcW w:w="5254"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67" w:type="dxa"/>
            <w:gridSpan w:val="2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gridAfter w:val="2"/>
          <w:wAfter w:w="233" w:type="dxa"/>
          <w:trHeight w:val="816"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gridSpan w:val="5"/>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2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64.98</w:t>
            </w: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一、一般公共服务支出</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1" w:type="dxa"/>
            <w:gridSpan w:val="5"/>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60.02</w:t>
            </w:r>
          </w:p>
        </w:tc>
        <w:tc>
          <w:tcPr>
            <w:tcW w:w="1392" w:type="dxa"/>
            <w:gridSpan w:val="5"/>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60.02</w:t>
            </w: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sz w:val="22"/>
                <w:szCs w:val="22"/>
                <w:u w:val="none"/>
                <w:lang w:eastAsia="zh-CN"/>
              </w:rPr>
              <w:t>五、教育支出</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1" w:type="dxa"/>
            <w:gridSpan w:val="5"/>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0.40</w:t>
            </w:r>
          </w:p>
        </w:tc>
        <w:tc>
          <w:tcPr>
            <w:tcW w:w="1392"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0.40</w:t>
            </w: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八、社会保障和就业支出</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1" w:type="dxa"/>
            <w:gridSpan w:val="5"/>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2.95</w:t>
            </w:r>
          </w:p>
        </w:tc>
        <w:tc>
          <w:tcPr>
            <w:tcW w:w="1392" w:type="dxa"/>
            <w:gridSpan w:val="5"/>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2.95</w:t>
            </w: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九、卫生健康支出</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1"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1.61</w:t>
            </w:r>
          </w:p>
        </w:tc>
        <w:tc>
          <w:tcPr>
            <w:tcW w:w="1392"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1.61</w:t>
            </w: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sz w:val="22"/>
                <w:szCs w:val="22"/>
                <w:u w:val="none"/>
                <w:lang w:eastAsia="zh-CN"/>
              </w:rPr>
              <w:t>十四、资源勘探工业信息等支出</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1" w:type="dxa"/>
            <w:gridSpan w:val="5"/>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392" w:type="dxa"/>
            <w:gridSpan w:val="5"/>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二十三、其他支出</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1" w:type="dxa"/>
            <w:gridSpan w:val="5"/>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64.98</w:t>
            </w: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64.98</w:t>
            </w: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64.98</w:t>
            </w: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5"/>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2"/>
          <w:wAfter w:w="233" w:type="dxa"/>
          <w:trHeight w:val="402" w:hRule="atLeast"/>
        </w:trPr>
        <w:tc>
          <w:tcPr>
            <w:tcW w:w="3591" w:type="dxa"/>
            <w:gridSpan w:val="5"/>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22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64.98</w:t>
            </w:r>
            <w:r>
              <w:rPr>
                <w:rFonts w:hint="eastAsia" w:ascii="宋体" w:hAnsi="宋体" w:eastAsia="宋体" w:cs="宋体"/>
                <w:kern w:val="0"/>
                <w:sz w:val="22"/>
              </w:rPr>
              <w:t>　</w:t>
            </w:r>
          </w:p>
        </w:tc>
        <w:tc>
          <w:tcPr>
            <w:tcW w:w="3274" w:type="dxa"/>
            <w:gridSpan w:val="7"/>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4"/>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1" w:type="dxa"/>
            <w:gridSpan w:val="5"/>
            <w:tcBorders>
              <w:top w:val="nil"/>
              <w:left w:val="nil"/>
              <w:bottom w:val="single" w:color="auto" w:sz="4" w:space="0"/>
              <w:right w:val="single" w:color="auto" w:sz="4" w:space="0"/>
            </w:tcBorders>
            <w:shd w:val="clear" w:color="000000" w:fill="FFFFFF"/>
            <w:noWrap/>
            <w:vAlign w:val="center"/>
          </w:tcPr>
          <w:p>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64.98</w:t>
            </w:r>
          </w:p>
        </w:tc>
        <w:tc>
          <w:tcPr>
            <w:tcW w:w="1392" w:type="dxa"/>
            <w:gridSpan w:val="5"/>
            <w:tcBorders>
              <w:top w:val="nil"/>
              <w:left w:val="nil"/>
              <w:bottom w:val="single" w:color="auto" w:sz="4" w:space="0"/>
              <w:right w:val="single" w:color="auto" w:sz="4" w:space="0"/>
            </w:tcBorders>
            <w:shd w:val="clear" w:color="000000" w:fill="FFFFFF"/>
            <w:noWrap/>
            <w:vAlign w:val="center"/>
          </w:tcPr>
          <w:p>
            <w:pPr>
              <w:widowControl/>
              <w:jc w:val="right"/>
              <w:rPr>
                <w:rFonts w:hint="default" w:ascii="宋体" w:hAnsi="宋体" w:eastAsia="宋体" w:cs="宋体"/>
                <w:kern w:val="0"/>
                <w:sz w:val="22"/>
                <w:lang w:val="en-US"/>
              </w:rPr>
            </w:pPr>
            <w:r>
              <w:rPr>
                <w:rFonts w:hint="eastAsia" w:ascii="宋体" w:hAnsi="宋体" w:eastAsia="宋体" w:cs="宋体"/>
                <w:kern w:val="0"/>
                <w:sz w:val="22"/>
                <w:lang w:val="en-US" w:eastAsia="zh-CN"/>
              </w:rPr>
              <w:t>64.98</w:t>
            </w:r>
          </w:p>
        </w:tc>
        <w:tc>
          <w:tcPr>
            <w:tcW w:w="1392"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b/>
                <w:bCs/>
                <w:kern w:val="0"/>
                <w:sz w:val="22"/>
              </w:rPr>
            </w:pPr>
          </w:p>
        </w:tc>
        <w:tc>
          <w:tcPr>
            <w:tcW w:w="157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gridAfter w:val="2"/>
          <w:wAfter w:w="233" w:type="dxa"/>
          <w:trHeight w:val="585" w:hRule="atLeast"/>
        </w:trPr>
        <w:tc>
          <w:tcPr>
            <w:tcW w:w="15521" w:type="dxa"/>
            <w:gridSpan w:val="35"/>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lang w:eastAsia="zh-CN"/>
        </w:rPr>
        <w:t>道县湘源温泉风景区事务中心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2"/>
        <w:tblW w:w="15155" w:type="dxa"/>
        <w:jc w:val="center"/>
        <w:tblLayout w:type="fixed"/>
        <w:tblCellMar>
          <w:top w:w="0" w:type="dxa"/>
          <w:left w:w="108" w:type="dxa"/>
          <w:bottom w:w="0" w:type="dxa"/>
          <w:right w:w="108" w:type="dxa"/>
        </w:tblCellMar>
      </w:tblPr>
      <w:tblGrid>
        <w:gridCol w:w="640"/>
        <w:gridCol w:w="364"/>
        <w:gridCol w:w="155"/>
        <w:gridCol w:w="80"/>
        <w:gridCol w:w="534"/>
        <w:gridCol w:w="685"/>
        <w:gridCol w:w="73"/>
        <w:gridCol w:w="1839"/>
        <w:gridCol w:w="31"/>
        <w:gridCol w:w="74"/>
        <w:gridCol w:w="795"/>
        <w:gridCol w:w="877"/>
        <w:gridCol w:w="53"/>
        <w:gridCol w:w="159"/>
        <w:gridCol w:w="73"/>
        <w:gridCol w:w="1871"/>
        <w:gridCol w:w="144"/>
        <w:gridCol w:w="123"/>
        <w:gridCol w:w="930"/>
        <w:gridCol w:w="765"/>
        <w:gridCol w:w="61"/>
        <w:gridCol w:w="79"/>
        <w:gridCol w:w="942"/>
        <w:gridCol w:w="1074"/>
        <w:gridCol w:w="79"/>
        <w:gridCol w:w="1737"/>
        <w:gridCol w:w="35"/>
        <w:gridCol w:w="854"/>
        <w:gridCol w:w="29"/>
      </w:tblGrid>
      <w:tr>
        <w:tblPrEx>
          <w:tblCellMar>
            <w:top w:w="0" w:type="dxa"/>
            <w:left w:w="108" w:type="dxa"/>
            <w:bottom w:w="0" w:type="dxa"/>
            <w:right w:w="108" w:type="dxa"/>
          </w:tblCellMar>
        </w:tblPrEx>
        <w:trPr>
          <w:gridBefore w:val="1"/>
          <w:gridAfter w:val="2"/>
          <w:wBefore w:w="640" w:type="dxa"/>
          <w:wAfter w:w="883" w:type="dxa"/>
          <w:trHeight w:val="405" w:hRule="atLeast"/>
          <w:jc w:val="center"/>
        </w:trPr>
        <w:tc>
          <w:tcPr>
            <w:tcW w:w="5507" w:type="dxa"/>
            <w:gridSpan w:val="11"/>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125" w:type="dxa"/>
            <w:gridSpan w:val="15"/>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gridBefore w:val="1"/>
          <w:gridAfter w:val="2"/>
          <w:wBefore w:w="640" w:type="dxa"/>
          <w:wAfter w:w="883" w:type="dxa"/>
          <w:trHeight w:val="495" w:hRule="atLeast"/>
          <w:jc w:val="center"/>
        </w:trPr>
        <w:tc>
          <w:tcPr>
            <w:tcW w:w="1133" w:type="dxa"/>
            <w:gridSpan w:val="4"/>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374" w:type="dxa"/>
            <w:gridSpan w:val="7"/>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300" w:type="dxa"/>
            <w:gridSpan w:val="5"/>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900" w:type="dxa"/>
            <w:gridSpan w:val="6"/>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25" w:type="dxa"/>
            <w:gridSpan w:val="4"/>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gridBefore w:val="1"/>
          <w:gridAfter w:val="2"/>
          <w:wBefore w:w="640" w:type="dxa"/>
          <w:wAfter w:w="883" w:type="dxa"/>
          <w:trHeight w:val="360" w:hRule="atLeast"/>
          <w:jc w:val="center"/>
        </w:trPr>
        <w:tc>
          <w:tcPr>
            <w:tcW w:w="1133" w:type="dxa"/>
            <w:gridSpan w:val="4"/>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374" w:type="dxa"/>
            <w:gridSpan w:val="7"/>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300" w:type="dxa"/>
            <w:gridSpan w:val="5"/>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00" w:type="dxa"/>
            <w:gridSpan w:val="6"/>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25" w:type="dxa"/>
            <w:gridSpan w:val="4"/>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rPr>
          <w:gridBefore w:val="1"/>
          <w:gridAfter w:val="2"/>
          <w:wBefore w:w="640" w:type="dxa"/>
          <w:wAfter w:w="883" w:type="dxa"/>
          <w:trHeight w:val="312" w:hRule="atLeast"/>
          <w:jc w:val="center"/>
        </w:trPr>
        <w:tc>
          <w:tcPr>
            <w:tcW w:w="1133" w:type="dxa"/>
            <w:gridSpan w:val="4"/>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374" w:type="dxa"/>
            <w:gridSpan w:val="7"/>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300" w:type="dxa"/>
            <w:gridSpan w:val="5"/>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00" w:type="dxa"/>
            <w:gridSpan w:val="6"/>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25" w:type="dxa"/>
            <w:gridSpan w:val="4"/>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rPr>
          <w:gridBefore w:val="1"/>
          <w:gridAfter w:val="2"/>
          <w:wBefore w:w="640" w:type="dxa"/>
          <w:wAfter w:w="883" w:type="dxa"/>
          <w:trHeight w:val="375" w:hRule="atLeast"/>
          <w:jc w:val="center"/>
        </w:trPr>
        <w:tc>
          <w:tcPr>
            <w:tcW w:w="5507" w:type="dxa"/>
            <w:gridSpan w:val="11"/>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300" w:type="dxa"/>
            <w:gridSpan w:val="5"/>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900" w:type="dxa"/>
            <w:gridSpan w:val="6"/>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rPr>
          <w:gridBefore w:val="1"/>
          <w:gridAfter w:val="2"/>
          <w:wBefore w:w="640" w:type="dxa"/>
          <w:wAfter w:w="883" w:type="dxa"/>
          <w:trHeight w:val="375" w:hRule="atLeast"/>
          <w:jc w:val="center"/>
        </w:trPr>
        <w:tc>
          <w:tcPr>
            <w:tcW w:w="5507" w:type="dxa"/>
            <w:gridSpan w:val="11"/>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0"/>
                <w:szCs w:val="21"/>
                <w:lang w:val="en-US" w:eastAsia="zh-CN"/>
              </w:rPr>
            </w:pPr>
            <w:r>
              <w:rPr>
                <w:rFonts w:hint="eastAsia" w:ascii="宋体" w:hAnsi="宋体" w:eastAsia="宋体" w:cs="宋体"/>
                <w:sz w:val="24"/>
                <w:szCs w:val="24"/>
                <w:lang w:val="en-US" w:eastAsia="zh-CN"/>
              </w:rPr>
              <w:t>64.98</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64.98</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60"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spacing w:val="3"/>
                <w:sz w:val="22"/>
                <w:szCs w:val="22"/>
                <w:lang w:val="en-US" w:eastAsia="zh-CN"/>
              </w:rPr>
              <w:t>一般公共服务支出</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60.02</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60.02</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405"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spacing w:val="3"/>
                <w:sz w:val="22"/>
                <w:szCs w:val="22"/>
                <w:lang w:val="en-US" w:eastAsia="zh-CN"/>
              </w:rPr>
              <w:t>政府办公厅（室）及相关机构事务</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60.02</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60.02</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75"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2010350</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60.02</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60.02</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30"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教育支出</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30"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450"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0.40</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450"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pacing w:val="3"/>
                <w:sz w:val="22"/>
                <w:szCs w:val="22"/>
              </w:rPr>
              <w:t>社会保障和就业支出</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60"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pacing w:val="3"/>
                <w:sz w:val="22"/>
                <w:szCs w:val="22"/>
              </w:rPr>
              <w:t>行政事业单位养老支出</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2.95</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90"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2.95</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2.95</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75" w:hRule="atLeast"/>
          <w:jc w:val="center"/>
        </w:trPr>
        <w:tc>
          <w:tcPr>
            <w:tcW w:w="1133" w:type="dxa"/>
            <w:gridSpan w:val="4"/>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374" w:type="dxa"/>
            <w:gridSpan w:val="7"/>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300" w:type="dxa"/>
            <w:gridSpan w:val="5"/>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1.61</w:t>
            </w:r>
          </w:p>
        </w:tc>
        <w:tc>
          <w:tcPr>
            <w:tcW w:w="2900" w:type="dxa"/>
            <w:gridSpan w:val="6"/>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1.61</w:t>
            </w:r>
          </w:p>
        </w:tc>
        <w:tc>
          <w:tcPr>
            <w:tcW w:w="2925" w:type="dxa"/>
            <w:gridSpan w:val="4"/>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20" w:hRule="atLeast"/>
          <w:jc w:val="center"/>
        </w:trPr>
        <w:tc>
          <w:tcPr>
            <w:tcW w:w="1133" w:type="dxa"/>
            <w:gridSpan w:val="4"/>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374" w:type="dxa"/>
            <w:gridSpan w:val="7"/>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300" w:type="dxa"/>
            <w:gridSpan w:val="5"/>
            <w:tcBorders>
              <w:top w:val="nil"/>
              <w:left w:val="nil"/>
              <w:bottom w:val="single" w:color="auto" w:sz="8" w:space="0"/>
              <w:right w:val="single" w:color="auto" w:sz="4" w:space="0"/>
            </w:tcBorders>
            <w:shd w:val="clear" w:color="auto" w:fill="auto"/>
            <w:vAlign w:val="center"/>
          </w:tcPr>
          <w:p>
            <w:pPr>
              <w:jc w:val="right"/>
              <w:rPr>
                <w:rFonts w:hint="default" w:ascii="Times New Roman" w:hAnsi="Times New Roman" w:eastAsia="仿宋_GB2312" w:cs="Times New Roman"/>
                <w:kern w:val="0"/>
                <w:szCs w:val="21"/>
                <w:lang w:val="en-US" w:eastAsia="zh-CN"/>
              </w:rPr>
            </w:pPr>
            <w:r>
              <w:rPr>
                <w:rFonts w:hint="eastAsia" w:ascii="宋体" w:hAnsi="宋体" w:eastAsia="宋体" w:cs="宋体"/>
                <w:sz w:val="24"/>
                <w:szCs w:val="24"/>
                <w:lang w:val="en-US" w:eastAsia="zh-CN"/>
              </w:rPr>
              <w:t>1.61</w:t>
            </w:r>
          </w:p>
        </w:tc>
        <w:tc>
          <w:tcPr>
            <w:tcW w:w="2900" w:type="dxa"/>
            <w:gridSpan w:val="6"/>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1.61</w:t>
            </w:r>
          </w:p>
        </w:tc>
        <w:tc>
          <w:tcPr>
            <w:tcW w:w="2925" w:type="dxa"/>
            <w:gridSpan w:val="4"/>
            <w:tcBorders>
              <w:top w:val="nil"/>
              <w:left w:val="nil"/>
              <w:bottom w:val="single" w:color="auto" w:sz="8"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p>
        </w:tc>
      </w:tr>
      <w:tr>
        <w:trPr>
          <w:gridBefore w:val="1"/>
          <w:gridAfter w:val="2"/>
          <w:wBefore w:w="640" w:type="dxa"/>
          <w:wAfter w:w="883" w:type="dxa"/>
          <w:trHeight w:val="375" w:hRule="atLeast"/>
          <w:jc w:val="center"/>
        </w:trPr>
        <w:tc>
          <w:tcPr>
            <w:tcW w:w="1133" w:type="dxa"/>
            <w:gridSpan w:val="4"/>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4374" w:type="dxa"/>
            <w:gridSpan w:val="7"/>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2300" w:type="dxa"/>
            <w:gridSpan w:val="5"/>
            <w:tcBorders>
              <w:top w:val="nil"/>
              <w:left w:val="nil"/>
              <w:bottom w:val="single" w:color="auto" w:sz="8" w:space="0"/>
              <w:right w:val="single" w:color="auto" w:sz="4" w:space="0"/>
            </w:tcBorders>
            <w:shd w:val="clear" w:color="auto" w:fill="auto"/>
            <w:vAlign w:val="center"/>
          </w:tcPr>
          <w:p>
            <w:pPr>
              <w:jc w:val="right"/>
              <w:rPr>
                <w:rFonts w:hint="default" w:ascii="Times New Roman" w:hAnsi="Times New Roman" w:eastAsia="仿宋_GB2312" w:cs="Times New Roman"/>
                <w:kern w:val="0"/>
                <w:szCs w:val="21"/>
                <w:lang w:val="en-US" w:eastAsia="zh-CN"/>
              </w:rPr>
            </w:pPr>
            <w:r>
              <w:rPr>
                <w:rFonts w:hint="eastAsia" w:ascii="宋体" w:hAnsi="宋体" w:eastAsia="宋体" w:cs="宋体"/>
                <w:sz w:val="24"/>
                <w:szCs w:val="24"/>
                <w:lang w:val="en-US" w:eastAsia="zh-CN"/>
              </w:rPr>
              <w:t>0.27</w:t>
            </w:r>
          </w:p>
        </w:tc>
        <w:tc>
          <w:tcPr>
            <w:tcW w:w="2900" w:type="dxa"/>
            <w:gridSpan w:val="6"/>
            <w:tcBorders>
              <w:top w:val="nil"/>
              <w:left w:val="nil"/>
              <w:bottom w:val="single" w:color="auto" w:sz="8" w:space="0"/>
              <w:right w:val="single" w:color="auto" w:sz="4" w:space="0"/>
            </w:tcBorders>
            <w:shd w:val="clear" w:color="auto" w:fill="auto"/>
            <w:vAlign w:val="center"/>
          </w:tcPr>
          <w:p>
            <w:pPr>
              <w:jc w:val="right"/>
              <w:rPr>
                <w:rFonts w:hint="default" w:ascii="Times New Roman" w:hAnsi="Times New Roman" w:eastAsia="仿宋_GB2312" w:cs="Times New Roman"/>
                <w:kern w:val="0"/>
                <w:szCs w:val="21"/>
                <w:lang w:val="en-US" w:eastAsia="zh-CN"/>
              </w:rPr>
            </w:pPr>
            <w:r>
              <w:rPr>
                <w:rFonts w:hint="eastAsia" w:ascii="宋体" w:hAnsi="宋体" w:eastAsia="宋体" w:cs="宋体"/>
                <w:sz w:val="24"/>
                <w:szCs w:val="24"/>
                <w:lang w:val="en-US" w:eastAsia="zh-CN"/>
              </w:rPr>
              <w:t>0.27</w:t>
            </w:r>
          </w:p>
        </w:tc>
        <w:tc>
          <w:tcPr>
            <w:tcW w:w="2925" w:type="dxa"/>
            <w:gridSpan w:val="4"/>
            <w:tcBorders>
              <w:top w:val="nil"/>
              <w:left w:val="nil"/>
              <w:bottom w:val="single" w:color="auto" w:sz="8"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rPr>
          <w:gridBefore w:val="1"/>
          <w:gridAfter w:val="2"/>
          <w:wBefore w:w="640" w:type="dxa"/>
          <w:wAfter w:w="883" w:type="dxa"/>
          <w:trHeight w:val="390" w:hRule="atLeast"/>
          <w:jc w:val="center"/>
        </w:trPr>
        <w:tc>
          <w:tcPr>
            <w:tcW w:w="1133" w:type="dxa"/>
            <w:gridSpan w:val="4"/>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374" w:type="dxa"/>
            <w:gridSpan w:val="7"/>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2300" w:type="dxa"/>
            <w:gridSpan w:val="5"/>
            <w:tcBorders>
              <w:top w:val="nil"/>
              <w:left w:val="nil"/>
              <w:bottom w:val="single" w:color="auto" w:sz="8" w:space="0"/>
              <w:right w:val="single" w:color="auto" w:sz="4" w:space="0"/>
            </w:tcBorders>
            <w:shd w:val="clear" w:color="auto" w:fill="auto"/>
            <w:vAlign w:val="center"/>
          </w:tcPr>
          <w:p>
            <w:pPr>
              <w:jc w:val="right"/>
              <w:rPr>
                <w:rFonts w:hint="default" w:ascii="Times New Roman" w:hAnsi="Times New Roman" w:eastAsia="仿宋_GB2312" w:cs="Times New Roman"/>
                <w:kern w:val="0"/>
                <w:szCs w:val="21"/>
                <w:lang w:val="en-US" w:eastAsia="zh-CN"/>
              </w:rPr>
            </w:pPr>
            <w:r>
              <w:rPr>
                <w:rFonts w:hint="eastAsia" w:ascii="宋体" w:hAnsi="宋体" w:eastAsia="宋体" w:cs="宋体"/>
                <w:sz w:val="24"/>
                <w:szCs w:val="24"/>
                <w:lang w:val="en-US" w:eastAsia="zh-CN"/>
              </w:rPr>
              <w:t>1.33</w:t>
            </w:r>
          </w:p>
        </w:tc>
        <w:tc>
          <w:tcPr>
            <w:tcW w:w="2900" w:type="dxa"/>
            <w:gridSpan w:val="6"/>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宋体" w:hAnsi="宋体" w:eastAsia="宋体" w:cs="宋体"/>
                <w:sz w:val="24"/>
                <w:szCs w:val="24"/>
                <w:lang w:val="en-US" w:eastAsia="zh-CN"/>
              </w:rPr>
              <w:t>1.33</w:t>
            </w:r>
          </w:p>
        </w:tc>
        <w:tc>
          <w:tcPr>
            <w:tcW w:w="2925" w:type="dxa"/>
            <w:gridSpan w:val="4"/>
            <w:tcBorders>
              <w:top w:val="nil"/>
              <w:left w:val="nil"/>
              <w:bottom w:val="single" w:color="auto" w:sz="8"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p>
        </w:tc>
      </w:tr>
      <w:tr>
        <w:trPr>
          <w:gridBefore w:val="1"/>
          <w:gridAfter w:val="2"/>
          <w:wBefore w:w="640" w:type="dxa"/>
          <w:wAfter w:w="883" w:type="dxa"/>
          <w:trHeight w:val="645" w:hRule="atLeast"/>
          <w:jc w:val="center"/>
        </w:trPr>
        <w:tc>
          <w:tcPr>
            <w:tcW w:w="13632" w:type="dxa"/>
            <w:gridSpan w:val="2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r>
        <w:trPr>
          <w:trHeight w:val="113" w:hRule="atLeast"/>
          <w:jc w:val="center"/>
        </w:trPr>
        <w:tc>
          <w:tcPr>
            <w:tcW w:w="15155" w:type="dxa"/>
            <w:gridSpan w:val="29"/>
            <w:tcBorders>
              <w:top w:val="nil"/>
              <w:left w:val="nil"/>
              <w:bottom w:val="nil"/>
              <w:right w:val="nil"/>
            </w:tcBorders>
            <w:shd w:val="clear" w:color="auto" w:fill="auto"/>
            <w:noWrap/>
            <w:vAlign w:val="center"/>
          </w:tcPr>
          <w:p>
            <w:pPr>
              <w:widowControl/>
              <w:jc w:val="center"/>
              <w:rPr>
                <w:rFonts w:hint="eastAsia" w:ascii="华文中宋" w:hAnsi="华文中宋" w:eastAsia="华文中宋" w:cs="宋体"/>
                <w:color w:val="000000"/>
                <w:kern w:val="0"/>
                <w:szCs w:val="32"/>
              </w:rPr>
            </w:pPr>
            <w:bookmarkStart w:id="2" w:name="RANGE!A1:I34"/>
          </w:p>
          <w:p>
            <w:pPr>
              <w:widowControl/>
              <w:jc w:val="center"/>
              <w:rPr>
                <w:rFonts w:ascii="华文中宋" w:hAnsi="华文中宋" w:eastAsia="华文中宋" w:cs="宋体"/>
                <w:color w:val="000000"/>
                <w:kern w:val="0"/>
                <w:szCs w:val="32"/>
              </w:rPr>
            </w:pPr>
            <w:r>
              <w:rPr>
                <w:rFonts w:hint="eastAsia" w:ascii="华文中宋" w:hAnsi="华文中宋" w:eastAsia="华文中宋" w:cs="宋体"/>
                <w:color w:val="000000"/>
                <w:kern w:val="0"/>
                <w:szCs w:val="32"/>
                <w:lang w:eastAsia="zh-CN"/>
              </w:rPr>
              <w:t>一</w:t>
            </w:r>
            <w:r>
              <w:rPr>
                <w:rFonts w:hint="eastAsia" w:ascii="华文中宋" w:hAnsi="华文中宋" w:eastAsia="华文中宋" w:cs="宋体"/>
                <w:color w:val="000000"/>
                <w:kern w:val="0"/>
                <w:szCs w:val="32"/>
              </w:rPr>
              <w:t>般公共预算财政拨款基本支出决算明细表</w:t>
            </w:r>
            <w:bookmarkEnd w:id="2"/>
          </w:p>
          <w:p>
            <w:pPr>
              <w:widowControl/>
              <w:wordWrap w:val="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lang w:eastAsia="zh-CN"/>
              </w:rPr>
              <w:t>道县湘源温泉风景区事务中心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公开06表</w:t>
            </w:r>
          </w:p>
          <w:p>
            <w:pPr>
              <w:widowControl/>
              <w:jc w:val="center"/>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单位：万元</w:t>
            </w:r>
          </w:p>
        </w:tc>
      </w:tr>
      <w:tr>
        <w:trPr>
          <w:trHeight w:val="776" w:hRule="atLeast"/>
          <w:jc w:val="center"/>
        </w:trPr>
        <w:tc>
          <w:tcPr>
            <w:tcW w:w="10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0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3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70"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3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76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72" w:type="dxa"/>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18"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49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49.38</w:t>
            </w:r>
          </w:p>
          <w:p>
            <w:pPr>
              <w:widowControl/>
              <w:spacing w:line="360" w:lineRule="auto"/>
              <w:jc w:val="right"/>
              <w:rPr>
                <w:rFonts w:hint="default" w:ascii="宋体" w:hAnsi="宋体" w:eastAsia="宋体" w:cs="宋体"/>
                <w:color w:val="000000"/>
                <w:kern w:val="0"/>
                <w:szCs w:val="20"/>
                <w:lang w:val="en-US" w:eastAsia="zh-CN"/>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15.40</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2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28.79</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2.17</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6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1.20</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0.67</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8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4.23</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90"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1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5.61</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0.07</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3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2.95</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0.38</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51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0.15</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5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1.61</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6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8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0.56</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3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6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0.62</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8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5.00</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3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0.20</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36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0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0.20</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34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2.50</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3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2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0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0.76</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37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394"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1.37</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0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2.70</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spacing w:line="360" w:lineRule="auto"/>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spacing w:line="360" w:lineRule="auto"/>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spacing w:line="360" w:lineRule="auto"/>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6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spacing w:line="360" w:lineRule="auto"/>
              <w:jc w:val="left"/>
              <w:rPr>
                <w:rFonts w:ascii="宋体" w:hAnsi="宋体" w:eastAsia="宋体" w:cs="宋体"/>
                <w:color w:val="000000"/>
                <w:kern w:val="0"/>
                <w:szCs w:val="20"/>
              </w:rPr>
            </w:pP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0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37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2.90</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3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39" w:hRule="exact"/>
          <w:jc w:val="center"/>
        </w:trPr>
        <w:tc>
          <w:tcPr>
            <w:tcW w:w="1004" w:type="dxa"/>
            <w:gridSpan w:val="2"/>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3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70" w:type="dxa"/>
            <w:gridSpan w:val="5"/>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30" w:type="dxa"/>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0.56</w:t>
            </w:r>
          </w:p>
        </w:tc>
        <w:tc>
          <w:tcPr>
            <w:tcW w:w="765" w:type="dxa"/>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72" w:type="dxa"/>
            <w:gridSpan w:val="6"/>
            <w:tcBorders>
              <w:top w:val="nil"/>
              <w:left w:val="nil"/>
              <w:bottom w:val="single" w:color="auto" w:sz="4" w:space="0"/>
              <w:right w:val="single" w:color="auto" w:sz="4" w:space="0"/>
            </w:tcBorders>
            <w:shd w:val="clear" w:color="auto" w:fill="auto"/>
            <w:noWrap/>
            <w:vAlign w:val="center"/>
          </w:tcPr>
          <w:p>
            <w:pPr>
              <w:widowControl/>
              <w:spacing w:line="360" w:lineRule="auto"/>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439" w:hRule="exact"/>
          <w:jc w:val="center"/>
        </w:trPr>
        <w:tc>
          <w:tcPr>
            <w:tcW w:w="4370"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900"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49.58</w:t>
            </w:r>
          </w:p>
        </w:tc>
        <w:tc>
          <w:tcPr>
            <w:tcW w:w="8967" w:type="dxa"/>
            <w:gridSpan w:val="15"/>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18" w:type="dxa"/>
            <w:gridSpan w:val="3"/>
            <w:tcBorders>
              <w:top w:val="nil"/>
              <w:left w:val="nil"/>
              <w:bottom w:val="single" w:color="auto" w:sz="4" w:space="0"/>
              <w:right w:val="single" w:color="auto" w:sz="4" w:space="0"/>
            </w:tcBorders>
            <w:shd w:val="clear" w:color="auto" w:fill="auto"/>
            <w:noWrap/>
            <w:vAlign w:val="center"/>
          </w:tcPr>
          <w:p>
            <w:pPr>
              <w:widowControl/>
              <w:spacing w:line="360" w:lineRule="auto"/>
              <w:jc w:val="righ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15.40</w:t>
            </w:r>
          </w:p>
        </w:tc>
      </w:tr>
      <w:tr>
        <w:tblPrEx>
          <w:tblCellMar>
            <w:top w:w="0" w:type="dxa"/>
            <w:left w:w="108" w:type="dxa"/>
            <w:bottom w:w="0" w:type="dxa"/>
            <w:right w:w="108" w:type="dxa"/>
          </w:tblCellMar>
        </w:tblPrEx>
        <w:trPr>
          <w:trHeight w:val="584" w:hRule="exact"/>
          <w:jc w:val="center"/>
        </w:trPr>
        <w:tc>
          <w:tcPr>
            <w:tcW w:w="15155" w:type="dxa"/>
            <w:gridSpan w:val="2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690" w:hRule="atLeast"/>
          <w:jc w:val="center"/>
        </w:trPr>
        <w:tc>
          <w:tcPr>
            <w:tcW w:w="15126" w:type="dxa"/>
            <w:gridSpan w:val="28"/>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1004"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5"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292" w:type="dxa"/>
            <w:gridSpan w:val="3"/>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944"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57" w:type="dxa"/>
            <w:gridSpan w:val="5"/>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38"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35" w:type="dxa"/>
            <w:gridSpan w:val="4"/>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5"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655" w:type="dxa"/>
            <w:gridSpan w:val="4"/>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jc w:val="center"/>
        </w:trPr>
        <w:tc>
          <w:tcPr>
            <w:tcW w:w="1004" w:type="dxa"/>
            <w:gridSpan w:val="2"/>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5"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292" w:type="dxa"/>
            <w:gridSpan w:val="3"/>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lang w:eastAsia="zh-CN"/>
              </w:rPr>
            </w:pPr>
            <w:r>
              <w:rPr>
                <w:rFonts w:hint="eastAsia"/>
                <w:lang w:eastAsia="zh-CN"/>
              </w:rPr>
              <w:t>道县湘源温泉风景区事务中心</w:t>
            </w:r>
          </w:p>
        </w:tc>
        <w:tc>
          <w:tcPr>
            <w:tcW w:w="1944"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57" w:type="dxa"/>
            <w:gridSpan w:val="5"/>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38"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35" w:type="dxa"/>
            <w:gridSpan w:val="4"/>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5"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655" w:type="dxa"/>
            <w:gridSpan w:val="4"/>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459" w:hRule="atLeast"/>
          <w:jc w:val="center"/>
        </w:trPr>
        <w:tc>
          <w:tcPr>
            <w:tcW w:w="24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9"/>
                <w:lang w:val="en-US" w:eastAsia="zh-CN" w:bidi="ar"/>
              </w:rPr>
              <w:t xml:space="preserve">   </w:t>
            </w:r>
            <w:r>
              <w:rPr>
                <w:rStyle w:val="20"/>
                <w:lang w:val="en-US" w:eastAsia="zh-CN" w:bidi="ar"/>
              </w:rPr>
              <w:t>目</w:t>
            </w:r>
          </w:p>
        </w:tc>
        <w:tc>
          <w:tcPr>
            <w:tcW w:w="19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1958"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06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70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609" w:hRule="atLeast"/>
          <w:jc w:val="center"/>
        </w:trPr>
        <w:tc>
          <w:tcPr>
            <w:tcW w:w="115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29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9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5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23"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7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409" w:hRule="atLeast"/>
          <w:jc w:val="center"/>
        </w:trPr>
        <w:tc>
          <w:tcPr>
            <w:tcW w:w="11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5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2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312" w:hRule="atLeast"/>
          <w:jc w:val="center"/>
        </w:trPr>
        <w:tc>
          <w:tcPr>
            <w:tcW w:w="11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5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23"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70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509" w:hRule="atLeast"/>
          <w:jc w:val="center"/>
        </w:trPr>
        <w:tc>
          <w:tcPr>
            <w:tcW w:w="24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9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9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509" w:hRule="atLeast"/>
          <w:jc w:val="center"/>
        </w:trPr>
        <w:tc>
          <w:tcPr>
            <w:tcW w:w="245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9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4"/>
                <w:szCs w:val="24"/>
                <w:u w:val="none"/>
                <w:lang w:val="en-US" w:eastAsia="zh-CN"/>
              </w:rPr>
            </w:pP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0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0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509" w:hRule="atLeast"/>
          <w:jc w:val="center"/>
        </w:trPr>
        <w:tc>
          <w:tcPr>
            <w:tcW w:w="1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2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19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4"/>
                <w:szCs w:val="24"/>
                <w:u w:val="none"/>
                <w:lang w:val="en-US" w:eastAsia="zh-CN"/>
              </w:rPr>
            </w:pP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0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0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509" w:hRule="atLeast"/>
          <w:jc w:val="center"/>
        </w:trPr>
        <w:tc>
          <w:tcPr>
            <w:tcW w:w="1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2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9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4"/>
                <w:szCs w:val="24"/>
                <w:u w:val="none"/>
                <w:lang w:val="en-US" w:eastAsia="zh-CN"/>
              </w:rPr>
            </w:pP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0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0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509" w:hRule="atLeast"/>
          <w:jc w:val="center"/>
        </w:trPr>
        <w:tc>
          <w:tcPr>
            <w:tcW w:w="11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2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9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4"/>
                <w:szCs w:val="24"/>
                <w:u w:val="none"/>
                <w:lang w:val="en-US" w:eastAsia="zh-CN"/>
              </w:rPr>
            </w:pP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0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0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dxa"/>
          <w:trHeight w:val="725" w:hRule="atLeast"/>
          <w:jc w:val="center"/>
        </w:trPr>
        <w:tc>
          <w:tcPr>
            <w:tcW w:w="15126" w:type="dxa"/>
            <w:gridSpan w:val="2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2"/>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lang w:eastAsia="zh-CN"/>
              </w:rPr>
            </w:pPr>
            <w:r>
              <w:rPr>
                <w:rFonts w:hint="eastAsia"/>
                <w:lang w:eastAsia="zh-CN"/>
              </w:rPr>
              <w:t>道县湘源温泉风景区事务中心</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12"/>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3"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lang w:eastAsia="zh-CN"/>
              </w:rPr>
            </w:pPr>
            <w:r>
              <w:rPr>
                <w:rFonts w:hint="eastAsia"/>
                <w:lang w:eastAsia="zh-CN"/>
              </w:rPr>
              <w:t>道县湘源温泉风景区事务中心</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widowControl/>
        <w:jc w:val="both"/>
        <w:rPr>
          <w:sz w:val="72"/>
          <w:szCs w:val="72"/>
        </w:rPr>
        <w:sectPr>
          <w:pgSz w:w="16838" w:h="11906" w:orient="landscape"/>
          <w:pgMar w:top="720" w:right="720" w:bottom="720" w:left="720" w:header="851" w:footer="992" w:gutter="0"/>
          <w:pgNumType w:fmt="decimal"/>
          <w:cols w:space="425" w:num="1"/>
          <w:docGrid w:type="lines" w:linePitch="312" w:charSpace="0"/>
        </w:sectPr>
      </w:pPr>
    </w:p>
    <w:p>
      <w:pPr>
        <w:pStyle w:val="16"/>
        <w:jc w:val="both"/>
        <w:rPr>
          <w:rFonts w:hint="eastAsia" w:ascii="方正小标宋_GBK" w:hAnsi="方正小标宋_GBK" w:eastAsia="方正小标宋_GBK" w:cs="方正小标宋_GBK"/>
          <w:sz w:val="72"/>
          <w:szCs w:val="72"/>
        </w:rPr>
      </w:pPr>
    </w:p>
    <w:p>
      <w:pPr>
        <w:pStyle w:val="16"/>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r>
        <w:rPr>
          <w:rFonts w:hint="eastAsia" w:ascii="仿宋" w:hAnsi="仿宋" w:eastAsia="仿宋" w:cs="仿宋"/>
          <w:b/>
          <w:bCs/>
          <w:sz w:val="52"/>
          <w:szCs w:val="52"/>
        </w:rPr>
        <w:t>202</w:t>
      </w:r>
      <w:r>
        <w:rPr>
          <w:rFonts w:hint="eastAsia" w:ascii="仿宋" w:hAnsi="仿宋" w:eastAsia="仿宋" w:cs="仿宋"/>
          <w:b/>
          <w:bCs/>
          <w:sz w:val="52"/>
          <w:szCs w:val="52"/>
          <w:lang w:val="en-US" w:eastAsia="zh-CN"/>
        </w:rPr>
        <w:t>5</w:t>
      </w:r>
      <w:r>
        <w:rPr>
          <w:rFonts w:hint="eastAsia" w:ascii="仿宋" w:hAnsi="仿宋" w:eastAsia="仿宋" w:cs="仿宋"/>
          <w:b/>
          <w:bCs/>
          <w:sz w:val="52"/>
          <w:szCs w:val="52"/>
        </w:rPr>
        <w:t>年度部门决算情况说明</w:t>
      </w:r>
    </w:p>
    <w:p>
      <w:pPr>
        <w:widowControl/>
        <w:jc w:val="left"/>
        <w:rPr>
          <w:rFonts w:asciiTheme="minorEastAsia" w:hAnsiTheme="minorEastAsia" w:eastAsiaTheme="minorEastAsia"/>
          <w:sz w:val="32"/>
          <w:szCs w:val="32"/>
        </w:rPr>
      </w:pP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一、收入支出决算总体情况说明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年度收、支总计</w:t>
      </w:r>
      <w:r>
        <w:rPr>
          <w:rFonts w:hint="eastAsia" w:ascii="仿宋" w:hAnsi="仿宋" w:eastAsia="仿宋" w:cs="仿宋"/>
          <w:sz w:val="32"/>
          <w:szCs w:val="32"/>
          <w:lang w:val="en-US" w:eastAsia="zh-CN"/>
        </w:rPr>
        <w:t>129.96</w:t>
      </w:r>
      <w:r>
        <w:rPr>
          <w:rFonts w:hint="eastAsia" w:ascii="仿宋" w:hAnsi="仿宋" w:eastAsia="仿宋" w:cs="仿宋"/>
          <w:sz w:val="32"/>
          <w:szCs w:val="32"/>
        </w:rPr>
        <w:t>万元。与上年</w:t>
      </w:r>
      <w:r>
        <w:rPr>
          <w:rFonts w:hint="eastAsia" w:ascii="仿宋" w:hAnsi="仿宋" w:eastAsia="仿宋" w:cs="仿宋"/>
          <w:sz w:val="32"/>
          <w:szCs w:val="32"/>
          <w:lang w:val="en-US" w:eastAsia="zh-CN"/>
        </w:rPr>
        <w:t>121.66万元</w:t>
      </w:r>
      <w:r>
        <w:rPr>
          <w:rFonts w:hint="eastAsia" w:ascii="仿宋" w:hAnsi="仿宋" w:eastAsia="仿宋" w:cs="仿宋"/>
          <w:sz w:val="32"/>
          <w:szCs w:val="32"/>
        </w:rPr>
        <w:t>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8.30</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6.82</w:t>
      </w:r>
      <w:r>
        <w:rPr>
          <w:rFonts w:hint="eastAsia" w:ascii="仿宋" w:hAnsi="仿宋" w:eastAsia="仿宋" w:cs="仿宋"/>
          <w:sz w:val="32"/>
          <w:szCs w:val="32"/>
        </w:rPr>
        <w:t>%，主要是因为</w:t>
      </w:r>
      <w:r>
        <w:rPr>
          <w:rFonts w:hint="eastAsia" w:ascii="仿宋" w:hAnsi="仿宋" w:eastAsia="仿宋" w:cs="仿宋"/>
          <w:sz w:val="32"/>
          <w:szCs w:val="32"/>
          <w:lang w:eastAsia="zh-CN"/>
        </w:rPr>
        <w:t>人员经费增加。</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二、收入决算情况说明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年度收入合计</w:t>
      </w:r>
      <w:r>
        <w:rPr>
          <w:rFonts w:hint="eastAsia" w:ascii="仿宋" w:hAnsi="仿宋" w:eastAsia="仿宋" w:cs="仿宋"/>
          <w:sz w:val="32"/>
          <w:szCs w:val="32"/>
          <w:lang w:val="en-US" w:eastAsia="zh-CN"/>
        </w:rPr>
        <w:t>64.98</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64.98</w:t>
      </w:r>
      <w:r>
        <w:rPr>
          <w:rFonts w:hint="eastAsia" w:ascii="仿宋" w:hAnsi="仿宋" w:eastAsia="仿宋" w:cs="仿宋"/>
          <w:sz w:val="32"/>
          <w:szCs w:val="32"/>
        </w:rPr>
        <w:t>万元，占</w:t>
      </w:r>
      <w:r>
        <w:rPr>
          <w:rFonts w:hint="eastAsia" w:ascii="仿宋" w:hAnsi="仿宋" w:eastAsia="仿宋" w:cs="仿宋"/>
          <w:sz w:val="32"/>
          <w:szCs w:val="32"/>
          <w:lang w:val="en-US" w:eastAsia="zh-CN"/>
        </w:rPr>
        <w:t>100.00</w:t>
      </w:r>
      <w:r>
        <w:rPr>
          <w:rFonts w:hint="eastAsia" w:ascii="仿宋" w:hAnsi="仿宋" w:eastAsia="仿宋" w:cs="仿宋"/>
          <w:sz w:val="32"/>
          <w:szCs w:val="32"/>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val="0"/>
          <w:bCs/>
          <w:sz w:val="32"/>
          <w:szCs w:val="32"/>
        </w:rPr>
      </w:pPr>
      <w:r>
        <w:rPr>
          <w:rFonts w:hint="eastAsia" w:ascii="仿宋" w:hAnsi="仿宋" w:eastAsia="仿宋" w:cs="仿宋"/>
          <w:b/>
          <w:bCs w:val="0"/>
          <w:sz w:val="32"/>
          <w:szCs w:val="32"/>
        </w:rPr>
        <w:t>三、支出决算情况说明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年度支出合计</w:t>
      </w:r>
      <w:r>
        <w:rPr>
          <w:rFonts w:hint="eastAsia" w:ascii="仿宋" w:hAnsi="仿宋" w:eastAsia="仿宋" w:cs="仿宋"/>
          <w:sz w:val="32"/>
          <w:szCs w:val="32"/>
          <w:lang w:val="en-US" w:eastAsia="zh-CN"/>
        </w:rPr>
        <w:t>64.98</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64.98</w:t>
      </w:r>
      <w:r>
        <w:rPr>
          <w:rFonts w:hint="eastAsia" w:ascii="仿宋" w:hAnsi="仿宋" w:eastAsia="仿宋" w:cs="仿宋"/>
          <w:sz w:val="32"/>
          <w:szCs w:val="32"/>
        </w:rPr>
        <w:t>万元，占</w:t>
      </w:r>
      <w:r>
        <w:rPr>
          <w:rFonts w:hint="eastAsia" w:ascii="仿宋" w:hAnsi="仿宋" w:eastAsia="仿宋" w:cs="仿宋"/>
          <w:sz w:val="32"/>
          <w:szCs w:val="32"/>
          <w:lang w:val="en-US" w:eastAsia="zh-CN"/>
        </w:rPr>
        <w:t>100.00</w:t>
      </w:r>
      <w:r>
        <w:rPr>
          <w:rFonts w:hint="eastAsia" w:ascii="仿宋" w:hAnsi="仿宋" w:eastAsia="仿宋" w:cs="仿宋"/>
          <w:sz w:val="32"/>
          <w:szCs w:val="32"/>
        </w:rPr>
        <w:t>%；项目支出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四、财政拨款收入支出决算总体情况说明</w:t>
      </w:r>
    </w:p>
    <w:p>
      <w:pPr>
        <w:pStyle w:val="16"/>
        <w:keepNext w:val="0"/>
        <w:keepLines w:val="0"/>
        <w:pageBreakBefore w:val="0"/>
        <w:widowControl w:val="0"/>
        <w:kinsoku/>
        <w:wordWrap/>
        <w:overflowPunct/>
        <w:topLinePunct w:val="0"/>
        <w:bidi w:val="0"/>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年度财政拨款收、支总计</w:t>
      </w:r>
      <w:r>
        <w:rPr>
          <w:rFonts w:hint="eastAsia" w:ascii="仿宋" w:hAnsi="仿宋" w:eastAsia="仿宋" w:cs="仿宋"/>
          <w:sz w:val="32"/>
          <w:szCs w:val="32"/>
          <w:lang w:val="en-US" w:eastAsia="zh-CN"/>
        </w:rPr>
        <w:t>129.96</w:t>
      </w:r>
      <w:r>
        <w:rPr>
          <w:rFonts w:hint="eastAsia" w:ascii="仿宋" w:hAnsi="仿宋" w:eastAsia="仿宋" w:cs="仿宋"/>
          <w:sz w:val="32"/>
          <w:szCs w:val="32"/>
        </w:rPr>
        <w:t>万元。与上年</w:t>
      </w:r>
      <w:r>
        <w:rPr>
          <w:rFonts w:hint="eastAsia" w:ascii="仿宋" w:hAnsi="仿宋" w:eastAsia="仿宋" w:cs="仿宋"/>
          <w:sz w:val="32"/>
          <w:szCs w:val="32"/>
          <w:lang w:val="en-US" w:eastAsia="zh-CN"/>
        </w:rPr>
        <w:t>121.66万元</w:t>
      </w:r>
      <w:r>
        <w:rPr>
          <w:rFonts w:hint="eastAsia" w:ascii="仿宋" w:hAnsi="仿宋" w:eastAsia="仿宋" w:cs="仿宋"/>
          <w:sz w:val="32"/>
          <w:szCs w:val="32"/>
        </w:rPr>
        <w:t>相比，</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8.30</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6.82</w:t>
      </w:r>
      <w:r>
        <w:rPr>
          <w:rFonts w:hint="eastAsia" w:ascii="仿宋" w:hAnsi="仿宋" w:eastAsia="仿宋" w:cs="仿宋"/>
          <w:sz w:val="32"/>
          <w:szCs w:val="32"/>
        </w:rPr>
        <w:t>%，主要是因为</w:t>
      </w:r>
      <w:r>
        <w:rPr>
          <w:rFonts w:hint="eastAsia" w:ascii="仿宋" w:hAnsi="仿宋" w:eastAsia="仿宋" w:cs="仿宋"/>
          <w:sz w:val="32"/>
          <w:szCs w:val="32"/>
          <w:lang w:eastAsia="zh-CN"/>
        </w:rPr>
        <w:t>人员经费增加。</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五、一般公共预算财政拨款支出决算情况说明</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（一）一般公共预算财政拨款支出决算总体情况</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64.98</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100.00</w:t>
      </w:r>
      <w:r>
        <w:rPr>
          <w:rFonts w:hint="eastAsia" w:ascii="仿宋" w:hAnsi="仿宋" w:eastAsia="仿宋" w:cs="仿宋"/>
          <w:sz w:val="32"/>
          <w:szCs w:val="32"/>
        </w:rPr>
        <w:t>%，与上年</w:t>
      </w:r>
      <w:r>
        <w:rPr>
          <w:rFonts w:hint="eastAsia" w:ascii="仿宋" w:hAnsi="仿宋" w:eastAsia="仿宋" w:cs="仿宋"/>
          <w:sz w:val="32"/>
          <w:szCs w:val="32"/>
          <w:lang w:val="en-US" w:eastAsia="zh-CN"/>
        </w:rPr>
        <w:t>60.83万元</w:t>
      </w:r>
      <w:r>
        <w:rPr>
          <w:rFonts w:hint="eastAsia" w:ascii="仿宋" w:hAnsi="仿宋" w:eastAsia="仿宋" w:cs="仿宋"/>
          <w:sz w:val="32"/>
          <w:szCs w:val="32"/>
        </w:rPr>
        <w:t>相比，财政拨款支出</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4.15</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6.82</w:t>
      </w:r>
      <w:r>
        <w:rPr>
          <w:rFonts w:hint="eastAsia" w:ascii="仿宋" w:hAnsi="仿宋" w:eastAsia="仿宋" w:cs="仿宋"/>
          <w:sz w:val="32"/>
          <w:szCs w:val="32"/>
        </w:rPr>
        <w:t>%，主要是因为</w:t>
      </w:r>
      <w:r>
        <w:rPr>
          <w:rFonts w:hint="eastAsia" w:ascii="仿宋" w:hAnsi="仿宋" w:eastAsia="仿宋" w:cs="仿宋"/>
          <w:sz w:val="32"/>
          <w:szCs w:val="32"/>
          <w:lang w:eastAsia="zh-CN"/>
        </w:rPr>
        <w:t>人员经费增加。</w:t>
      </w:r>
    </w:p>
    <w:p>
      <w:pPr>
        <w:pStyle w:val="16"/>
        <w:keepNext w:val="0"/>
        <w:keepLines w:val="0"/>
        <w:pageBreakBefore w:val="0"/>
        <w:widowControl w:val="0"/>
        <w:kinsoku/>
        <w:wordWrap/>
        <w:overflowPunct/>
        <w:topLinePunct w:val="0"/>
        <w:bidi w:val="0"/>
        <w:snapToGrid/>
        <w:spacing w:line="600" w:lineRule="exact"/>
        <w:ind w:firstLine="482" w:firstLineChars="15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（二）一般公共预算财政拨款支出决算结构情况</w:t>
      </w:r>
    </w:p>
    <w:p>
      <w:pPr>
        <w:spacing w:before="253" w:line="352" w:lineRule="auto"/>
        <w:ind w:firstLine="661"/>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64.98</w:t>
      </w:r>
      <w:r>
        <w:rPr>
          <w:rFonts w:hint="eastAsia" w:ascii="仿宋" w:hAnsi="仿宋" w:eastAsia="仿宋" w:cs="仿宋"/>
          <w:sz w:val="32"/>
          <w:szCs w:val="32"/>
        </w:rPr>
        <w:t>万元，主要用于以下方面：</w:t>
      </w:r>
      <w:r>
        <w:rPr>
          <w:rFonts w:hint="eastAsia" w:ascii="仿宋" w:hAnsi="仿宋" w:eastAsia="仿宋" w:cs="仿宋"/>
          <w:sz w:val="32"/>
          <w:szCs w:val="32"/>
          <w:lang w:eastAsia="zh-CN"/>
        </w:rPr>
        <w:t>一般公共服务支出（类）</w:t>
      </w:r>
      <w:r>
        <w:rPr>
          <w:rFonts w:hint="eastAsia" w:ascii="仿宋" w:hAnsi="仿宋" w:eastAsia="仿宋" w:cs="仿宋"/>
          <w:sz w:val="32"/>
          <w:szCs w:val="32"/>
          <w:lang w:val="en-US" w:eastAsia="zh-CN"/>
        </w:rPr>
        <w:t>60.02万元，占比92.36%；</w:t>
      </w:r>
      <w:r>
        <w:rPr>
          <w:rFonts w:hint="eastAsia" w:ascii="仿宋" w:hAnsi="仿宋" w:eastAsia="仿宋" w:cs="仿宋"/>
          <w:sz w:val="32"/>
          <w:szCs w:val="32"/>
          <w:lang w:eastAsia="zh-CN"/>
        </w:rPr>
        <w:t>教育支出（类）</w:t>
      </w:r>
      <w:r>
        <w:rPr>
          <w:rFonts w:hint="eastAsia" w:ascii="仿宋" w:hAnsi="仿宋" w:eastAsia="仿宋" w:cs="仿宋"/>
          <w:sz w:val="32"/>
          <w:szCs w:val="32"/>
          <w:lang w:val="en-US" w:eastAsia="zh-CN"/>
        </w:rPr>
        <w:t>0.40万元，占比0.62%；</w:t>
      </w:r>
      <w:r>
        <w:rPr>
          <w:rFonts w:ascii="仿宋" w:hAnsi="仿宋" w:eastAsia="仿宋" w:cs="仿宋"/>
          <w:spacing w:val="-7"/>
          <w:sz w:val="32"/>
          <w:szCs w:val="32"/>
        </w:rPr>
        <w:t>社会</w:t>
      </w:r>
      <w:r>
        <w:rPr>
          <w:rFonts w:ascii="仿宋" w:hAnsi="仿宋" w:eastAsia="仿宋" w:cs="仿宋"/>
          <w:spacing w:val="-2"/>
          <w:sz w:val="32"/>
          <w:szCs w:val="32"/>
        </w:rPr>
        <w:t>保障和就业支出（类）</w:t>
      </w:r>
      <w:r>
        <w:rPr>
          <w:rFonts w:hint="eastAsia" w:ascii="仿宋" w:hAnsi="仿宋" w:eastAsia="仿宋" w:cs="仿宋"/>
          <w:spacing w:val="-2"/>
          <w:sz w:val="32"/>
          <w:szCs w:val="32"/>
          <w:lang w:val="en-US" w:eastAsia="zh-CN"/>
        </w:rPr>
        <w:t>2.95</w:t>
      </w:r>
      <w:r>
        <w:rPr>
          <w:rFonts w:ascii="仿宋" w:hAnsi="仿宋" w:eastAsia="仿宋" w:cs="仿宋"/>
          <w:spacing w:val="-2"/>
          <w:sz w:val="32"/>
          <w:szCs w:val="32"/>
        </w:rPr>
        <w:t>万元，占比</w:t>
      </w:r>
      <w:r>
        <w:rPr>
          <w:rFonts w:hint="eastAsia" w:ascii="仿宋" w:hAnsi="仿宋" w:eastAsia="仿宋" w:cs="仿宋"/>
          <w:spacing w:val="-2"/>
          <w:sz w:val="32"/>
          <w:szCs w:val="32"/>
          <w:lang w:val="en-US" w:eastAsia="zh-CN"/>
        </w:rPr>
        <w:t>4.54</w:t>
      </w:r>
      <w:r>
        <w:rPr>
          <w:rFonts w:ascii="仿宋" w:hAnsi="仿宋" w:eastAsia="仿宋" w:cs="仿宋"/>
          <w:spacing w:val="-2"/>
          <w:sz w:val="32"/>
          <w:szCs w:val="32"/>
        </w:rPr>
        <w:t>%；</w:t>
      </w:r>
      <w:r>
        <w:rPr>
          <w:rFonts w:hint="eastAsia" w:ascii="仿宋" w:hAnsi="仿宋" w:eastAsia="仿宋" w:cs="仿宋"/>
          <w:spacing w:val="-4"/>
          <w:sz w:val="32"/>
          <w:szCs w:val="32"/>
          <w:lang w:eastAsia="zh-CN"/>
        </w:rPr>
        <w:t>卫生健康</w:t>
      </w:r>
      <w:r>
        <w:rPr>
          <w:rFonts w:ascii="仿宋" w:hAnsi="仿宋" w:eastAsia="仿宋" w:cs="仿宋"/>
          <w:spacing w:val="-4"/>
          <w:sz w:val="32"/>
          <w:szCs w:val="32"/>
        </w:rPr>
        <w:t>支出（类）</w:t>
      </w:r>
      <w:r>
        <w:rPr>
          <w:rFonts w:hint="eastAsia" w:ascii="仿宋" w:hAnsi="仿宋" w:eastAsia="仿宋" w:cs="仿宋"/>
          <w:spacing w:val="-4"/>
          <w:sz w:val="32"/>
          <w:szCs w:val="32"/>
          <w:lang w:val="en-US" w:eastAsia="zh-CN"/>
        </w:rPr>
        <w:t>1.61</w:t>
      </w:r>
      <w:r>
        <w:rPr>
          <w:rFonts w:ascii="仿宋" w:hAnsi="仿宋" w:eastAsia="仿宋" w:cs="仿宋"/>
          <w:spacing w:val="-4"/>
          <w:sz w:val="32"/>
          <w:szCs w:val="32"/>
        </w:rPr>
        <w:t>万元，</w:t>
      </w:r>
      <w:r>
        <w:rPr>
          <w:rFonts w:ascii="仿宋" w:hAnsi="仿宋" w:eastAsia="仿宋" w:cs="仿宋"/>
          <w:spacing w:val="-67"/>
          <w:sz w:val="32"/>
          <w:szCs w:val="32"/>
        </w:rPr>
        <w:t xml:space="preserve"> </w:t>
      </w:r>
      <w:r>
        <w:rPr>
          <w:rFonts w:ascii="仿宋" w:hAnsi="仿宋" w:eastAsia="仿宋" w:cs="仿宋"/>
          <w:spacing w:val="-4"/>
          <w:sz w:val="32"/>
          <w:szCs w:val="32"/>
        </w:rPr>
        <w:t>占比</w:t>
      </w:r>
      <w:r>
        <w:rPr>
          <w:rFonts w:hint="eastAsia" w:ascii="仿宋" w:hAnsi="仿宋" w:eastAsia="仿宋" w:cs="仿宋"/>
          <w:spacing w:val="-4"/>
          <w:sz w:val="32"/>
          <w:szCs w:val="32"/>
          <w:lang w:val="en-US" w:eastAsia="zh-CN"/>
        </w:rPr>
        <w:t>2.48%</w:t>
      </w:r>
      <w:r>
        <w:rPr>
          <w:rFonts w:ascii="仿宋" w:hAnsi="仿宋" w:eastAsia="仿宋" w:cs="仿宋"/>
          <w:spacing w:val="-2"/>
          <w:sz w:val="32"/>
          <w:szCs w:val="32"/>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（三）一般公共预算财政拨款支出决算具体情况</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pacing w:val="-3"/>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年度财政拨款支出年初预算数为</w:t>
      </w:r>
      <w:r>
        <w:rPr>
          <w:rFonts w:hint="eastAsia" w:ascii="仿宋" w:hAnsi="仿宋" w:eastAsia="仿宋" w:cs="仿宋"/>
          <w:sz w:val="32"/>
          <w:szCs w:val="32"/>
          <w:lang w:val="en-US" w:eastAsia="zh-CN"/>
        </w:rPr>
        <w:t>61.12</w:t>
      </w:r>
      <w:r>
        <w:rPr>
          <w:rFonts w:hint="eastAsia" w:ascii="仿宋" w:hAnsi="仿宋" w:eastAsia="仿宋" w:cs="仿宋"/>
          <w:sz w:val="32"/>
          <w:szCs w:val="32"/>
        </w:rPr>
        <w:t>万元，支出决算数为</w:t>
      </w:r>
      <w:r>
        <w:rPr>
          <w:rFonts w:hint="eastAsia" w:ascii="仿宋" w:hAnsi="仿宋" w:eastAsia="仿宋" w:cs="仿宋"/>
          <w:sz w:val="32"/>
          <w:szCs w:val="32"/>
          <w:lang w:val="en-US" w:eastAsia="zh-CN"/>
        </w:rPr>
        <w:t>64.98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106.32</w:t>
      </w:r>
      <w:r>
        <w:rPr>
          <w:rFonts w:hint="eastAsia" w:ascii="仿宋" w:hAnsi="仿宋" w:eastAsia="仿宋" w:cs="仿宋"/>
          <w:sz w:val="32"/>
          <w:szCs w:val="32"/>
        </w:rPr>
        <w:t>%，其中：</w:t>
      </w:r>
    </w:p>
    <w:p>
      <w:pPr>
        <w:numPr>
          <w:ilvl w:val="0"/>
          <w:numId w:val="1"/>
        </w:numPr>
        <w:spacing w:before="52" w:line="353" w:lineRule="auto"/>
        <w:ind w:left="17" w:leftChars="0" w:right="159" w:rightChars="0" w:firstLine="664" w:firstLineChars="0"/>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一般公共服务支出（类）政府办公厅（室）及相关机构事务（款）事业运行（项）。</w:t>
      </w:r>
    </w:p>
    <w:p>
      <w:pPr>
        <w:numPr>
          <w:ilvl w:val="0"/>
          <w:numId w:val="0"/>
        </w:numPr>
        <w:spacing w:before="52" w:line="353" w:lineRule="auto"/>
        <w:ind w:right="159" w:rightChars="0" w:firstLine="644" w:firstLineChars="200"/>
        <w:rPr>
          <w:rFonts w:hint="eastAsia" w:ascii="仿宋" w:hAnsi="仿宋" w:eastAsia="仿宋" w:cs="仿宋"/>
          <w:spacing w:val="-3"/>
          <w:sz w:val="32"/>
          <w:szCs w:val="32"/>
          <w:lang w:eastAsia="zh-CN"/>
        </w:rPr>
      </w:pPr>
      <w:r>
        <w:rPr>
          <w:rFonts w:hint="eastAsia" w:ascii="仿宋" w:hAnsi="仿宋" w:eastAsia="仿宋" w:cs="仿宋"/>
          <w:spacing w:val="1"/>
          <w:sz w:val="32"/>
          <w:szCs w:val="32"/>
        </w:rPr>
        <w:t>年初预算为</w:t>
      </w:r>
      <w:r>
        <w:rPr>
          <w:rFonts w:hint="eastAsia" w:ascii="仿宋" w:hAnsi="仿宋" w:eastAsia="仿宋" w:cs="仿宋"/>
          <w:spacing w:val="1"/>
          <w:sz w:val="32"/>
          <w:szCs w:val="32"/>
          <w:lang w:val="en-US" w:eastAsia="zh-CN"/>
        </w:rPr>
        <w:t>55.50</w:t>
      </w:r>
      <w:r>
        <w:rPr>
          <w:rFonts w:hint="eastAsia" w:ascii="仿宋" w:hAnsi="仿宋" w:eastAsia="仿宋" w:cs="仿宋"/>
          <w:spacing w:val="1"/>
          <w:sz w:val="32"/>
          <w:szCs w:val="32"/>
        </w:rPr>
        <w:t>万元，支出决算为</w:t>
      </w:r>
      <w:r>
        <w:rPr>
          <w:rFonts w:hint="eastAsia" w:ascii="仿宋" w:hAnsi="仿宋" w:eastAsia="仿宋" w:cs="仿宋"/>
          <w:spacing w:val="1"/>
          <w:sz w:val="32"/>
          <w:szCs w:val="32"/>
          <w:lang w:val="en-US" w:eastAsia="zh-CN"/>
        </w:rPr>
        <w:t>60.02</w:t>
      </w:r>
      <w:r>
        <w:rPr>
          <w:rFonts w:hint="eastAsia" w:ascii="仿宋" w:hAnsi="仿宋" w:eastAsia="仿宋" w:cs="仿宋"/>
          <w:spacing w:val="1"/>
          <w:sz w:val="32"/>
          <w:szCs w:val="32"/>
        </w:rPr>
        <w:t>万元，完成年初预算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108.14</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3"/>
          <w:sz w:val="32"/>
          <w:szCs w:val="32"/>
          <w:lang w:eastAsia="zh-CN"/>
        </w:rPr>
        <w:t>。</w:t>
      </w:r>
    </w:p>
    <w:p>
      <w:pPr>
        <w:numPr>
          <w:ilvl w:val="0"/>
          <w:numId w:val="0"/>
        </w:numPr>
        <w:spacing w:before="52" w:line="353" w:lineRule="auto"/>
        <w:ind w:right="159" w:rightChars="0" w:firstLine="652" w:firstLineChars="200"/>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2、教育支出（类）其他教育支出（款）其他教育支出（项）。</w:t>
      </w:r>
    </w:p>
    <w:p>
      <w:pPr>
        <w:numPr>
          <w:ilvl w:val="0"/>
          <w:numId w:val="0"/>
        </w:numPr>
        <w:spacing w:before="52" w:line="353" w:lineRule="auto"/>
        <w:ind w:right="159" w:rightChars="0" w:firstLine="644" w:firstLineChars="200"/>
        <w:rPr>
          <w:rFonts w:hint="eastAsia" w:ascii="仿宋" w:hAnsi="仿宋" w:eastAsia="仿宋" w:cs="仿宋"/>
          <w:spacing w:val="-3"/>
          <w:sz w:val="32"/>
          <w:szCs w:val="32"/>
          <w:lang w:val="en-US" w:eastAsia="zh-CN"/>
        </w:rPr>
      </w:pPr>
      <w:r>
        <w:rPr>
          <w:rFonts w:hint="eastAsia" w:ascii="仿宋" w:hAnsi="仿宋" w:eastAsia="仿宋" w:cs="仿宋"/>
          <w:spacing w:val="1"/>
          <w:sz w:val="32"/>
          <w:szCs w:val="32"/>
        </w:rPr>
        <w:t>年初预算为</w:t>
      </w:r>
      <w:r>
        <w:rPr>
          <w:rFonts w:hint="eastAsia" w:ascii="仿宋" w:hAnsi="仿宋" w:eastAsia="仿宋" w:cs="仿宋"/>
          <w:spacing w:val="1"/>
          <w:sz w:val="32"/>
          <w:szCs w:val="32"/>
          <w:lang w:val="en-US" w:eastAsia="zh-CN"/>
        </w:rPr>
        <w:t>0</w:t>
      </w:r>
      <w:r>
        <w:rPr>
          <w:rFonts w:hint="eastAsia" w:ascii="仿宋" w:hAnsi="仿宋" w:eastAsia="仿宋" w:cs="仿宋"/>
          <w:spacing w:val="1"/>
          <w:sz w:val="32"/>
          <w:szCs w:val="32"/>
        </w:rPr>
        <w:t>万元，支出决算为</w:t>
      </w:r>
      <w:r>
        <w:rPr>
          <w:rFonts w:hint="eastAsia" w:ascii="仿宋" w:hAnsi="仿宋" w:eastAsia="仿宋" w:cs="仿宋"/>
          <w:spacing w:val="1"/>
          <w:sz w:val="32"/>
          <w:szCs w:val="32"/>
          <w:lang w:val="en-US" w:eastAsia="zh-CN"/>
        </w:rPr>
        <w:t>0.40</w:t>
      </w:r>
      <w:r>
        <w:rPr>
          <w:rFonts w:hint="eastAsia" w:ascii="仿宋" w:hAnsi="仿宋" w:eastAsia="仿宋" w:cs="仿宋"/>
          <w:spacing w:val="1"/>
          <w:sz w:val="32"/>
          <w:szCs w:val="32"/>
        </w:rPr>
        <w:t>万元</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3"/>
          <w:sz w:val="32"/>
          <w:szCs w:val="32"/>
          <w:lang w:eastAsia="zh-CN"/>
        </w:rPr>
        <w:t>。</w:t>
      </w:r>
    </w:p>
    <w:p>
      <w:pPr>
        <w:spacing w:before="52" w:line="353" w:lineRule="auto"/>
        <w:ind w:left="17" w:right="159" w:firstLine="664"/>
        <w:rPr>
          <w:rFonts w:hint="eastAsia" w:ascii="仿宋" w:hAnsi="仿宋" w:eastAsia="仿宋" w:cs="仿宋"/>
          <w:sz w:val="32"/>
          <w:szCs w:val="32"/>
        </w:rPr>
      </w:pPr>
      <w:r>
        <w:rPr>
          <w:rFonts w:hint="eastAsia" w:ascii="仿宋" w:hAnsi="仿宋" w:eastAsia="仿宋" w:cs="仿宋"/>
          <w:spacing w:val="3"/>
          <w:sz w:val="32"/>
          <w:szCs w:val="32"/>
          <w:lang w:val="en-US" w:eastAsia="zh-CN"/>
        </w:rPr>
        <w:t>3</w:t>
      </w:r>
      <w:r>
        <w:rPr>
          <w:rFonts w:hint="eastAsia" w:ascii="仿宋" w:hAnsi="仿宋" w:eastAsia="仿宋" w:cs="仿宋"/>
          <w:spacing w:val="3"/>
          <w:sz w:val="32"/>
          <w:szCs w:val="32"/>
        </w:rPr>
        <w:t>、社会保障和就业支出（类）行政事业单位养老支出（款）机</w:t>
      </w:r>
      <w:r>
        <w:rPr>
          <w:rFonts w:hint="eastAsia" w:ascii="仿宋" w:hAnsi="仿宋" w:eastAsia="仿宋" w:cs="仿宋"/>
          <w:spacing w:val="-4"/>
          <w:sz w:val="32"/>
          <w:szCs w:val="32"/>
        </w:rPr>
        <w:t>关事业单位基本养老保险缴费支出（项）。</w:t>
      </w:r>
    </w:p>
    <w:p>
      <w:pPr>
        <w:spacing w:before="56" w:line="355" w:lineRule="auto"/>
        <w:ind w:left="27" w:right="138" w:firstLine="646"/>
        <w:rPr>
          <w:rFonts w:hint="eastAsia" w:ascii="仿宋" w:hAnsi="仿宋" w:eastAsia="仿宋" w:cs="仿宋"/>
          <w:spacing w:val="-13"/>
          <w:sz w:val="32"/>
          <w:szCs w:val="32"/>
        </w:rPr>
      </w:pPr>
      <w:r>
        <w:rPr>
          <w:rFonts w:hint="eastAsia" w:ascii="仿宋" w:hAnsi="仿宋" w:eastAsia="仿宋" w:cs="仿宋"/>
          <w:spacing w:val="1"/>
          <w:sz w:val="32"/>
          <w:szCs w:val="32"/>
        </w:rPr>
        <w:t>年初预算为</w:t>
      </w:r>
      <w:r>
        <w:rPr>
          <w:rFonts w:hint="eastAsia" w:ascii="仿宋" w:hAnsi="仿宋" w:eastAsia="仿宋" w:cs="仿宋"/>
          <w:spacing w:val="1"/>
          <w:sz w:val="32"/>
          <w:szCs w:val="32"/>
          <w:lang w:val="en-US" w:eastAsia="zh-CN"/>
        </w:rPr>
        <w:t>2.45</w:t>
      </w:r>
      <w:r>
        <w:rPr>
          <w:rFonts w:hint="eastAsia" w:ascii="仿宋" w:hAnsi="仿宋" w:eastAsia="仿宋" w:cs="仿宋"/>
          <w:spacing w:val="1"/>
          <w:sz w:val="32"/>
          <w:szCs w:val="32"/>
        </w:rPr>
        <w:t>万元，支出决算为</w:t>
      </w:r>
      <w:r>
        <w:rPr>
          <w:rFonts w:hint="eastAsia" w:ascii="仿宋" w:hAnsi="仿宋" w:eastAsia="仿宋" w:cs="仿宋"/>
          <w:spacing w:val="-63"/>
          <w:sz w:val="32"/>
          <w:szCs w:val="32"/>
        </w:rPr>
        <w:t xml:space="preserve"> </w:t>
      </w:r>
      <w:r>
        <w:rPr>
          <w:rFonts w:hint="eastAsia" w:ascii="仿宋" w:hAnsi="仿宋" w:eastAsia="仿宋" w:cs="仿宋"/>
          <w:spacing w:val="1"/>
          <w:sz w:val="32"/>
          <w:szCs w:val="32"/>
          <w:lang w:val="en-US" w:eastAsia="zh-CN"/>
        </w:rPr>
        <w:t>2.95</w:t>
      </w:r>
      <w:r>
        <w:rPr>
          <w:rFonts w:hint="eastAsia" w:ascii="仿宋" w:hAnsi="仿宋" w:eastAsia="仿宋" w:cs="仿宋"/>
          <w:spacing w:val="1"/>
          <w:sz w:val="32"/>
          <w:szCs w:val="32"/>
        </w:rPr>
        <w:t>万元，完成年初预算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120.41</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13"/>
          <w:sz w:val="32"/>
          <w:szCs w:val="32"/>
        </w:rPr>
        <w:t>。</w:t>
      </w:r>
    </w:p>
    <w:p>
      <w:pPr>
        <w:numPr>
          <w:ilvl w:val="0"/>
          <w:numId w:val="2"/>
        </w:numPr>
        <w:spacing w:before="56" w:line="355" w:lineRule="auto"/>
        <w:ind w:right="138" w:firstLine="768" w:firstLineChars="300"/>
        <w:rPr>
          <w:rFonts w:hint="eastAsia" w:ascii="仿宋" w:hAnsi="仿宋" w:eastAsia="仿宋" w:cs="仿宋"/>
          <w:spacing w:val="-32"/>
          <w:sz w:val="32"/>
          <w:szCs w:val="32"/>
        </w:rPr>
      </w:pPr>
      <w:r>
        <w:rPr>
          <w:rFonts w:hint="eastAsia" w:ascii="仿宋" w:hAnsi="仿宋" w:eastAsia="仿宋" w:cs="仿宋"/>
          <w:spacing w:val="-32"/>
          <w:sz w:val="32"/>
          <w:szCs w:val="32"/>
        </w:rPr>
        <w:t>卫生健康支出（类）行政事业单位医疗（款）</w:t>
      </w:r>
      <w:r>
        <w:rPr>
          <w:rFonts w:hint="eastAsia" w:ascii="仿宋" w:hAnsi="仿宋" w:eastAsia="仿宋" w:cs="仿宋"/>
          <w:i w:val="0"/>
          <w:caps w:val="0"/>
          <w:color w:val="424242"/>
          <w:spacing w:val="0"/>
          <w:sz w:val="32"/>
          <w:szCs w:val="32"/>
          <w:shd w:val="clear" w:fill="FFFFFF"/>
          <w:lang w:eastAsia="zh-CN"/>
        </w:rPr>
        <w:t>行政</w:t>
      </w:r>
      <w:r>
        <w:rPr>
          <w:rFonts w:hint="eastAsia" w:ascii="仿宋" w:hAnsi="仿宋" w:eastAsia="仿宋" w:cs="仿宋"/>
          <w:i w:val="0"/>
          <w:caps w:val="0"/>
          <w:color w:val="424242"/>
          <w:spacing w:val="0"/>
          <w:sz w:val="32"/>
          <w:szCs w:val="32"/>
          <w:shd w:val="clear" w:fill="FFFFFF"/>
        </w:rPr>
        <w:t>单位医疗</w:t>
      </w:r>
      <w:r>
        <w:rPr>
          <w:rFonts w:hint="eastAsia" w:ascii="仿宋" w:hAnsi="仿宋" w:eastAsia="仿宋" w:cs="仿宋"/>
          <w:spacing w:val="-32"/>
          <w:sz w:val="32"/>
          <w:szCs w:val="32"/>
        </w:rPr>
        <w:t>（项）。</w:t>
      </w:r>
    </w:p>
    <w:p>
      <w:pPr>
        <w:numPr>
          <w:ilvl w:val="0"/>
          <w:numId w:val="0"/>
        </w:numPr>
        <w:spacing w:before="56" w:line="355" w:lineRule="auto"/>
        <w:ind w:right="138" w:rightChars="0" w:firstLine="624" w:firstLineChars="200"/>
        <w:rPr>
          <w:rFonts w:hint="eastAsia" w:ascii="仿宋" w:hAnsi="仿宋" w:eastAsia="仿宋" w:cs="仿宋"/>
          <w:spacing w:val="-32"/>
          <w:sz w:val="32"/>
          <w:szCs w:val="32"/>
          <w:lang w:eastAsia="zh-CN"/>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0</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0.27</w:t>
      </w:r>
      <w:r>
        <w:rPr>
          <w:rFonts w:hint="eastAsia" w:ascii="仿宋" w:hAnsi="仿宋" w:eastAsia="仿宋" w:cs="仿宋"/>
          <w:spacing w:val="-4"/>
          <w:sz w:val="32"/>
          <w:szCs w:val="32"/>
        </w:rPr>
        <w:t>万元</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13"/>
          <w:sz w:val="32"/>
          <w:szCs w:val="32"/>
        </w:rPr>
        <w:t>。</w:t>
      </w:r>
    </w:p>
    <w:p>
      <w:pPr>
        <w:spacing w:before="44" w:line="221" w:lineRule="auto"/>
        <w:ind w:firstLine="768" w:firstLineChars="300"/>
        <w:jc w:val="both"/>
        <w:rPr>
          <w:rFonts w:hint="eastAsia" w:ascii="仿宋" w:hAnsi="仿宋" w:eastAsia="仿宋" w:cs="仿宋"/>
          <w:sz w:val="32"/>
          <w:szCs w:val="32"/>
        </w:rPr>
      </w:pPr>
      <w:r>
        <w:rPr>
          <w:rFonts w:hint="eastAsia" w:ascii="仿宋" w:hAnsi="仿宋" w:eastAsia="仿宋" w:cs="仿宋"/>
          <w:spacing w:val="-32"/>
          <w:sz w:val="32"/>
          <w:szCs w:val="32"/>
          <w:lang w:val="en-US" w:eastAsia="zh-CN"/>
        </w:rPr>
        <w:t>5、</w:t>
      </w:r>
      <w:r>
        <w:rPr>
          <w:rFonts w:hint="eastAsia" w:ascii="仿宋" w:hAnsi="仿宋" w:eastAsia="仿宋" w:cs="仿宋"/>
          <w:spacing w:val="-32"/>
          <w:sz w:val="32"/>
          <w:szCs w:val="32"/>
        </w:rPr>
        <w:t>卫生健康支出（类）行政事业单位医疗（款）</w:t>
      </w:r>
      <w:r>
        <w:rPr>
          <w:rFonts w:hint="eastAsia" w:ascii="仿宋" w:hAnsi="仿宋" w:eastAsia="仿宋" w:cs="仿宋"/>
          <w:i w:val="0"/>
          <w:caps w:val="0"/>
          <w:color w:val="424242"/>
          <w:spacing w:val="0"/>
          <w:sz w:val="32"/>
          <w:szCs w:val="32"/>
          <w:shd w:val="clear" w:fill="FFFFFF"/>
        </w:rPr>
        <w:t>事业单位医疗</w:t>
      </w:r>
      <w:r>
        <w:rPr>
          <w:rFonts w:hint="eastAsia" w:ascii="仿宋" w:hAnsi="仿宋" w:eastAsia="仿宋" w:cs="仿宋"/>
          <w:spacing w:val="-32"/>
          <w:sz w:val="32"/>
          <w:szCs w:val="32"/>
        </w:rPr>
        <w:t>（项）。</w:t>
      </w:r>
    </w:p>
    <w:p>
      <w:pPr>
        <w:spacing w:before="258" w:line="355" w:lineRule="auto"/>
        <w:ind w:left="27" w:right="138" w:firstLine="646"/>
        <w:rPr>
          <w:rFonts w:hint="eastAsia" w:ascii="仿宋" w:hAnsi="仿宋" w:eastAsia="仿宋" w:cs="仿宋"/>
          <w:spacing w:val="-13"/>
          <w:sz w:val="32"/>
          <w:szCs w:val="32"/>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1.33</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1.33</w:t>
      </w:r>
      <w:r>
        <w:rPr>
          <w:rFonts w:hint="eastAsia" w:ascii="仿宋" w:hAnsi="仿宋" w:eastAsia="仿宋" w:cs="仿宋"/>
          <w:spacing w:val="-4"/>
          <w:sz w:val="32"/>
          <w:szCs w:val="32"/>
        </w:rPr>
        <w:t>万元</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eastAsia="zh-CN"/>
        </w:rPr>
        <w:t>等</w:t>
      </w:r>
      <w:r>
        <w:rPr>
          <w:rFonts w:hint="eastAsia" w:ascii="仿宋" w:hAnsi="仿宋" w:eastAsia="仿宋" w:cs="仿宋"/>
          <w:sz w:val="32"/>
          <w:szCs w:val="32"/>
        </w:rPr>
        <w:t>于年初预算数</w:t>
      </w:r>
      <w:r>
        <w:rPr>
          <w:rFonts w:hint="eastAsia" w:ascii="仿宋" w:hAnsi="仿宋" w:eastAsia="仿宋" w:cs="仿宋"/>
          <w:spacing w:val="-13"/>
          <w:sz w:val="32"/>
          <w:szCs w:val="32"/>
        </w:rPr>
        <w:t>。</w:t>
      </w:r>
    </w:p>
    <w:p>
      <w:pPr>
        <w:pStyle w:val="16"/>
        <w:overflowPunct w:val="0"/>
        <w:autoSpaceDE/>
        <w:autoSpaceDN/>
        <w:spacing w:line="600" w:lineRule="exact"/>
        <w:ind w:firstLine="640" w:firstLineChars="200"/>
        <w:jc w:val="both"/>
        <w:rPr>
          <w:rFonts w:hint="eastAsia" w:ascii="仿宋" w:hAnsi="仿宋" w:eastAsia="仿宋_GB2312" w:cs="仿宋"/>
          <w:spacing w:val="-13"/>
          <w:sz w:val="32"/>
          <w:szCs w:val="32"/>
          <w:lang w:val="en-US" w:eastAsia="zh-CN"/>
        </w:rPr>
      </w:pPr>
      <w:r>
        <w:rPr>
          <w:rFonts w:hint="eastAsia" w:ascii="Times New Roman" w:hAnsi="Times New Roman" w:eastAsia="仿宋_GB2312" w:cs="Times New Roman"/>
          <w:sz w:val="32"/>
          <w:szCs w:val="32"/>
        </w:rPr>
        <w:t>按照支出功能分类，</w:t>
      </w:r>
      <w:r>
        <w:rPr>
          <w:rFonts w:hint="eastAsia" w:ascii="仿宋" w:hAnsi="仿宋" w:eastAsia="仿宋" w:cs="仿宋"/>
          <w:spacing w:val="3"/>
          <w:sz w:val="32"/>
          <w:szCs w:val="32"/>
          <w:lang w:val="en-US" w:eastAsia="zh-CN"/>
        </w:rPr>
        <w:t>一般公共服务支出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仿宋" w:hAnsi="仿宋" w:eastAsia="仿宋" w:cs="仿宋"/>
          <w:spacing w:val="3"/>
          <w:sz w:val="32"/>
          <w:szCs w:val="32"/>
          <w:lang w:val="en-US" w:eastAsia="zh-CN"/>
        </w:rPr>
        <w:t>事业运行科目</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60.02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92.37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工资福利支出、商品和服务支出</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六、一般公共预算财政拨款基本支出决算情况说明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年度财政拨款基本支出</w:t>
      </w:r>
      <w:r>
        <w:rPr>
          <w:rFonts w:hint="eastAsia" w:ascii="仿宋" w:hAnsi="仿宋" w:eastAsia="仿宋" w:cs="仿宋"/>
          <w:sz w:val="32"/>
          <w:szCs w:val="32"/>
          <w:lang w:val="en-US" w:eastAsia="zh-CN"/>
        </w:rPr>
        <w:t>64.98</w:t>
      </w:r>
      <w:r>
        <w:rPr>
          <w:rFonts w:hint="eastAsia" w:ascii="仿宋" w:hAnsi="仿宋" w:eastAsia="仿宋" w:cs="仿宋"/>
          <w:sz w:val="32"/>
          <w:szCs w:val="32"/>
        </w:rPr>
        <w:t>万元，其中：</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人员经费</w:t>
      </w:r>
      <w:r>
        <w:rPr>
          <w:rFonts w:hint="eastAsia" w:ascii="仿宋" w:hAnsi="仿宋" w:eastAsia="仿宋" w:cs="仿宋"/>
          <w:sz w:val="32"/>
          <w:szCs w:val="32"/>
          <w:lang w:val="en-US" w:eastAsia="zh-CN"/>
        </w:rPr>
        <w:t>49.58</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76.30</w:t>
      </w:r>
      <w:r>
        <w:rPr>
          <w:rFonts w:hint="eastAsia" w:ascii="仿宋" w:hAnsi="仿宋" w:eastAsia="仿宋" w:cs="仿宋"/>
          <w:sz w:val="32"/>
          <w:szCs w:val="32"/>
        </w:rPr>
        <w:t>%,主要包括基本工资、津贴补贴、奖金、</w:t>
      </w:r>
      <w:r>
        <w:rPr>
          <w:rFonts w:hint="eastAsia" w:ascii="仿宋" w:hAnsi="仿宋" w:eastAsia="仿宋" w:cs="仿宋"/>
          <w:sz w:val="32"/>
          <w:szCs w:val="32"/>
          <w:lang w:eastAsia="zh-CN"/>
        </w:rPr>
        <w:t>绩效工资、</w:t>
      </w:r>
      <w:r>
        <w:rPr>
          <w:rFonts w:ascii="仿宋" w:hAnsi="仿宋" w:eastAsia="仿宋" w:cs="仿宋"/>
          <w:spacing w:val="-1"/>
          <w:sz w:val="32"/>
          <w:szCs w:val="32"/>
        </w:rPr>
        <w:t>机关事业单位基本养老保险缴费、职工基本医疗保险缴费</w:t>
      </w:r>
      <w:r>
        <w:rPr>
          <w:rFonts w:hint="eastAsia" w:ascii="仿宋" w:hAnsi="仿宋" w:eastAsia="仿宋" w:cs="仿宋"/>
          <w:spacing w:val="-1"/>
          <w:sz w:val="32"/>
          <w:szCs w:val="32"/>
          <w:lang w:eastAsia="zh-CN"/>
        </w:rPr>
        <w:t>、</w:t>
      </w:r>
      <w:r>
        <w:rPr>
          <w:rFonts w:ascii="仿宋" w:hAnsi="仿宋" w:eastAsia="仿宋" w:cs="仿宋"/>
          <w:spacing w:val="-1"/>
          <w:sz w:val="32"/>
          <w:szCs w:val="32"/>
        </w:rPr>
        <w:t>其他</w:t>
      </w:r>
      <w:r>
        <w:rPr>
          <w:rFonts w:hint="eastAsia" w:ascii="仿宋" w:hAnsi="仿宋" w:eastAsia="仿宋" w:cs="仿宋"/>
          <w:spacing w:val="-1"/>
          <w:sz w:val="32"/>
          <w:szCs w:val="32"/>
          <w:lang w:eastAsia="zh-CN"/>
        </w:rPr>
        <w:t>工资福利支出、退休费</w:t>
      </w:r>
      <w:r>
        <w:rPr>
          <w:rFonts w:hint="eastAsia" w:ascii="仿宋" w:hAnsi="仿宋" w:eastAsia="仿宋" w:cs="仿宋"/>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bCs/>
          <w:sz w:val="32"/>
          <w:szCs w:val="32"/>
        </w:rPr>
        <w:t>公用经费</w:t>
      </w:r>
      <w:r>
        <w:rPr>
          <w:rFonts w:hint="eastAsia" w:ascii="仿宋" w:hAnsi="仿宋" w:eastAsia="仿宋" w:cs="仿宋"/>
          <w:sz w:val="32"/>
          <w:szCs w:val="32"/>
          <w:lang w:val="en-US" w:eastAsia="zh-CN"/>
        </w:rPr>
        <w:t>15.40</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23.70</w:t>
      </w:r>
      <w:r>
        <w:rPr>
          <w:rFonts w:hint="eastAsia" w:ascii="仿宋" w:hAnsi="仿宋" w:eastAsia="仿宋" w:cs="仿宋"/>
          <w:sz w:val="32"/>
          <w:szCs w:val="32"/>
        </w:rPr>
        <w:t>%，主要包括</w:t>
      </w:r>
      <w:r>
        <w:rPr>
          <w:rFonts w:ascii="仿宋" w:hAnsi="仿宋" w:eastAsia="仿宋" w:cs="仿宋"/>
          <w:spacing w:val="-3"/>
          <w:sz w:val="32"/>
          <w:szCs w:val="32"/>
        </w:rPr>
        <w:t>办公费、印刷费</w:t>
      </w:r>
      <w:r>
        <w:rPr>
          <w:rFonts w:ascii="仿宋" w:hAnsi="仿宋" w:eastAsia="仿宋" w:cs="仿宋"/>
          <w:spacing w:val="-8"/>
          <w:sz w:val="32"/>
          <w:szCs w:val="32"/>
        </w:rPr>
        <w:t>、水费、电费、邮电费、差旅费、</w:t>
      </w:r>
      <w:r>
        <w:rPr>
          <w:rFonts w:hint="eastAsia" w:ascii="仿宋" w:hAnsi="仿宋" w:eastAsia="仿宋" w:cs="仿宋"/>
          <w:spacing w:val="-8"/>
          <w:sz w:val="32"/>
          <w:szCs w:val="32"/>
          <w:lang w:eastAsia="zh-CN"/>
        </w:rPr>
        <w:t>维修（护）</w:t>
      </w:r>
      <w:r>
        <w:rPr>
          <w:rFonts w:ascii="仿宋" w:hAnsi="仿宋" w:eastAsia="仿宋" w:cs="仿宋"/>
          <w:spacing w:val="-1"/>
          <w:sz w:val="32"/>
          <w:szCs w:val="32"/>
        </w:rPr>
        <w:t>费、</w:t>
      </w:r>
      <w:r>
        <w:rPr>
          <w:rFonts w:hint="eastAsia" w:ascii="仿宋" w:hAnsi="仿宋" w:eastAsia="仿宋" w:cs="仿宋"/>
          <w:spacing w:val="-1"/>
          <w:sz w:val="32"/>
          <w:szCs w:val="32"/>
          <w:lang w:eastAsia="zh-CN"/>
        </w:rPr>
        <w:t>专用材料费</w:t>
      </w:r>
      <w:r>
        <w:rPr>
          <w:rFonts w:ascii="仿宋" w:hAnsi="仿宋" w:eastAsia="仿宋" w:cs="仿宋"/>
          <w:spacing w:val="-1"/>
          <w:sz w:val="32"/>
          <w:szCs w:val="32"/>
        </w:rPr>
        <w:t>、</w:t>
      </w:r>
      <w:r>
        <w:rPr>
          <w:rFonts w:hint="eastAsia" w:ascii="仿宋" w:hAnsi="仿宋" w:eastAsia="仿宋" w:cs="仿宋"/>
          <w:spacing w:val="-1"/>
          <w:sz w:val="32"/>
          <w:szCs w:val="32"/>
          <w:lang w:eastAsia="zh-CN"/>
        </w:rPr>
        <w:t>劳务</w:t>
      </w:r>
      <w:r>
        <w:rPr>
          <w:rFonts w:ascii="仿宋" w:hAnsi="仿宋" w:eastAsia="仿宋" w:cs="仿宋"/>
          <w:spacing w:val="-1"/>
          <w:sz w:val="32"/>
          <w:szCs w:val="32"/>
        </w:rPr>
        <w:t>费、工会经费、福</w:t>
      </w:r>
      <w:r>
        <w:rPr>
          <w:rFonts w:ascii="仿宋" w:hAnsi="仿宋" w:eastAsia="仿宋" w:cs="仿宋"/>
          <w:spacing w:val="-3"/>
          <w:sz w:val="32"/>
          <w:szCs w:val="32"/>
        </w:rPr>
        <w:t>利费、</w:t>
      </w:r>
      <w:r>
        <w:rPr>
          <w:rFonts w:hint="eastAsia" w:ascii="仿宋" w:hAnsi="仿宋" w:eastAsia="仿宋" w:cs="仿宋"/>
          <w:spacing w:val="-3"/>
          <w:sz w:val="32"/>
          <w:szCs w:val="32"/>
          <w:lang w:eastAsia="zh-CN"/>
        </w:rPr>
        <w:t>其他交通费用、</w:t>
      </w:r>
      <w:r>
        <w:rPr>
          <w:rFonts w:ascii="仿宋" w:hAnsi="仿宋" w:eastAsia="仿宋" w:cs="仿宋"/>
          <w:spacing w:val="-3"/>
          <w:sz w:val="32"/>
          <w:szCs w:val="32"/>
        </w:rPr>
        <w:t>其他商品和服务支出</w:t>
      </w:r>
      <w:r>
        <w:rPr>
          <w:rFonts w:hint="eastAsia" w:ascii="仿宋" w:hAnsi="仿宋" w:eastAsia="仿宋" w:cs="仿宋"/>
          <w:sz w:val="32"/>
          <w:szCs w:val="32"/>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sz w:val="32"/>
          <w:szCs w:val="32"/>
        </w:rPr>
      </w:pPr>
      <w:r>
        <w:rPr>
          <w:rFonts w:hint="eastAsia" w:ascii="仿宋" w:hAnsi="仿宋" w:eastAsia="仿宋" w:cs="仿宋"/>
          <w:b/>
          <w:bCs w:val="0"/>
          <w:sz w:val="32"/>
          <w:szCs w:val="32"/>
        </w:rPr>
        <w:t>七、财政拨款三公经费支出决算情况说明</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“三公”经费财政拨款支出预算为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与上年相比减少</w:t>
      </w:r>
      <w:r>
        <w:rPr>
          <w:rFonts w:hint="eastAsia" w:ascii="仿宋" w:hAnsi="仿宋" w:eastAsia="仿宋" w:cs="仿宋"/>
          <w:sz w:val="32"/>
          <w:szCs w:val="32"/>
          <w:lang w:val="en-US" w:eastAsia="zh-CN"/>
        </w:rPr>
        <w:t>0.19</w:t>
      </w:r>
      <w:r>
        <w:rPr>
          <w:rFonts w:hint="eastAsia" w:ascii="仿宋" w:hAnsi="仿宋" w:eastAsia="仿宋" w:cs="仿宋"/>
          <w:sz w:val="32"/>
          <w:szCs w:val="32"/>
        </w:rPr>
        <w:t>万元,减少的主要原因是</w:t>
      </w:r>
      <w:r>
        <w:rPr>
          <w:rFonts w:hint="eastAsia" w:ascii="仿宋" w:hAnsi="仿宋" w:eastAsia="仿宋" w:cs="仿宋"/>
          <w:sz w:val="32"/>
          <w:szCs w:val="32"/>
          <w:lang w:eastAsia="zh-CN"/>
        </w:rPr>
        <w:t>无公务接待支出</w:t>
      </w:r>
      <w:r>
        <w:rPr>
          <w:rFonts w:hint="eastAsia" w:ascii="仿宋" w:hAnsi="仿宋" w:eastAsia="仿宋" w:cs="仿宋"/>
          <w:sz w:val="32"/>
          <w:szCs w:val="32"/>
        </w:rPr>
        <w:t>。其中：</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因公出国（境）费支出预算为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w:t>
      </w:r>
      <w:r>
        <w:rPr>
          <w:rFonts w:hint="eastAsia" w:ascii="仿宋" w:hAnsi="仿宋" w:eastAsia="仿宋" w:cs="仿宋"/>
          <w:sz w:val="32"/>
          <w:szCs w:val="32"/>
          <w:lang w:eastAsia="zh-CN"/>
        </w:rPr>
        <w:t>持平</w:t>
      </w:r>
      <w:r>
        <w:rPr>
          <w:rFonts w:hint="eastAsia" w:ascii="仿宋" w:hAnsi="仿宋" w:eastAsia="仿宋" w:cs="仿宋"/>
          <w:sz w:val="32"/>
          <w:szCs w:val="32"/>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公务接待费支出预算为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%，与上年相比减少</w:t>
      </w:r>
      <w:r>
        <w:rPr>
          <w:rFonts w:hint="eastAsia" w:ascii="仿宋" w:hAnsi="仿宋" w:eastAsia="仿宋" w:cs="仿宋"/>
          <w:sz w:val="32"/>
          <w:szCs w:val="32"/>
          <w:lang w:val="en-US" w:eastAsia="zh-CN"/>
        </w:rPr>
        <w:t>0.19</w:t>
      </w:r>
      <w:r>
        <w:rPr>
          <w:rFonts w:hint="eastAsia" w:ascii="仿宋" w:hAnsi="仿宋" w:eastAsia="仿宋" w:cs="仿宋"/>
          <w:sz w:val="32"/>
          <w:szCs w:val="32"/>
        </w:rPr>
        <w:t>万元,减少</w:t>
      </w:r>
      <w:r>
        <w:rPr>
          <w:rFonts w:hint="eastAsia" w:ascii="仿宋" w:hAnsi="仿宋" w:eastAsia="仿宋" w:cs="仿宋"/>
          <w:sz w:val="32"/>
          <w:szCs w:val="32"/>
          <w:lang w:eastAsia="zh-CN"/>
        </w:rPr>
        <w:t>的主要原因是压缩支出规模与数量</w:t>
      </w:r>
      <w:r>
        <w:rPr>
          <w:rFonts w:hint="eastAsia" w:ascii="仿宋" w:hAnsi="仿宋" w:eastAsia="仿宋" w:cs="仿宋"/>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公务用车购置费支出预算为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w:t>
      </w:r>
      <w:r>
        <w:rPr>
          <w:rFonts w:hint="eastAsia" w:ascii="仿宋" w:hAnsi="仿宋" w:eastAsia="仿宋" w:cs="仿宋"/>
          <w:sz w:val="32"/>
          <w:szCs w:val="32"/>
          <w:lang w:eastAsia="zh-CN"/>
        </w:rPr>
        <w:t>持平</w:t>
      </w:r>
      <w:r>
        <w:rPr>
          <w:rFonts w:hint="eastAsia" w:ascii="仿宋" w:hAnsi="仿宋" w:eastAsia="仿宋" w:cs="仿宋"/>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公务用车运行维护费支出预算为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w:t>
      </w:r>
      <w:r>
        <w:rPr>
          <w:rFonts w:hint="eastAsia" w:ascii="仿宋" w:hAnsi="仿宋" w:eastAsia="仿宋" w:cs="仿宋"/>
          <w:sz w:val="32"/>
          <w:szCs w:val="32"/>
          <w:lang w:eastAsia="zh-CN"/>
        </w:rPr>
        <w:t>持平</w:t>
      </w:r>
      <w:r>
        <w:rPr>
          <w:rFonts w:hint="eastAsia" w:ascii="仿宋" w:hAnsi="仿宋" w:eastAsia="仿宋" w:cs="仿宋"/>
          <w:sz w:val="32"/>
          <w:szCs w:val="32"/>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年度“三公”经费财政拨款支出决算中，公务接待费支出决算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万元,因公出国（境）费支出决算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万元,公务用车购置费及运行维护费支出决算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w:t>
      </w:r>
    </w:p>
    <w:p>
      <w:pPr>
        <w:pStyle w:val="16"/>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b/>
          <w:bCs/>
          <w:i/>
          <w:color w:val="auto"/>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因公出国（境）费支出决算为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2、公务接待费支出决算为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3、公务用车购置费及运行维护费支出决算为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万元，其中：公务用车购置费</w:t>
      </w:r>
      <w:r>
        <w:rPr>
          <w:rFonts w:hint="eastAsia" w:ascii="仿宋" w:hAnsi="仿宋" w:eastAsia="仿宋" w:cs="仿宋"/>
          <w:sz w:val="32"/>
          <w:szCs w:val="32"/>
          <w:lang w:val="en-US" w:eastAsia="zh-CN"/>
        </w:rPr>
        <w:t>0</w:t>
      </w:r>
      <w:r>
        <w:rPr>
          <w:rFonts w:hint="eastAsia" w:ascii="仿宋" w:hAnsi="仿宋" w:eastAsia="仿宋" w:cs="仿宋"/>
          <w:sz w:val="32"/>
          <w:szCs w:val="32"/>
        </w:rPr>
        <w:t>万元，更新公务用车</w:t>
      </w:r>
      <w:r>
        <w:rPr>
          <w:rFonts w:hint="eastAsia" w:ascii="仿宋" w:hAnsi="仿宋" w:eastAsia="仿宋" w:cs="仿宋"/>
          <w:sz w:val="32"/>
          <w:szCs w:val="32"/>
          <w:lang w:val="en-US" w:eastAsia="zh-CN"/>
        </w:rPr>
        <w:t>0</w:t>
      </w:r>
      <w:r>
        <w:rPr>
          <w:rFonts w:hint="eastAsia" w:ascii="仿宋" w:hAnsi="仿宋" w:eastAsia="仿宋" w:cs="仿宋"/>
          <w:sz w:val="32"/>
          <w:szCs w:val="32"/>
        </w:rPr>
        <w:t>辆</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t>公务用车运行维护费</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截止202</w:t>
      </w:r>
      <w:r>
        <w:rPr>
          <w:rFonts w:hint="eastAsia" w:ascii="仿宋" w:hAnsi="仿宋" w:eastAsia="仿宋" w:cs="仿宋"/>
          <w:sz w:val="32"/>
          <w:szCs w:val="32"/>
          <w:lang w:val="en-US" w:eastAsia="zh-CN"/>
        </w:rPr>
        <w:t>5</w:t>
      </w:r>
      <w:r>
        <w:rPr>
          <w:rFonts w:hint="eastAsia" w:ascii="仿宋" w:hAnsi="仿宋" w:eastAsia="仿宋" w:cs="仿宋"/>
          <w:sz w:val="32"/>
          <w:szCs w:val="32"/>
        </w:rPr>
        <w:t>年12月31日，我单位开支财政拨款的公务用车保有量为</w:t>
      </w:r>
      <w:r>
        <w:rPr>
          <w:rFonts w:hint="eastAsia" w:ascii="仿宋" w:hAnsi="仿宋" w:eastAsia="仿宋" w:cs="仿宋"/>
          <w:sz w:val="32"/>
          <w:szCs w:val="32"/>
          <w:lang w:val="en-US" w:eastAsia="zh-CN"/>
        </w:rPr>
        <w:t>0</w:t>
      </w:r>
      <w:r>
        <w:rPr>
          <w:rFonts w:hint="eastAsia" w:ascii="仿宋" w:hAnsi="仿宋" w:eastAsia="仿宋" w:cs="仿宋"/>
          <w:sz w:val="32"/>
          <w:szCs w:val="32"/>
        </w:rPr>
        <w:t>辆。</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八、政府性基金预算收入支出决算情况</w:t>
      </w:r>
    </w:p>
    <w:p>
      <w:pPr>
        <w:spacing w:before="257" w:line="357" w:lineRule="auto"/>
        <w:ind w:right="138" w:firstLine="616" w:firstLineChars="200"/>
        <w:rPr>
          <w:rFonts w:hint="eastAsia" w:ascii="仿宋" w:hAnsi="仿宋" w:eastAsia="仿宋" w:cs="仿宋"/>
          <w:sz w:val="32"/>
          <w:szCs w:val="32"/>
          <w:lang w:eastAsia="zh-CN"/>
        </w:rPr>
      </w:pPr>
      <w:r>
        <w:rPr>
          <w:rFonts w:hint="eastAsia" w:ascii="仿宋" w:hAnsi="仿宋" w:eastAsia="仿宋" w:cs="仿宋"/>
          <w:b w:val="0"/>
          <w:bCs w:val="0"/>
          <w:spacing w:val="-6"/>
          <w:sz w:val="32"/>
          <w:szCs w:val="32"/>
        </w:rPr>
        <w:t>202</w:t>
      </w:r>
      <w:r>
        <w:rPr>
          <w:rFonts w:hint="eastAsia" w:ascii="仿宋" w:hAnsi="仿宋" w:eastAsia="仿宋" w:cs="仿宋"/>
          <w:b w:val="0"/>
          <w:bCs w:val="0"/>
          <w:spacing w:val="-6"/>
          <w:sz w:val="32"/>
          <w:szCs w:val="32"/>
          <w:lang w:val="en-US" w:eastAsia="zh-CN"/>
        </w:rPr>
        <w:t>5</w:t>
      </w:r>
      <w:r>
        <w:rPr>
          <w:rFonts w:hint="eastAsia" w:ascii="仿宋" w:hAnsi="仿宋" w:eastAsia="仿宋" w:cs="仿宋"/>
          <w:b w:val="0"/>
          <w:bCs w:val="0"/>
          <w:spacing w:val="-6"/>
          <w:sz w:val="32"/>
          <w:szCs w:val="32"/>
        </w:rPr>
        <w:t>年度</w:t>
      </w:r>
      <w:r>
        <w:rPr>
          <w:rFonts w:hint="eastAsia" w:ascii="仿宋" w:hAnsi="仿宋" w:eastAsia="仿宋" w:cs="仿宋"/>
          <w:b w:val="0"/>
          <w:bCs w:val="0"/>
          <w:i w:val="0"/>
          <w:color w:val="auto"/>
          <w:kern w:val="0"/>
          <w:sz w:val="32"/>
          <w:szCs w:val="32"/>
          <w:u w:val="none"/>
          <w:lang w:val="en-US" w:eastAsia="zh-CN" w:bidi="ar"/>
        </w:rPr>
        <w:t>我单位没有政府性基金收入，也没有使用政府性基金安排的支出，故</w:t>
      </w:r>
      <w:r>
        <w:rPr>
          <w:rFonts w:hint="eastAsia" w:ascii="仿宋" w:hAnsi="仿宋" w:eastAsia="仿宋" w:cs="仿宋"/>
          <w:sz w:val="32"/>
          <w:szCs w:val="32"/>
        </w:rPr>
        <w:t>政府性基金预算财政拨款收入支出决算表</w:t>
      </w:r>
      <w:r>
        <w:rPr>
          <w:rFonts w:hint="eastAsia" w:ascii="仿宋" w:hAnsi="仿宋" w:eastAsia="仿宋" w:cs="仿宋"/>
          <w:b w:val="0"/>
          <w:bCs w:val="0"/>
          <w:i w:val="0"/>
          <w:color w:val="auto"/>
          <w:kern w:val="0"/>
          <w:sz w:val="32"/>
          <w:szCs w:val="32"/>
          <w:u w:val="none"/>
          <w:lang w:val="en-US" w:eastAsia="zh-CN" w:bidi="ar"/>
        </w:rPr>
        <w:t>无数据</w:t>
      </w:r>
      <w:r>
        <w:rPr>
          <w:rFonts w:hint="eastAsia" w:ascii="仿宋" w:hAnsi="仿宋" w:eastAsia="仿宋" w:cs="仿宋"/>
          <w:b w:val="0"/>
          <w:bCs w:val="0"/>
          <w:spacing w:val="-6"/>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年度机关运行经费支出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万元，比上年决算数</w:t>
      </w:r>
      <w:r>
        <w:rPr>
          <w:rFonts w:hint="eastAsia" w:ascii="仿宋" w:hAnsi="仿宋" w:eastAsia="仿宋" w:cs="仿宋"/>
          <w:sz w:val="32"/>
          <w:szCs w:val="32"/>
          <w:lang w:eastAsia="zh-CN"/>
        </w:rPr>
        <w:t>相等</w:t>
      </w:r>
      <w:r>
        <w:rPr>
          <w:rFonts w:hint="eastAsia" w:ascii="仿宋" w:hAnsi="仿宋" w:eastAsia="仿宋" w:cs="仿宋"/>
          <w:sz w:val="32"/>
          <w:szCs w:val="32"/>
        </w:rPr>
        <w:t>。</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十、一般性支出情况说明</w:t>
      </w:r>
    </w:p>
    <w:p>
      <w:pPr>
        <w:pStyle w:val="16"/>
        <w:keepNext w:val="0"/>
        <w:keepLines w:val="0"/>
        <w:pageBreakBefore w:val="0"/>
        <w:widowControl w:val="0"/>
        <w:kinsoku/>
        <w:wordWrap/>
        <w:overflowPunct/>
        <w:topLinePunct w:val="0"/>
        <w:bidi w:val="0"/>
        <w:snapToGrid/>
        <w:spacing w:line="600" w:lineRule="exact"/>
        <w:ind w:firstLine="636" w:firstLineChars="200"/>
        <w:textAlignment w:val="auto"/>
        <w:rPr>
          <w:rFonts w:ascii="仿宋" w:hAnsi="仿宋" w:eastAsia="仿宋" w:cs="仿宋"/>
          <w:spacing w:val="-7"/>
          <w:sz w:val="32"/>
          <w:szCs w:val="32"/>
        </w:rPr>
      </w:pPr>
      <w:r>
        <w:rPr>
          <w:rFonts w:ascii="仿宋" w:hAnsi="仿宋" w:eastAsia="仿宋" w:cs="仿宋"/>
          <w:spacing w:val="-1"/>
          <w:sz w:val="32"/>
          <w:szCs w:val="32"/>
        </w:rPr>
        <w:t>202</w:t>
      </w:r>
      <w:r>
        <w:rPr>
          <w:rFonts w:hint="eastAsia" w:ascii="仿宋" w:hAnsi="仿宋" w:eastAsia="仿宋" w:cs="仿宋"/>
          <w:spacing w:val="-1"/>
          <w:sz w:val="32"/>
          <w:szCs w:val="32"/>
          <w:lang w:val="en-US" w:eastAsia="zh-CN"/>
        </w:rPr>
        <w:t>5</w:t>
      </w:r>
      <w:r>
        <w:rPr>
          <w:rFonts w:ascii="仿宋" w:hAnsi="仿宋" w:eastAsia="仿宋" w:cs="仿宋"/>
          <w:spacing w:val="-1"/>
          <w:sz w:val="32"/>
          <w:szCs w:val="32"/>
        </w:rPr>
        <w:t>年本部门开支会议费</w:t>
      </w:r>
      <w:r>
        <w:rPr>
          <w:rFonts w:hint="eastAsia" w:ascii="仿宋" w:hAnsi="仿宋" w:eastAsia="仿宋" w:cs="仿宋"/>
          <w:spacing w:val="-1"/>
          <w:sz w:val="32"/>
          <w:szCs w:val="32"/>
          <w:lang w:val="en-US" w:eastAsia="zh-CN"/>
        </w:rPr>
        <w:t>0</w:t>
      </w:r>
      <w:r>
        <w:rPr>
          <w:rFonts w:ascii="仿宋" w:hAnsi="仿宋" w:eastAsia="仿宋" w:cs="仿宋"/>
          <w:spacing w:val="-1"/>
          <w:sz w:val="32"/>
          <w:szCs w:val="32"/>
        </w:rPr>
        <w:t>万元</w:t>
      </w:r>
      <w:r>
        <w:rPr>
          <w:rFonts w:ascii="仿宋" w:hAnsi="仿宋" w:eastAsia="仿宋" w:cs="仿宋"/>
          <w:spacing w:val="-14"/>
          <w:sz w:val="32"/>
          <w:szCs w:val="32"/>
        </w:rPr>
        <w:t>；开支培训费</w:t>
      </w:r>
      <w:r>
        <w:rPr>
          <w:rFonts w:ascii="仿宋" w:hAnsi="仿宋" w:eastAsia="仿宋" w:cs="仿宋"/>
          <w:spacing w:val="-50"/>
          <w:sz w:val="32"/>
          <w:szCs w:val="32"/>
        </w:rPr>
        <w:t xml:space="preserve"> </w:t>
      </w:r>
      <w:r>
        <w:rPr>
          <w:rFonts w:hint="eastAsia" w:ascii="仿宋" w:hAnsi="仿宋" w:eastAsia="仿宋" w:cs="仿宋"/>
          <w:spacing w:val="-50"/>
          <w:sz w:val="32"/>
          <w:szCs w:val="32"/>
          <w:lang w:val="en-US" w:eastAsia="zh-CN"/>
        </w:rPr>
        <w:t>0</w:t>
      </w:r>
      <w:r>
        <w:rPr>
          <w:rFonts w:ascii="仿宋" w:hAnsi="仿宋" w:eastAsia="仿宋" w:cs="仿宋"/>
          <w:spacing w:val="-14"/>
          <w:sz w:val="32"/>
          <w:szCs w:val="32"/>
        </w:rPr>
        <w:t>万元</w:t>
      </w:r>
      <w:r>
        <w:rPr>
          <w:rFonts w:ascii="仿宋" w:hAnsi="仿宋" w:eastAsia="仿宋" w:cs="仿宋"/>
          <w:spacing w:val="-2"/>
          <w:sz w:val="32"/>
          <w:szCs w:val="32"/>
        </w:rPr>
        <w:t>；未举办节庆、晚会、</w:t>
      </w:r>
      <w:r>
        <w:rPr>
          <w:rFonts w:ascii="仿宋" w:hAnsi="仿宋" w:eastAsia="仿宋" w:cs="仿宋"/>
          <w:spacing w:val="-7"/>
          <w:sz w:val="32"/>
          <w:szCs w:val="32"/>
        </w:rPr>
        <w:t>论坛、赛事活动。</w:t>
      </w:r>
    </w:p>
    <w:p>
      <w:pPr>
        <w:pStyle w:val="16"/>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十一、关于政府采购支出说明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年度政府采购支出总额</w:t>
      </w:r>
      <w:r>
        <w:rPr>
          <w:rFonts w:hint="eastAsia" w:ascii="仿宋" w:hAnsi="仿宋" w:eastAsia="仿宋" w:cs="仿宋"/>
          <w:sz w:val="32"/>
          <w:szCs w:val="32"/>
          <w:lang w:val="en-US" w:eastAsia="zh-CN"/>
        </w:rPr>
        <w:t>2.56</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2.56</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2.56</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100</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2.56</w:t>
      </w:r>
      <w:r>
        <w:rPr>
          <w:rFonts w:hint="eastAsia" w:ascii="仿宋" w:hAnsi="仿宋" w:eastAsia="仿宋" w:cs="仿宋"/>
          <w:sz w:val="32"/>
          <w:szCs w:val="32"/>
        </w:rPr>
        <w:t>万元，</w:t>
      </w:r>
      <w:r>
        <w:rPr>
          <w:rFonts w:hint="eastAsia" w:ascii="仿宋" w:hAnsi="仿宋" w:eastAsia="仿宋" w:cs="仿宋"/>
          <w:color w:val="auto"/>
          <w:sz w:val="32"/>
          <w:szCs w:val="32"/>
        </w:rPr>
        <w:t>占</w:t>
      </w:r>
      <w:r>
        <w:rPr>
          <w:rFonts w:hint="eastAsia" w:ascii="仿宋" w:hAnsi="仿宋" w:eastAsia="仿宋" w:cs="仿宋"/>
          <w:color w:val="auto"/>
          <w:sz w:val="32"/>
          <w:szCs w:val="32"/>
          <w:lang w:eastAsia="zh-CN"/>
        </w:rPr>
        <w:t>授予中小企业合同金额</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%。货物采购授予中小企业合同金额占货物支出金额的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textAlignment w:val="auto"/>
        <w:rPr>
          <w:rFonts w:hint="eastAsia" w:ascii="黑体" w:hAnsi="黑体" w:eastAsia="黑体" w:cs="黑体"/>
          <w:b w:val="0"/>
          <w:bCs/>
          <w:color w:val="auto"/>
          <w:sz w:val="32"/>
          <w:szCs w:val="32"/>
        </w:rPr>
      </w:pPr>
      <w:r>
        <w:rPr>
          <w:rFonts w:hint="eastAsia" w:ascii="仿宋" w:hAnsi="仿宋" w:eastAsia="仿宋" w:cs="仿宋"/>
          <w:b/>
          <w:bCs w:val="0"/>
          <w:color w:val="auto"/>
          <w:sz w:val="32"/>
          <w:szCs w:val="32"/>
        </w:rPr>
        <w:t>十二、关于国有资产占用情况说明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16" w:firstLineChars="200"/>
        <w:textAlignment w:val="auto"/>
        <w:rPr>
          <w:rFonts w:ascii="Times New Roman" w:hAnsi="Times New Roman" w:eastAsia="仿宋_GB2312"/>
          <w:color w:val="auto"/>
          <w:sz w:val="32"/>
          <w:szCs w:val="32"/>
        </w:rPr>
      </w:pPr>
      <w:r>
        <w:rPr>
          <w:rFonts w:ascii="仿宋" w:hAnsi="仿宋" w:eastAsia="仿宋" w:cs="仿宋"/>
          <w:spacing w:val="-6"/>
          <w:sz w:val="32"/>
          <w:szCs w:val="32"/>
        </w:rPr>
        <w:t>截至</w:t>
      </w:r>
      <w:r>
        <w:rPr>
          <w:rFonts w:ascii="仿宋" w:hAnsi="仿宋" w:eastAsia="仿宋" w:cs="仿宋"/>
          <w:spacing w:val="-48"/>
          <w:sz w:val="32"/>
          <w:szCs w:val="32"/>
        </w:rPr>
        <w:t xml:space="preserve"> </w:t>
      </w: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5</w:t>
      </w:r>
      <w:r>
        <w:rPr>
          <w:rFonts w:ascii="仿宋" w:hAnsi="仿宋" w:eastAsia="仿宋" w:cs="仿宋"/>
          <w:spacing w:val="-6"/>
          <w:sz w:val="32"/>
          <w:szCs w:val="32"/>
        </w:rPr>
        <w:t>年12月</w:t>
      </w:r>
      <w:r>
        <w:rPr>
          <w:rFonts w:ascii="仿宋" w:hAnsi="仿宋" w:eastAsia="仿宋" w:cs="仿宋"/>
          <w:spacing w:val="-55"/>
          <w:sz w:val="32"/>
          <w:szCs w:val="32"/>
        </w:rPr>
        <w:t xml:space="preserve"> </w:t>
      </w:r>
      <w:r>
        <w:rPr>
          <w:rFonts w:ascii="仿宋" w:hAnsi="仿宋" w:eastAsia="仿宋" w:cs="仿宋"/>
          <w:spacing w:val="-6"/>
          <w:sz w:val="32"/>
          <w:szCs w:val="32"/>
        </w:rPr>
        <w:t>31日，本部门共有公务</w:t>
      </w:r>
      <w:r>
        <w:rPr>
          <w:rFonts w:hint="eastAsia" w:ascii="仿宋" w:hAnsi="仿宋" w:eastAsia="仿宋" w:cs="仿宋"/>
          <w:spacing w:val="-6"/>
          <w:sz w:val="32"/>
          <w:szCs w:val="32"/>
          <w:lang w:eastAsia="zh-CN"/>
        </w:rPr>
        <w:t>用车</w:t>
      </w:r>
      <w:r>
        <w:rPr>
          <w:rFonts w:hint="eastAsia" w:ascii="仿宋" w:hAnsi="仿宋" w:eastAsia="仿宋" w:cs="仿宋"/>
          <w:spacing w:val="-6"/>
          <w:sz w:val="32"/>
          <w:szCs w:val="32"/>
          <w:lang w:val="en-US" w:eastAsia="zh-CN"/>
        </w:rPr>
        <w:t>0</w:t>
      </w:r>
      <w:r>
        <w:rPr>
          <w:rFonts w:ascii="仿宋" w:hAnsi="仿宋" w:eastAsia="仿宋" w:cs="仿宋"/>
          <w:spacing w:val="-6"/>
          <w:sz w:val="32"/>
          <w:szCs w:val="32"/>
        </w:rPr>
        <w:t>辆，其中，主</w:t>
      </w:r>
      <w:r>
        <w:rPr>
          <w:rFonts w:ascii="仿宋" w:hAnsi="仿宋" w:eastAsia="仿宋" w:cs="仿宋"/>
          <w:spacing w:val="2"/>
          <w:sz w:val="32"/>
          <w:szCs w:val="32"/>
        </w:rPr>
        <w:t>要领导干部用车</w:t>
      </w:r>
      <w:r>
        <w:rPr>
          <w:rFonts w:ascii="仿宋" w:hAnsi="仿宋" w:eastAsia="仿宋" w:cs="仿宋"/>
          <w:spacing w:val="-62"/>
          <w:sz w:val="32"/>
          <w:szCs w:val="32"/>
        </w:rPr>
        <w:t xml:space="preserve"> </w:t>
      </w:r>
      <w:r>
        <w:rPr>
          <w:rFonts w:ascii="仿宋" w:hAnsi="仿宋" w:eastAsia="仿宋" w:cs="仿宋"/>
          <w:spacing w:val="2"/>
          <w:sz w:val="32"/>
          <w:szCs w:val="32"/>
        </w:rPr>
        <w:t>0</w:t>
      </w:r>
      <w:r>
        <w:rPr>
          <w:rFonts w:ascii="仿宋" w:hAnsi="仿宋" w:eastAsia="仿宋" w:cs="仿宋"/>
          <w:spacing w:val="-60"/>
          <w:sz w:val="32"/>
          <w:szCs w:val="32"/>
        </w:rPr>
        <w:t xml:space="preserve"> </w:t>
      </w:r>
      <w:r>
        <w:rPr>
          <w:rFonts w:ascii="仿宋" w:hAnsi="仿宋" w:eastAsia="仿宋" w:cs="仿宋"/>
          <w:spacing w:val="2"/>
          <w:sz w:val="32"/>
          <w:szCs w:val="32"/>
        </w:rPr>
        <w:t>辆、机要通信用车0</w:t>
      </w:r>
      <w:r>
        <w:rPr>
          <w:rFonts w:ascii="仿宋" w:hAnsi="仿宋" w:eastAsia="仿宋" w:cs="仿宋"/>
          <w:spacing w:val="-60"/>
          <w:sz w:val="32"/>
          <w:szCs w:val="32"/>
        </w:rPr>
        <w:t xml:space="preserve"> </w:t>
      </w:r>
      <w:r>
        <w:rPr>
          <w:rFonts w:ascii="仿宋" w:hAnsi="仿宋" w:eastAsia="仿宋" w:cs="仿宋"/>
          <w:spacing w:val="2"/>
          <w:sz w:val="32"/>
          <w:szCs w:val="32"/>
        </w:rPr>
        <w:t>辆、应急保障用车0</w:t>
      </w:r>
      <w:r>
        <w:rPr>
          <w:rFonts w:ascii="仿宋" w:hAnsi="仿宋" w:eastAsia="仿宋" w:cs="仿宋"/>
          <w:spacing w:val="-60"/>
          <w:sz w:val="32"/>
          <w:szCs w:val="32"/>
        </w:rPr>
        <w:t xml:space="preserve"> </w:t>
      </w:r>
      <w:r>
        <w:rPr>
          <w:rFonts w:ascii="仿宋" w:hAnsi="仿宋" w:eastAsia="仿宋" w:cs="仿宋"/>
          <w:spacing w:val="2"/>
          <w:sz w:val="32"/>
          <w:szCs w:val="32"/>
        </w:rPr>
        <w:t>辆、执法</w:t>
      </w:r>
      <w:r>
        <w:rPr>
          <w:rFonts w:ascii="仿宋" w:hAnsi="仿宋" w:eastAsia="仿宋" w:cs="仿宋"/>
          <w:sz w:val="32"/>
          <w:szCs w:val="32"/>
        </w:rPr>
        <w:t xml:space="preserve"> 执勤用车</w:t>
      </w:r>
      <w:r>
        <w:rPr>
          <w:rFonts w:ascii="仿宋" w:hAnsi="仿宋" w:eastAsia="仿宋" w:cs="仿宋"/>
          <w:spacing w:val="-62"/>
          <w:sz w:val="32"/>
          <w:szCs w:val="32"/>
        </w:rPr>
        <w:t xml:space="preserve"> </w:t>
      </w:r>
      <w:r>
        <w:rPr>
          <w:rFonts w:ascii="仿宋" w:hAnsi="仿宋" w:eastAsia="仿宋" w:cs="仿宋"/>
          <w:sz w:val="32"/>
          <w:szCs w:val="32"/>
        </w:rPr>
        <w:t>0</w:t>
      </w:r>
      <w:r>
        <w:rPr>
          <w:rFonts w:ascii="仿宋" w:hAnsi="仿宋" w:eastAsia="仿宋" w:cs="仿宋"/>
          <w:spacing w:val="-60"/>
          <w:sz w:val="32"/>
          <w:szCs w:val="32"/>
        </w:rPr>
        <w:t xml:space="preserve"> </w:t>
      </w:r>
      <w:r>
        <w:rPr>
          <w:rFonts w:ascii="仿宋" w:hAnsi="仿宋" w:eastAsia="仿宋" w:cs="仿宋"/>
          <w:sz w:val="32"/>
          <w:szCs w:val="32"/>
        </w:rPr>
        <w:t>辆、特种专业技术用车0</w:t>
      </w:r>
      <w:r>
        <w:rPr>
          <w:rFonts w:ascii="仿宋" w:hAnsi="仿宋" w:eastAsia="仿宋" w:cs="仿宋"/>
          <w:spacing w:val="-60"/>
          <w:sz w:val="32"/>
          <w:szCs w:val="32"/>
        </w:rPr>
        <w:t xml:space="preserve"> </w:t>
      </w:r>
      <w:r>
        <w:rPr>
          <w:rFonts w:ascii="仿宋" w:hAnsi="仿宋" w:eastAsia="仿宋" w:cs="仿宋"/>
          <w:sz w:val="32"/>
          <w:szCs w:val="32"/>
        </w:rPr>
        <w:t>辆、其他按照规定配备的公务用</w:t>
      </w:r>
      <w:r>
        <w:rPr>
          <w:rFonts w:ascii="仿宋" w:hAnsi="仿宋" w:eastAsia="仿宋" w:cs="仿宋"/>
          <w:spacing w:val="-9"/>
          <w:sz w:val="32"/>
          <w:szCs w:val="32"/>
        </w:rPr>
        <w:t>车</w:t>
      </w:r>
      <w:r>
        <w:rPr>
          <w:rFonts w:hint="eastAsia" w:ascii="仿宋" w:hAnsi="仿宋" w:eastAsia="仿宋" w:cs="仿宋"/>
          <w:spacing w:val="-9"/>
          <w:sz w:val="32"/>
          <w:szCs w:val="32"/>
          <w:lang w:val="en-US" w:eastAsia="zh-CN"/>
        </w:rPr>
        <w:t>0</w:t>
      </w:r>
      <w:r>
        <w:rPr>
          <w:rFonts w:ascii="仿宋" w:hAnsi="仿宋" w:eastAsia="仿宋" w:cs="仿宋"/>
          <w:spacing w:val="-9"/>
          <w:sz w:val="32"/>
          <w:szCs w:val="32"/>
        </w:rPr>
        <w:t>辆</w:t>
      </w:r>
      <w:r>
        <w:rPr>
          <w:rFonts w:hint="eastAsia" w:ascii="仿宋" w:hAnsi="仿宋" w:eastAsia="仿宋" w:cs="仿宋"/>
          <w:spacing w:val="-9"/>
          <w:sz w:val="32"/>
          <w:szCs w:val="32"/>
          <w:lang w:eastAsia="zh-CN"/>
        </w:rPr>
        <w:t>；</w:t>
      </w:r>
      <w:r>
        <w:rPr>
          <w:rFonts w:ascii="仿宋" w:hAnsi="仿宋" w:eastAsia="仿宋" w:cs="仿宋"/>
          <w:spacing w:val="-9"/>
          <w:sz w:val="32"/>
          <w:szCs w:val="32"/>
        </w:rPr>
        <w:t>单位价值</w:t>
      </w:r>
      <w:r>
        <w:rPr>
          <w:rFonts w:ascii="仿宋" w:hAnsi="仿宋" w:eastAsia="仿宋" w:cs="仿宋"/>
          <w:spacing w:val="-62"/>
          <w:sz w:val="32"/>
          <w:szCs w:val="32"/>
        </w:rPr>
        <w:t xml:space="preserve"> </w:t>
      </w:r>
      <w:r>
        <w:rPr>
          <w:rFonts w:ascii="仿宋" w:hAnsi="仿宋" w:eastAsia="仿宋" w:cs="仿宋"/>
          <w:spacing w:val="-9"/>
          <w:sz w:val="32"/>
          <w:szCs w:val="32"/>
        </w:rPr>
        <w:t>50</w:t>
      </w:r>
      <w:r>
        <w:rPr>
          <w:rFonts w:ascii="仿宋" w:hAnsi="仿宋" w:eastAsia="仿宋" w:cs="仿宋"/>
          <w:spacing w:val="-57"/>
          <w:sz w:val="32"/>
          <w:szCs w:val="32"/>
        </w:rPr>
        <w:t xml:space="preserve"> </w:t>
      </w:r>
      <w:r>
        <w:rPr>
          <w:rFonts w:ascii="仿宋" w:hAnsi="仿宋" w:eastAsia="仿宋" w:cs="仿宋"/>
          <w:spacing w:val="-9"/>
          <w:sz w:val="32"/>
          <w:szCs w:val="32"/>
        </w:rPr>
        <w:t>万元</w:t>
      </w:r>
      <w:r>
        <w:rPr>
          <w:rFonts w:ascii="仿宋" w:hAnsi="仿宋" w:eastAsia="仿宋" w:cs="仿宋"/>
          <w:spacing w:val="-18"/>
          <w:sz w:val="32"/>
          <w:szCs w:val="32"/>
        </w:rPr>
        <w:t>以上通用设备</w:t>
      </w:r>
      <w:r>
        <w:rPr>
          <w:rFonts w:ascii="仿宋" w:hAnsi="仿宋" w:eastAsia="仿宋" w:cs="仿宋"/>
          <w:spacing w:val="-63"/>
          <w:sz w:val="32"/>
          <w:szCs w:val="32"/>
        </w:rPr>
        <w:t xml:space="preserve"> </w:t>
      </w:r>
      <w:r>
        <w:rPr>
          <w:rFonts w:ascii="仿宋" w:hAnsi="仿宋" w:eastAsia="仿宋" w:cs="仿宋"/>
          <w:spacing w:val="-18"/>
          <w:sz w:val="32"/>
          <w:szCs w:val="32"/>
        </w:rPr>
        <w:t>0台（套</w:t>
      </w:r>
      <w:r>
        <w:rPr>
          <w:rFonts w:ascii="仿宋" w:hAnsi="仿宋" w:eastAsia="仿宋" w:cs="仿宋"/>
          <w:spacing w:val="-87"/>
          <w:w w:val="96"/>
          <w:sz w:val="32"/>
          <w:szCs w:val="32"/>
        </w:rPr>
        <w:t>），</w:t>
      </w:r>
      <w:r>
        <w:rPr>
          <w:rFonts w:ascii="仿宋" w:hAnsi="仿宋" w:eastAsia="仿宋" w:cs="仿宋"/>
          <w:spacing w:val="-18"/>
          <w:sz w:val="32"/>
          <w:szCs w:val="32"/>
        </w:rPr>
        <w:t>单位价值</w:t>
      </w:r>
      <w:r>
        <w:rPr>
          <w:rFonts w:ascii="仿宋" w:hAnsi="仿宋" w:eastAsia="仿宋" w:cs="仿宋"/>
          <w:spacing w:val="-45"/>
          <w:sz w:val="32"/>
          <w:szCs w:val="32"/>
        </w:rPr>
        <w:t xml:space="preserve"> </w:t>
      </w:r>
      <w:r>
        <w:rPr>
          <w:rFonts w:ascii="仿宋" w:hAnsi="仿宋" w:eastAsia="仿宋" w:cs="仿宋"/>
          <w:spacing w:val="-18"/>
          <w:sz w:val="32"/>
          <w:szCs w:val="32"/>
        </w:rPr>
        <w:t>100</w:t>
      </w:r>
      <w:r>
        <w:rPr>
          <w:rFonts w:ascii="仿宋" w:hAnsi="仿宋" w:eastAsia="仿宋" w:cs="仿宋"/>
          <w:spacing w:val="-56"/>
          <w:sz w:val="32"/>
          <w:szCs w:val="32"/>
        </w:rPr>
        <w:t xml:space="preserve"> </w:t>
      </w:r>
      <w:r>
        <w:rPr>
          <w:rFonts w:ascii="仿宋" w:hAnsi="仿宋" w:eastAsia="仿宋" w:cs="仿宋"/>
          <w:spacing w:val="-18"/>
          <w:sz w:val="32"/>
          <w:szCs w:val="32"/>
        </w:rPr>
        <w:t>万元以上专用设备</w:t>
      </w:r>
      <w:r>
        <w:rPr>
          <w:rFonts w:ascii="仿宋" w:hAnsi="仿宋" w:eastAsia="仿宋" w:cs="仿宋"/>
          <w:spacing w:val="-67"/>
          <w:sz w:val="32"/>
          <w:szCs w:val="32"/>
        </w:rPr>
        <w:t xml:space="preserve"> </w:t>
      </w:r>
      <w:r>
        <w:rPr>
          <w:rFonts w:ascii="仿宋" w:hAnsi="仿宋" w:eastAsia="仿宋" w:cs="仿宋"/>
          <w:spacing w:val="-18"/>
          <w:sz w:val="32"/>
          <w:szCs w:val="32"/>
        </w:rPr>
        <w:t>0台（套）</w:t>
      </w:r>
      <w:r>
        <w:rPr>
          <w:rFonts w:hint="eastAsia" w:ascii="Times New Roman" w:hAnsi="Times New Roman" w:eastAsia="仿宋_GB2312"/>
          <w:color w:val="auto"/>
          <w:sz w:val="32"/>
          <w:szCs w:val="32"/>
        </w:rPr>
        <w:t>。</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textAlignment w:val="auto"/>
        <w:rPr>
          <w:rFonts w:hint="eastAsia" w:ascii="黑体" w:hAnsi="黑体" w:eastAsia="黑体" w:cs="黑体"/>
          <w:b w:val="0"/>
          <w:bCs/>
          <w:color w:val="auto"/>
          <w:sz w:val="32"/>
          <w:szCs w:val="32"/>
        </w:rPr>
      </w:pPr>
      <w:r>
        <w:rPr>
          <w:rFonts w:hint="eastAsia" w:ascii="仿宋" w:hAnsi="仿宋" w:eastAsia="仿宋" w:cs="仿宋"/>
          <w:b/>
          <w:bCs w:val="0"/>
          <w:color w:val="auto"/>
          <w:sz w:val="32"/>
          <w:szCs w:val="32"/>
        </w:rPr>
        <w:t>十三、关于202</w:t>
      </w:r>
      <w:r>
        <w:rPr>
          <w:rFonts w:hint="eastAsia" w:ascii="仿宋" w:hAnsi="仿宋" w:eastAsia="仿宋" w:cs="仿宋"/>
          <w:b/>
          <w:bCs w:val="0"/>
          <w:color w:val="auto"/>
          <w:sz w:val="32"/>
          <w:szCs w:val="32"/>
          <w:lang w:val="en-US" w:eastAsia="zh-CN"/>
        </w:rPr>
        <w:t>5</w:t>
      </w:r>
      <w:r>
        <w:rPr>
          <w:rFonts w:hint="eastAsia" w:ascii="仿宋" w:hAnsi="仿宋" w:eastAsia="仿宋" w:cs="仿宋"/>
          <w:b/>
          <w:bCs w:val="0"/>
          <w:color w:val="auto"/>
          <w:sz w:val="32"/>
          <w:szCs w:val="32"/>
        </w:rPr>
        <w:t>年度</w:t>
      </w:r>
      <w:r>
        <w:rPr>
          <w:rFonts w:hint="eastAsia" w:ascii="仿宋" w:hAnsi="仿宋" w:eastAsia="仿宋" w:cs="仿宋"/>
          <w:b/>
          <w:bCs w:val="0"/>
          <w:color w:val="auto"/>
          <w:sz w:val="32"/>
          <w:szCs w:val="32"/>
          <w:lang w:eastAsia="zh-CN"/>
        </w:rPr>
        <w:t>预算</w:t>
      </w:r>
      <w:r>
        <w:rPr>
          <w:rFonts w:hint="eastAsia" w:ascii="仿宋" w:hAnsi="仿宋" w:eastAsia="仿宋" w:cs="仿宋"/>
          <w:b/>
          <w:bCs w:val="0"/>
          <w:color w:val="auto"/>
          <w:sz w:val="32"/>
          <w:szCs w:val="32"/>
        </w:rPr>
        <w:t>绩效情况的说明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jc w:val="left"/>
        <w:textAlignment w:val="auto"/>
        <w:rPr>
          <w:rFonts w:hint="eastAsia" w:ascii="Times New Roman" w:hAnsi="Times New Roman" w:eastAsia="仿宋_GB2312"/>
          <w:sz w:val="32"/>
          <w:szCs w:val="32"/>
        </w:rPr>
      </w:pPr>
      <w:r>
        <w:rPr>
          <w:rFonts w:ascii="仿宋" w:hAnsi="仿宋" w:eastAsia="仿宋" w:cs="仿宋"/>
          <w:spacing w:val="-2"/>
          <w:sz w:val="32"/>
          <w:szCs w:val="32"/>
        </w:rPr>
        <w:t>本部门预算绩效管理开展情况、</w:t>
      </w:r>
      <w:r>
        <w:rPr>
          <w:rFonts w:hint="eastAsia" w:ascii="仿宋" w:hAnsi="仿宋" w:eastAsia="仿宋" w:cs="仿宋"/>
          <w:spacing w:val="-2"/>
          <w:sz w:val="32"/>
          <w:szCs w:val="32"/>
          <w:lang w:eastAsia="zh-CN"/>
        </w:rPr>
        <w:t>绩效评价结果、评价结果运用情况</w:t>
      </w:r>
      <w:r>
        <w:rPr>
          <w:rFonts w:ascii="仿宋" w:hAnsi="仿宋" w:eastAsia="仿宋" w:cs="仿宋"/>
          <w:spacing w:val="-2"/>
          <w:sz w:val="32"/>
          <w:szCs w:val="32"/>
        </w:rPr>
        <w:t>等见附</w:t>
      </w:r>
      <w:r>
        <w:rPr>
          <w:rFonts w:ascii="仿宋" w:hAnsi="仿宋" w:eastAsia="仿宋" w:cs="仿宋"/>
          <w:spacing w:val="-16"/>
          <w:sz w:val="32"/>
          <w:szCs w:val="32"/>
        </w:rPr>
        <w:t>件</w:t>
      </w:r>
      <w:r>
        <w:rPr>
          <w:rFonts w:hint="eastAsia" w:ascii="Times New Roman" w:hAnsi="Times New Roman" w:eastAsia="仿宋_GB2312"/>
          <w:sz w:val="32"/>
          <w:szCs w:val="32"/>
        </w:rPr>
        <w:t>。</w:t>
      </w:r>
    </w:p>
    <w:p>
      <w:pPr>
        <w:pStyle w:val="16"/>
        <w:jc w:val="both"/>
        <w:rPr>
          <w:sz w:val="72"/>
          <w:szCs w:val="72"/>
        </w:rPr>
      </w:pPr>
    </w:p>
    <w:p>
      <w:pPr>
        <w:pStyle w:val="16"/>
        <w:jc w:val="center"/>
        <w:rPr>
          <w:sz w:val="72"/>
          <w:szCs w:val="72"/>
        </w:rPr>
      </w:pPr>
    </w:p>
    <w:p>
      <w:pPr>
        <w:pStyle w:val="16"/>
        <w:jc w:val="center"/>
        <w:rPr>
          <w:sz w:val="72"/>
          <w:szCs w:val="72"/>
        </w:rPr>
      </w:pPr>
    </w:p>
    <w:p>
      <w:pPr>
        <w:pStyle w:val="16"/>
        <w:jc w:val="both"/>
        <w:rPr>
          <w:rFonts w:hint="eastAsia" w:ascii="仿宋" w:hAnsi="仿宋" w:eastAsia="仿宋" w:cs="仿宋"/>
          <w:b/>
          <w:bCs/>
          <w:sz w:val="52"/>
          <w:szCs w:val="52"/>
        </w:rPr>
      </w:pPr>
    </w:p>
    <w:p>
      <w:pPr>
        <w:pStyle w:val="16"/>
        <w:jc w:val="both"/>
        <w:rPr>
          <w:rFonts w:hint="eastAsia" w:ascii="仿宋" w:hAnsi="仿宋" w:eastAsia="仿宋" w:cs="仿宋"/>
          <w:b/>
          <w:bCs/>
          <w:sz w:val="52"/>
          <w:szCs w:val="52"/>
        </w:rPr>
      </w:pPr>
    </w:p>
    <w:p>
      <w:pPr>
        <w:pStyle w:val="16"/>
        <w:jc w:val="both"/>
        <w:rPr>
          <w:rFonts w:hint="eastAsia" w:ascii="仿宋" w:hAnsi="仿宋" w:eastAsia="仿宋" w:cs="仿宋"/>
          <w:b/>
          <w:bCs/>
          <w:sz w:val="52"/>
          <w:szCs w:val="52"/>
        </w:rPr>
      </w:pPr>
    </w:p>
    <w:p>
      <w:pPr>
        <w:pStyle w:val="16"/>
        <w:jc w:val="both"/>
        <w:rPr>
          <w:rFonts w:hint="eastAsia" w:ascii="仿宋" w:hAnsi="仿宋" w:eastAsia="仿宋" w:cs="仿宋"/>
          <w:b/>
          <w:bCs/>
          <w:sz w:val="52"/>
          <w:szCs w:val="52"/>
        </w:rPr>
      </w:pPr>
    </w:p>
    <w:p>
      <w:pPr>
        <w:pStyle w:val="16"/>
        <w:jc w:val="both"/>
        <w:rPr>
          <w:rFonts w:hint="eastAsia" w:ascii="仿宋" w:hAnsi="仿宋" w:eastAsia="仿宋" w:cs="仿宋"/>
          <w:b/>
          <w:bCs/>
          <w:sz w:val="52"/>
          <w:szCs w:val="52"/>
        </w:rPr>
      </w:pPr>
    </w:p>
    <w:p>
      <w:pPr>
        <w:pStyle w:val="16"/>
        <w:jc w:val="center"/>
        <w:rPr>
          <w:rFonts w:hint="eastAsia" w:ascii="仿宋" w:hAnsi="仿宋" w:eastAsia="仿宋" w:cs="仿宋"/>
          <w:b/>
          <w:bCs/>
          <w:sz w:val="52"/>
          <w:szCs w:val="52"/>
        </w:rPr>
      </w:pPr>
    </w:p>
    <w:p>
      <w:pPr>
        <w:pStyle w:val="16"/>
        <w:jc w:val="center"/>
        <w:rPr>
          <w:rFonts w:hint="eastAsia" w:ascii="仿宋" w:hAnsi="仿宋" w:eastAsia="仿宋" w:cs="仿宋"/>
          <w:b/>
          <w:bCs/>
          <w:color w:val="000000"/>
          <w:kern w:val="0"/>
          <w:sz w:val="52"/>
          <w:szCs w:val="52"/>
        </w:rPr>
      </w:pPr>
      <w:r>
        <w:rPr>
          <w:rFonts w:hint="eastAsia" w:ascii="仿宋" w:hAnsi="仿宋" w:eastAsia="仿宋" w:cs="仿宋"/>
          <w:b/>
          <w:bCs/>
          <w:sz w:val="52"/>
          <w:szCs w:val="52"/>
        </w:rPr>
        <w:t>第四部分</w:t>
      </w:r>
      <w:r>
        <w:rPr>
          <w:rFonts w:hint="eastAsia" w:ascii="仿宋" w:hAnsi="仿宋" w:eastAsia="仿宋" w:cs="仿宋"/>
          <w:b/>
          <w:bCs/>
          <w:sz w:val="52"/>
          <w:szCs w:val="52"/>
          <w:lang w:val="en-US" w:eastAsia="zh-CN"/>
        </w:rPr>
        <w:t xml:space="preserve">   </w:t>
      </w:r>
      <w:r>
        <w:rPr>
          <w:rFonts w:hint="eastAsia" w:ascii="仿宋" w:hAnsi="仿宋" w:eastAsia="仿宋" w:cs="仿宋"/>
          <w:b/>
          <w:bCs/>
          <w:color w:val="000000"/>
          <w:kern w:val="0"/>
          <w:sz w:val="52"/>
          <w:szCs w:val="52"/>
        </w:rPr>
        <w:t>名词解释</w:t>
      </w:r>
    </w:p>
    <w:p>
      <w:pPr>
        <w:widowControl/>
        <w:jc w:val="left"/>
        <w:rPr>
          <w:rFonts w:cs="黑体" w:asciiTheme="minorEastAsia" w:hAnsiTheme="minorEastAsia"/>
          <w:color w:val="000000"/>
          <w:kern w:val="0"/>
          <w:sz w:val="32"/>
          <w:szCs w:val="32"/>
        </w:rPr>
      </w:pPr>
    </w:p>
    <w:p>
      <w:pPr>
        <w:spacing w:before="168" w:line="296" w:lineRule="auto"/>
        <w:ind w:right="138" w:firstLine="853"/>
        <w:rPr>
          <w:rFonts w:ascii="仿宋" w:hAnsi="仿宋" w:eastAsia="仿宋" w:cs="仿宋"/>
          <w:sz w:val="32"/>
          <w:szCs w:val="32"/>
        </w:rPr>
      </w:pPr>
      <w:r>
        <w:rPr>
          <w:rFonts w:ascii="仿宋" w:hAnsi="仿宋" w:eastAsia="仿宋" w:cs="仿宋"/>
          <w:spacing w:val="1"/>
          <w:sz w:val="32"/>
          <w:szCs w:val="32"/>
        </w:rPr>
        <w:t>1</w:t>
      </w:r>
      <w:r>
        <w:rPr>
          <w:rFonts w:hint="eastAsia" w:ascii="仿宋" w:hAnsi="仿宋" w:eastAsia="仿宋" w:cs="仿宋"/>
          <w:spacing w:val="1"/>
          <w:sz w:val="32"/>
          <w:szCs w:val="32"/>
          <w:lang w:val="en-US" w:eastAsia="zh-CN"/>
        </w:rPr>
        <w:t>.</w:t>
      </w:r>
      <w:r>
        <w:rPr>
          <w:rFonts w:ascii="仿宋" w:hAnsi="仿宋" w:eastAsia="仿宋" w:cs="仿宋"/>
          <w:spacing w:val="1"/>
          <w:sz w:val="32"/>
          <w:szCs w:val="32"/>
        </w:rPr>
        <w:t>财政拨款收入：指单位本年度从同级财政部门取</w:t>
      </w:r>
      <w:r>
        <w:rPr>
          <w:rFonts w:ascii="仿宋" w:hAnsi="仿宋" w:eastAsia="仿宋" w:cs="仿宋"/>
          <w:sz w:val="32"/>
          <w:szCs w:val="32"/>
        </w:rPr>
        <w:t xml:space="preserve">得的各类财政 </w:t>
      </w:r>
      <w:r>
        <w:rPr>
          <w:rFonts w:ascii="仿宋" w:hAnsi="仿宋" w:eastAsia="仿宋" w:cs="仿宋"/>
          <w:spacing w:val="-15"/>
          <w:sz w:val="32"/>
          <w:szCs w:val="32"/>
        </w:rPr>
        <w:t>拨款。</w:t>
      </w:r>
    </w:p>
    <w:p>
      <w:pPr>
        <w:spacing w:before="256" w:line="338" w:lineRule="auto"/>
        <w:ind w:firstLine="837"/>
        <w:rPr>
          <w:rFonts w:ascii="仿宋" w:hAnsi="仿宋" w:eastAsia="仿宋" w:cs="仿宋"/>
          <w:sz w:val="32"/>
          <w:szCs w:val="32"/>
        </w:rPr>
      </w:pPr>
      <w:r>
        <w:rPr>
          <w:rFonts w:hint="eastAsia" w:ascii="仿宋" w:hAnsi="仿宋" w:eastAsia="仿宋" w:cs="仿宋"/>
          <w:spacing w:val="-5"/>
          <w:sz w:val="32"/>
          <w:szCs w:val="32"/>
          <w:lang w:val="en-US" w:eastAsia="zh-CN"/>
        </w:rPr>
        <w:t>2</w:t>
      </w:r>
      <w:r>
        <w:rPr>
          <w:rFonts w:ascii="仿宋" w:hAnsi="仿宋" w:eastAsia="仿宋" w:cs="仿宋"/>
          <w:spacing w:val="-5"/>
          <w:sz w:val="32"/>
          <w:szCs w:val="32"/>
        </w:rPr>
        <w:t>．机关运行经费：指行政单位（含参照公务员法管理的事业单位）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使用一般公共预算安排的基本支出中的公用经费支出，包括办公及印刷</w:t>
      </w:r>
      <w:r>
        <w:rPr>
          <w:rFonts w:ascii="仿宋" w:hAnsi="仿宋" w:eastAsia="仿宋" w:cs="仿宋"/>
          <w:spacing w:val="16"/>
          <w:sz w:val="32"/>
          <w:szCs w:val="32"/>
        </w:rPr>
        <w:t xml:space="preserve"> </w:t>
      </w:r>
      <w:r>
        <w:rPr>
          <w:rFonts w:ascii="仿宋" w:hAnsi="仿宋" w:eastAsia="仿宋" w:cs="仿宋"/>
          <w:spacing w:val="2"/>
          <w:sz w:val="32"/>
          <w:szCs w:val="32"/>
        </w:rPr>
        <w:t>费、邮电费、差旅费、会议费、福利费、日常维修费、专用材料及一般</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r>
        <w:rPr>
          <w:rFonts w:ascii="仿宋" w:hAnsi="仿宋" w:eastAsia="仿宋" w:cs="仿宋"/>
          <w:spacing w:val="-4"/>
          <w:sz w:val="32"/>
          <w:szCs w:val="32"/>
        </w:rPr>
        <w:t>公务用车运行维护费及其他费用。</w:t>
      </w:r>
    </w:p>
    <w:p>
      <w:pPr>
        <w:spacing w:before="258" w:line="350" w:lineRule="auto"/>
        <w:ind w:right="138" w:firstLine="828"/>
        <w:rPr>
          <w:rFonts w:ascii="仿宋" w:hAnsi="仿宋" w:eastAsia="仿宋" w:cs="仿宋"/>
          <w:spacing w:val="-16"/>
          <w:sz w:val="32"/>
          <w:szCs w:val="32"/>
        </w:rPr>
      </w:pPr>
      <w:r>
        <w:rPr>
          <w:rFonts w:hint="eastAsia" w:ascii="仿宋" w:hAnsi="仿宋" w:eastAsia="仿宋" w:cs="仿宋"/>
          <w:sz w:val="32"/>
          <w:szCs w:val="32"/>
          <w:lang w:val="en-US" w:eastAsia="zh-CN"/>
        </w:rPr>
        <w:t>3.</w:t>
      </w:r>
      <w:r>
        <w:rPr>
          <w:rFonts w:ascii="仿宋" w:hAnsi="仿宋" w:eastAsia="仿宋" w:cs="仿宋"/>
          <w:sz w:val="32"/>
          <w:szCs w:val="32"/>
        </w:rPr>
        <w:t>“三公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r>
        <w:rPr>
          <w:rFonts w:ascii="仿宋" w:hAnsi="仿宋" w:eastAsia="仿宋" w:cs="仿宋"/>
          <w:spacing w:val="15"/>
          <w:sz w:val="32"/>
          <w:szCs w:val="32"/>
        </w:rPr>
        <w:t xml:space="preserve"> </w:t>
      </w:r>
      <w:r>
        <w:rPr>
          <w:rFonts w:ascii="仿宋" w:hAnsi="仿宋" w:eastAsia="仿宋" w:cs="仿宋"/>
          <w:spacing w:val="-16"/>
          <w:sz w:val="32"/>
          <w:szCs w:val="32"/>
        </w:rPr>
        <w:t>用。</w:t>
      </w:r>
    </w:p>
    <w:p>
      <w:pPr>
        <w:spacing w:before="252" w:line="352" w:lineRule="auto"/>
        <w:ind w:firstLine="628" w:firstLineChars="200"/>
        <w:rPr>
          <w:rFonts w:ascii="仿宋" w:hAnsi="仿宋" w:eastAsia="仿宋" w:cs="仿宋"/>
          <w:sz w:val="32"/>
          <w:szCs w:val="32"/>
        </w:rPr>
      </w:pPr>
      <w:r>
        <w:rPr>
          <w:rFonts w:hint="eastAsia" w:ascii="仿宋" w:hAnsi="仿宋" w:eastAsia="仿宋" w:cs="仿宋"/>
          <w:spacing w:val="-3"/>
          <w:sz w:val="32"/>
          <w:szCs w:val="32"/>
          <w:lang w:val="en-US" w:eastAsia="zh-CN"/>
        </w:rPr>
        <w:t>4.</w:t>
      </w:r>
      <w:r>
        <w:rPr>
          <w:rFonts w:ascii="仿宋" w:hAnsi="仿宋" w:eastAsia="仿宋" w:cs="仿宋"/>
          <w:spacing w:val="-3"/>
          <w:sz w:val="32"/>
          <w:szCs w:val="32"/>
        </w:rPr>
        <w:t>年初结转和结余：指单位上年结转本年使用的基本支出结转</w:t>
      </w:r>
      <w:r>
        <w:rPr>
          <w:rFonts w:hint="eastAsia" w:ascii="仿宋" w:hAnsi="仿宋" w:eastAsia="仿宋" w:cs="仿宋"/>
          <w:spacing w:val="-3"/>
          <w:sz w:val="32"/>
          <w:szCs w:val="32"/>
          <w:lang w:eastAsia="zh-CN"/>
        </w:rPr>
        <w:t>、</w:t>
      </w:r>
      <w:r>
        <w:rPr>
          <w:rFonts w:ascii="仿宋" w:hAnsi="仿宋" w:eastAsia="仿宋" w:cs="仿宋"/>
          <w:spacing w:val="-5"/>
          <w:sz w:val="32"/>
          <w:szCs w:val="32"/>
        </w:rPr>
        <w:t>项目支出结转和结余和经营结余。</w:t>
      </w:r>
    </w:p>
    <w:p>
      <w:pPr>
        <w:spacing w:before="258" w:line="350" w:lineRule="auto"/>
        <w:ind w:right="138" w:firstLine="620" w:firstLineChars="200"/>
        <w:rPr>
          <w:rFonts w:hint="eastAsia" w:ascii="仿宋" w:hAnsi="仿宋" w:eastAsia="仿宋" w:cs="仿宋"/>
          <w:spacing w:val="-16"/>
          <w:sz w:val="32"/>
          <w:szCs w:val="32"/>
          <w:lang w:eastAsia="zh-CN"/>
        </w:rPr>
      </w:pPr>
      <w:r>
        <w:rPr>
          <w:rFonts w:hint="eastAsia" w:ascii="仿宋" w:hAnsi="仿宋" w:eastAsia="仿宋" w:cs="仿宋"/>
          <w:spacing w:val="-5"/>
          <w:sz w:val="32"/>
          <w:szCs w:val="32"/>
          <w:lang w:val="en-US" w:eastAsia="zh-CN"/>
        </w:rPr>
        <w:t>5.</w:t>
      </w:r>
      <w:r>
        <w:rPr>
          <w:rFonts w:ascii="仿宋" w:hAnsi="仿宋" w:eastAsia="仿宋" w:cs="仿宋"/>
          <w:spacing w:val="-5"/>
          <w:sz w:val="32"/>
          <w:szCs w:val="32"/>
        </w:rPr>
        <w:t>年末结转和结余资金：指本年度或以前年度预算安排、因客观</w:t>
      </w:r>
      <w:r>
        <w:rPr>
          <w:rFonts w:ascii="仿宋" w:hAnsi="仿宋" w:eastAsia="仿宋" w:cs="仿宋"/>
          <w:spacing w:val="2"/>
          <w:sz w:val="32"/>
          <w:szCs w:val="32"/>
        </w:rPr>
        <w:t>条件发生变化无法按原计划实施，需要延迟到以后年度按有关规定继续</w:t>
      </w:r>
      <w:r>
        <w:rPr>
          <w:rFonts w:ascii="仿宋" w:hAnsi="仿宋" w:eastAsia="仿宋" w:cs="仿宋"/>
          <w:spacing w:val="-10"/>
          <w:sz w:val="32"/>
          <w:szCs w:val="32"/>
        </w:rPr>
        <w:t>使用的资金</w:t>
      </w:r>
      <w:r>
        <w:rPr>
          <w:rFonts w:hint="eastAsia" w:ascii="仿宋" w:hAnsi="仿宋" w:eastAsia="仿宋" w:cs="仿宋"/>
          <w:spacing w:val="-16"/>
          <w:sz w:val="32"/>
          <w:szCs w:val="32"/>
          <w:lang w:eastAsia="zh-CN"/>
        </w:rPr>
        <w:t>。</w:t>
      </w:r>
    </w:p>
    <w:p>
      <w:pPr>
        <w:spacing w:before="258" w:line="350" w:lineRule="auto"/>
        <w:ind w:right="138" w:firstLine="620" w:firstLineChars="200"/>
        <w:rPr>
          <w:rFonts w:ascii="仿宋" w:hAnsi="仿宋" w:eastAsia="仿宋" w:cs="仿宋"/>
          <w:sz w:val="32"/>
          <w:szCs w:val="32"/>
        </w:rPr>
      </w:pPr>
      <w:r>
        <w:rPr>
          <w:rFonts w:ascii="仿宋" w:hAnsi="仿宋" w:eastAsia="仿宋" w:cs="仿宋"/>
          <w:spacing w:val="-5"/>
          <w:sz w:val="32"/>
          <w:szCs w:val="32"/>
        </w:rPr>
        <w:t>6．基本支出：指为保障机构正常运转、完成日常工作任务而发生的支出，包括人员经费和公用经费</w:t>
      </w:r>
      <w:r>
        <w:rPr>
          <w:rFonts w:hint="eastAsia" w:ascii="仿宋" w:hAnsi="仿宋" w:eastAsia="仿宋" w:cs="仿宋"/>
          <w:spacing w:val="-5"/>
          <w:sz w:val="32"/>
          <w:szCs w:val="32"/>
          <w:lang w:eastAsia="zh-CN"/>
        </w:rPr>
        <w:t>。</w:t>
      </w:r>
    </w:p>
    <w:p>
      <w:pPr>
        <w:numPr>
          <w:ilvl w:val="0"/>
          <w:numId w:val="0"/>
        </w:numPr>
        <w:spacing w:before="251" w:line="296" w:lineRule="auto"/>
        <w:ind w:right="48" w:rightChars="0" w:firstLine="620" w:firstLineChars="200"/>
        <w:rPr>
          <w:rFonts w:ascii="仿宋" w:hAnsi="仿宋" w:eastAsia="仿宋" w:cs="仿宋"/>
          <w:spacing w:val="-16"/>
          <w:sz w:val="32"/>
          <w:szCs w:val="32"/>
        </w:rPr>
      </w:pPr>
      <w:r>
        <w:rPr>
          <w:rFonts w:hint="eastAsia" w:ascii="仿宋" w:hAnsi="仿宋" w:eastAsia="仿宋" w:cs="仿宋"/>
          <w:spacing w:val="-5"/>
          <w:sz w:val="32"/>
          <w:szCs w:val="32"/>
          <w:lang w:val="en-US" w:eastAsia="zh-CN"/>
        </w:rPr>
        <w:t>7.</w:t>
      </w:r>
      <w:r>
        <w:rPr>
          <w:rFonts w:ascii="仿宋" w:hAnsi="仿宋" w:eastAsia="仿宋" w:cs="仿宋"/>
          <w:spacing w:val="-5"/>
          <w:sz w:val="32"/>
          <w:szCs w:val="32"/>
        </w:rPr>
        <w:t>项目支出：指在为完成特定的工作任务和事业发展目标所发生</w:t>
      </w:r>
      <w:r>
        <w:rPr>
          <w:rFonts w:ascii="仿宋" w:hAnsi="仿宋" w:eastAsia="仿宋" w:cs="仿宋"/>
          <w:spacing w:val="-16"/>
          <w:sz w:val="32"/>
          <w:szCs w:val="32"/>
        </w:rPr>
        <w:t>的支出。</w:t>
      </w:r>
    </w:p>
    <w:p>
      <w:pPr>
        <w:spacing w:before="170" w:line="319" w:lineRule="auto"/>
        <w:ind w:right="138" w:firstLine="620" w:firstLineChars="200"/>
        <w:rPr>
          <w:rFonts w:ascii="仿宋" w:hAnsi="仿宋" w:eastAsia="仿宋" w:cs="仿宋"/>
          <w:spacing w:val="-16"/>
          <w:sz w:val="32"/>
          <w:szCs w:val="32"/>
        </w:rPr>
      </w:pPr>
      <w:r>
        <w:rPr>
          <w:rFonts w:hint="eastAsia" w:ascii="仿宋" w:hAnsi="仿宋" w:eastAsia="仿宋" w:cs="仿宋"/>
          <w:spacing w:val="-5"/>
          <w:sz w:val="32"/>
          <w:szCs w:val="32"/>
          <w:lang w:val="en-US" w:eastAsia="zh-CN"/>
        </w:rPr>
        <w:t>8.</w:t>
      </w:r>
      <w:r>
        <w:rPr>
          <w:rFonts w:ascii="仿宋" w:hAnsi="仿宋" w:eastAsia="仿宋" w:cs="仿宋"/>
          <w:spacing w:val="-5"/>
          <w:sz w:val="32"/>
          <w:szCs w:val="32"/>
        </w:rPr>
        <w:t>社会保障和就业支出（类）行政事业单位养老支出（款）机关</w:t>
      </w:r>
      <w:r>
        <w:rPr>
          <w:rFonts w:ascii="仿宋" w:hAnsi="仿宋" w:eastAsia="仿宋" w:cs="仿宋"/>
          <w:spacing w:val="1"/>
          <w:sz w:val="32"/>
          <w:szCs w:val="32"/>
        </w:rPr>
        <w:t>事业单位基本养老保险缴费支出（项</w:t>
      </w:r>
      <w:r>
        <w:rPr>
          <w:rFonts w:ascii="仿宋" w:hAnsi="仿宋" w:eastAsia="仿宋" w:cs="仿宋"/>
          <w:spacing w:val="24"/>
          <w:sz w:val="32"/>
          <w:szCs w:val="32"/>
        </w:rPr>
        <w:t>）：</w:t>
      </w:r>
      <w:r>
        <w:rPr>
          <w:rFonts w:ascii="仿宋" w:hAnsi="仿宋" w:eastAsia="仿宋" w:cs="仿宋"/>
          <w:spacing w:val="1"/>
          <w:sz w:val="32"/>
          <w:szCs w:val="32"/>
        </w:rPr>
        <w:t>反映机关事业单位实施养老保</w:t>
      </w:r>
      <w:r>
        <w:rPr>
          <w:rFonts w:ascii="仿宋" w:hAnsi="仿宋" w:eastAsia="仿宋" w:cs="仿宋"/>
          <w:spacing w:val="-4"/>
          <w:sz w:val="32"/>
          <w:szCs w:val="32"/>
        </w:rPr>
        <w:t>险制度由单位缴纳的基本养老保险费支出。</w:t>
      </w:r>
    </w:p>
    <w:p>
      <w:pPr>
        <w:spacing w:before="255" w:line="331" w:lineRule="auto"/>
        <w:ind w:firstLine="532" w:firstLineChars="200"/>
        <w:rPr>
          <w:rFonts w:ascii="仿宋" w:hAnsi="仿宋" w:eastAsia="仿宋" w:cs="仿宋"/>
          <w:sz w:val="32"/>
          <w:szCs w:val="32"/>
        </w:rPr>
      </w:pPr>
      <w:r>
        <w:rPr>
          <w:rFonts w:ascii="仿宋" w:hAnsi="仿宋" w:eastAsia="仿宋" w:cs="仿宋"/>
          <w:spacing w:val="-27"/>
          <w:sz w:val="32"/>
          <w:szCs w:val="32"/>
        </w:rPr>
        <w:t>9．卫生健康支出（类）行政事业单位医疗（款）行政单位医疗（项</w:t>
      </w:r>
      <w:r>
        <w:rPr>
          <w:rFonts w:ascii="仿宋" w:hAnsi="仿宋" w:eastAsia="仿宋" w:cs="仿宋"/>
          <w:spacing w:val="-61"/>
          <w:sz w:val="32"/>
          <w:szCs w:val="32"/>
        </w:rPr>
        <w:t>）：</w:t>
      </w:r>
      <w:r>
        <w:rPr>
          <w:rFonts w:ascii="仿宋" w:hAnsi="仿宋" w:eastAsia="仿宋" w:cs="仿宋"/>
          <w:spacing w:val="1"/>
          <w:sz w:val="32"/>
          <w:szCs w:val="32"/>
        </w:rPr>
        <w:t xml:space="preserve"> </w:t>
      </w:r>
      <w:r>
        <w:rPr>
          <w:rFonts w:ascii="仿宋" w:hAnsi="仿宋" w:eastAsia="仿宋" w:cs="仿宋"/>
          <w:spacing w:val="-10"/>
          <w:sz w:val="32"/>
          <w:szCs w:val="32"/>
        </w:rPr>
        <w:t>反映财政部门安排的行政单位（包括实行公务员管理的事业单位，下同）</w:t>
      </w:r>
      <w:r>
        <w:rPr>
          <w:rFonts w:ascii="仿宋" w:hAnsi="仿宋" w:eastAsia="仿宋" w:cs="仿宋"/>
          <w:sz w:val="32"/>
          <w:szCs w:val="32"/>
        </w:rPr>
        <w:t>基本医疗保险缴费经费，未参加医疗保险的行政 单位的公费医疗经费，</w:t>
      </w:r>
      <w:r>
        <w:rPr>
          <w:rFonts w:ascii="仿宋" w:hAnsi="仿宋" w:eastAsia="仿宋" w:cs="仿宋"/>
          <w:spacing w:val="-2"/>
          <w:sz w:val="32"/>
          <w:szCs w:val="32"/>
        </w:rPr>
        <w:t>按国家规定享受离休人员、红军老战士待遇人员的医疗</w:t>
      </w:r>
      <w:r>
        <w:rPr>
          <w:rFonts w:ascii="仿宋" w:hAnsi="仿宋" w:eastAsia="仿宋" w:cs="仿宋"/>
          <w:spacing w:val="-3"/>
          <w:sz w:val="32"/>
          <w:szCs w:val="32"/>
        </w:rPr>
        <w:t>经费。</w:t>
      </w:r>
    </w:p>
    <w:p>
      <w:pPr>
        <w:spacing w:before="257" w:line="319" w:lineRule="auto"/>
        <w:ind w:right="50"/>
        <w:rPr>
          <w:rFonts w:hint="eastAsia" w:ascii="仿宋" w:hAnsi="仿宋" w:eastAsia="仿宋" w:cs="仿宋"/>
          <w:spacing w:val="-16"/>
          <w:sz w:val="32"/>
          <w:szCs w:val="32"/>
          <w:lang w:val="en-US" w:eastAsia="zh-CN"/>
        </w:rPr>
        <w:sectPr>
          <w:footerReference r:id="rId5" w:type="default"/>
          <w:pgSz w:w="11906" w:h="16839"/>
          <w:pgMar w:top="1431" w:right="697" w:bottom="1169" w:left="1161" w:header="0" w:footer="990" w:gutter="0"/>
          <w:pgNumType w:fmt="decimal"/>
          <w:cols w:space="720" w:num="1"/>
        </w:sectPr>
      </w:pPr>
    </w:p>
    <w:p>
      <w:pPr>
        <w:pStyle w:val="16"/>
        <w:jc w:val="both"/>
        <w:rPr>
          <w:sz w:val="72"/>
          <w:szCs w:val="72"/>
        </w:rPr>
      </w:pPr>
    </w:p>
    <w:p>
      <w:pPr>
        <w:pStyle w:val="16"/>
        <w:jc w:val="center"/>
        <w:rPr>
          <w:sz w:val="72"/>
          <w:szCs w:val="72"/>
        </w:rPr>
      </w:pPr>
    </w:p>
    <w:p>
      <w:pPr>
        <w:pStyle w:val="16"/>
        <w:jc w:val="center"/>
        <w:rPr>
          <w:sz w:val="72"/>
          <w:szCs w:val="72"/>
        </w:rPr>
      </w:pPr>
    </w:p>
    <w:p>
      <w:pPr>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bookmarkStart w:id="3" w:name="_GoBack"/>
      <w:bookmarkEnd w:id="3"/>
    </w:p>
    <w:p>
      <w:pPr>
        <w:pStyle w:val="16"/>
        <w:numPr>
          <w:ilvl w:val="0"/>
          <w:numId w:val="3"/>
        </w:numPr>
        <w:spacing w:line="360" w:lineRule="auto"/>
        <w:jc w:val="center"/>
        <w:rPr>
          <w:rFonts w:hint="eastAsia" w:ascii="Times New Roman" w:hAnsi="Times New Roman" w:eastAsia="方正小标宋_GBK" w:cs="Times New Roman"/>
          <w:kern w:val="0"/>
          <w:sz w:val="52"/>
          <w:szCs w:val="52"/>
          <w:lang w:eastAsia="zh-CN"/>
        </w:rPr>
      </w:pP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附</w:t>
      </w:r>
      <w:r>
        <w:rPr>
          <w:rFonts w:hint="eastAsia" w:ascii="Times New Roman" w:hAnsi="Times New Roman" w:eastAsia="方正小标宋_GBK" w:cs="Times New Roman"/>
          <w:kern w:val="0"/>
          <w:sz w:val="52"/>
          <w:szCs w:val="52"/>
          <w:lang w:val="en-US" w:eastAsia="zh-CN"/>
        </w:rPr>
        <w:t xml:space="preserve"> </w:t>
      </w:r>
      <w:r>
        <w:rPr>
          <w:rFonts w:hint="eastAsia" w:ascii="Times New Roman" w:hAnsi="Times New Roman" w:eastAsia="方正小标宋_GBK" w:cs="Times New Roman"/>
          <w:kern w:val="0"/>
          <w:sz w:val="52"/>
          <w:szCs w:val="52"/>
          <w:lang w:eastAsia="zh-CN"/>
        </w:rPr>
        <w:t>件</w:t>
      </w:r>
    </w:p>
    <w:p>
      <w:pPr>
        <w:pStyle w:val="16"/>
        <w:numPr>
          <w:ilvl w:val="0"/>
          <w:numId w:val="0"/>
        </w:numPr>
        <w:spacing w:line="360" w:lineRule="auto"/>
        <w:jc w:val="both"/>
        <w:rPr>
          <w:rFonts w:hint="eastAsia" w:ascii="Times New Roman" w:hAnsi="Times New Roman" w:eastAsia="方正小标宋_GBK" w:cs="Times New Roman"/>
          <w:kern w:val="0"/>
          <w:sz w:val="52"/>
          <w:szCs w:val="52"/>
          <w:lang w:eastAsia="zh-CN"/>
        </w:rPr>
      </w:pPr>
    </w:p>
    <w:p>
      <w:pPr>
        <w:pStyle w:val="16"/>
        <w:jc w:val="center"/>
        <w:rPr>
          <w:rFonts w:hint="eastAsia" w:ascii="仿宋_GB2312" w:hAnsi="仿宋_GB2312" w:eastAsia="仿宋_GB2312" w:cs="仿宋_GB2312"/>
          <w:b w:val="0"/>
          <w:bCs/>
          <w:sz w:val="44"/>
          <w:szCs w:val="44"/>
        </w:rPr>
      </w:pPr>
      <w:r>
        <w:rPr>
          <w:rFonts w:hint="eastAsia" w:ascii="仿宋_GB2312" w:hAnsi="仿宋_GB2312" w:eastAsia="仿宋_GB2312" w:cs="仿宋_GB2312"/>
          <w:b w:val="0"/>
          <w:bCs/>
          <w:sz w:val="44"/>
          <w:szCs w:val="44"/>
        </w:rPr>
        <w:t>202</w:t>
      </w:r>
      <w:r>
        <w:rPr>
          <w:rFonts w:hint="eastAsia" w:ascii="仿宋_GB2312" w:hAnsi="仿宋_GB2312" w:eastAsia="仿宋_GB2312" w:cs="仿宋_GB2312"/>
          <w:b w:val="0"/>
          <w:bCs/>
          <w:sz w:val="44"/>
          <w:szCs w:val="44"/>
          <w:lang w:val="en-US" w:eastAsia="zh-CN"/>
        </w:rPr>
        <w:t>5</w:t>
      </w:r>
      <w:r>
        <w:rPr>
          <w:rFonts w:hint="eastAsia" w:ascii="仿宋_GB2312" w:hAnsi="仿宋_GB2312" w:eastAsia="仿宋_GB2312" w:cs="仿宋_GB2312"/>
          <w:b w:val="0"/>
          <w:bCs/>
          <w:sz w:val="44"/>
          <w:szCs w:val="44"/>
        </w:rPr>
        <w:t xml:space="preserve">年道县湘源温泉风景区事务中心       </w:t>
      </w:r>
      <w:r>
        <w:rPr>
          <w:rFonts w:hint="eastAsia" w:ascii="仿宋_GB2312" w:hAnsi="仿宋_GB2312" w:eastAsia="仿宋_GB2312" w:cs="仿宋_GB2312"/>
          <w:b w:val="0"/>
          <w:bCs/>
          <w:sz w:val="44"/>
          <w:szCs w:val="44"/>
          <w:lang w:val="en-US" w:eastAsia="zh-CN"/>
        </w:rPr>
        <w:t xml:space="preserve">              </w:t>
      </w:r>
      <w:r>
        <w:rPr>
          <w:rFonts w:hint="eastAsia" w:ascii="仿宋_GB2312" w:hAnsi="仿宋_GB2312" w:eastAsia="仿宋_GB2312" w:cs="仿宋_GB2312"/>
          <w:b w:val="0"/>
          <w:bCs/>
          <w:sz w:val="44"/>
          <w:szCs w:val="44"/>
        </w:rPr>
        <w:t>部门整体支出绩效评价报告</w:t>
      </w:r>
    </w:p>
    <w:p>
      <w:pPr>
        <w:rPr>
          <w:sz w:val="72"/>
          <w:szCs w:val="72"/>
        </w:rPr>
      </w:pPr>
    </w:p>
    <w:p>
      <w:pPr>
        <w:spacing w:line="360" w:lineRule="exact"/>
        <w:jc w:val="center"/>
        <w:rPr>
          <w:rFonts w:ascii="宋体"/>
          <w:b/>
          <w:sz w:val="44"/>
          <w:szCs w:val="44"/>
        </w:rPr>
      </w:pPr>
    </w:p>
    <w:p>
      <w:pPr>
        <w:jc w:val="left"/>
        <w:rPr>
          <w:rFonts w:cs="黑体" w:asciiTheme="minorEastAsia" w:hAnsiTheme="minorEastAsia"/>
          <w:color w:val="000000"/>
          <w:kern w:val="0"/>
          <w:sz w:val="32"/>
          <w:szCs w:val="32"/>
        </w:rPr>
      </w:pPr>
    </w:p>
    <w:sectPr>
      <w:footerReference r:id="rId6" w:type="default"/>
      <w:pgSz w:w="11906" w:h="16838"/>
      <w:pgMar w:top="720" w:right="720" w:bottom="720" w:left="720"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991"/>
      <w:rPr>
        <w:rFonts w:hint="eastAsia" w:ascii="黑体" w:hAnsi="黑体" w:eastAsia="黑体" w:cs="黑体"/>
        <w:sz w:val="18"/>
        <w:szCs w:val="18"/>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ind w:left="4512"/>
      <w:rPr>
        <w:rFonts w:ascii="黑体" w:hAnsi="黑体" w:eastAsia="黑体" w:cs="黑体"/>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ind w:left="4521"/>
      <w:rPr>
        <w:rFonts w:ascii="黑体" w:hAnsi="黑体" w:eastAsia="黑体" w:cs="黑体"/>
        <w:sz w:val="18"/>
        <w:szCs w:val="18"/>
      </w:rPr>
    </w:pPr>
    <w:r>
      <w:rPr>
        <w:rFonts w:ascii="黑体" w:hAnsi="黑体" w:eastAsia="黑体" w:cs="黑体"/>
        <w:spacing w:val="-5"/>
        <w:sz w:val="18"/>
        <w:szCs w:val="18"/>
      </w:rPr>
      <w:t>-</w:t>
    </w:r>
    <w:r>
      <w:rPr>
        <w:rFonts w:ascii="黑体" w:hAnsi="黑体" w:eastAsia="黑体" w:cs="黑体"/>
        <w:spacing w:val="16"/>
        <w:sz w:val="18"/>
        <w:szCs w:val="18"/>
      </w:rPr>
      <w:t xml:space="preserve"> </w:t>
    </w:r>
    <w:r>
      <w:rPr>
        <w:rFonts w:ascii="黑体" w:hAnsi="黑体" w:eastAsia="黑体" w:cs="黑体"/>
        <w:spacing w:val="-5"/>
        <w:sz w:val="18"/>
        <w:szCs w:val="18"/>
      </w:rPr>
      <w:t>12</w:t>
    </w:r>
    <w:r>
      <w:rPr>
        <w:rFonts w:ascii="黑体" w:hAnsi="黑体" w:eastAsia="黑体" w:cs="黑体"/>
        <w:spacing w:val="3"/>
        <w:sz w:val="18"/>
        <w:szCs w:val="18"/>
      </w:rPr>
      <w:t xml:space="preserve"> </w:t>
    </w:r>
    <w:r>
      <w:rPr>
        <w:rFonts w:ascii="黑体" w:hAnsi="黑体" w:eastAsia="黑体" w:cs="黑体"/>
        <w:spacing w:val="-5"/>
        <w:sz w:val="18"/>
        <w:szCs w:val="1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BEF006"/>
    <w:multiLevelType w:val="singleLevel"/>
    <w:tmpl w:val="F9BEF006"/>
    <w:lvl w:ilvl="0" w:tentative="0">
      <w:start w:val="5"/>
      <w:numFmt w:val="chineseCounting"/>
      <w:suff w:val="space"/>
      <w:lvlText w:val="第%1部分"/>
      <w:lvlJc w:val="left"/>
      <w:rPr>
        <w:rFonts w:hint="eastAsia"/>
      </w:rPr>
    </w:lvl>
  </w:abstractNum>
  <w:abstractNum w:abstractNumId="1">
    <w:nsid w:val="4F2A7601"/>
    <w:multiLevelType w:val="singleLevel"/>
    <w:tmpl w:val="4F2A7601"/>
    <w:lvl w:ilvl="0" w:tentative="0">
      <w:start w:val="4"/>
      <w:numFmt w:val="decimal"/>
      <w:suff w:val="nothing"/>
      <w:lvlText w:val="%1、"/>
      <w:lvlJc w:val="left"/>
    </w:lvl>
  </w:abstractNum>
  <w:abstractNum w:abstractNumId="2">
    <w:nsid w:val="50EA1456"/>
    <w:multiLevelType w:val="singleLevel"/>
    <w:tmpl w:val="50EA1456"/>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mN2Q2NjNlM2M3NWQyODAxNzQyOGZiOTQ1MmZhZmU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41A30"/>
    <w:rsid w:val="00D63780"/>
    <w:rsid w:val="00D644EE"/>
    <w:rsid w:val="00DD06FF"/>
    <w:rsid w:val="00DD5FE9"/>
    <w:rsid w:val="00E00C7A"/>
    <w:rsid w:val="00E37D6C"/>
    <w:rsid w:val="00E55B68"/>
    <w:rsid w:val="00E561AE"/>
    <w:rsid w:val="00E67BE6"/>
    <w:rsid w:val="00E709D2"/>
    <w:rsid w:val="00E8683C"/>
    <w:rsid w:val="00EA2B72"/>
    <w:rsid w:val="00F74360"/>
    <w:rsid w:val="00FB462F"/>
    <w:rsid w:val="00FE16FA"/>
    <w:rsid w:val="00FE328A"/>
    <w:rsid w:val="00FE6269"/>
    <w:rsid w:val="00FF5CD6"/>
    <w:rsid w:val="0195012C"/>
    <w:rsid w:val="01ED0944"/>
    <w:rsid w:val="03B67E12"/>
    <w:rsid w:val="043D2ADF"/>
    <w:rsid w:val="05312901"/>
    <w:rsid w:val="07414AB9"/>
    <w:rsid w:val="074714EC"/>
    <w:rsid w:val="08A44DD0"/>
    <w:rsid w:val="098A6022"/>
    <w:rsid w:val="09B96F87"/>
    <w:rsid w:val="0B3B3792"/>
    <w:rsid w:val="0C085D6A"/>
    <w:rsid w:val="0C97147D"/>
    <w:rsid w:val="0CA23AC9"/>
    <w:rsid w:val="0E2428A3"/>
    <w:rsid w:val="10C255F7"/>
    <w:rsid w:val="11187673"/>
    <w:rsid w:val="115E2A84"/>
    <w:rsid w:val="11DF3938"/>
    <w:rsid w:val="13404BBB"/>
    <w:rsid w:val="134A4CB7"/>
    <w:rsid w:val="13CF716E"/>
    <w:rsid w:val="15CA22E2"/>
    <w:rsid w:val="16D03928"/>
    <w:rsid w:val="17591340"/>
    <w:rsid w:val="17982698"/>
    <w:rsid w:val="192521E3"/>
    <w:rsid w:val="1A8F2083"/>
    <w:rsid w:val="1B693089"/>
    <w:rsid w:val="1D97DEFF"/>
    <w:rsid w:val="1DBA36BD"/>
    <w:rsid w:val="1DFF72E5"/>
    <w:rsid w:val="1E3D079A"/>
    <w:rsid w:val="1EFC6F07"/>
    <w:rsid w:val="1F00195E"/>
    <w:rsid w:val="21B66712"/>
    <w:rsid w:val="21D824FF"/>
    <w:rsid w:val="23AD259D"/>
    <w:rsid w:val="255E53E7"/>
    <w:rsid w:val="276C4DC7"/>
    <w:rsid w:val="280C5DC8"/>
    <w:rsid w:val="29BD6F48"/>
    <w:rsid w:val="2A032B90"/>
    <w:rsid w:val="2BE92090"/>
    <w:rsid w:val="2CC2587F"/>
    <w:rsid w:val="2F556B8E"/>
    <w:rsid w:val="2FA01C92"/>
    <w:rsid w:val="2FC45FC1"/>
    <w:rsid w:val="2FDF85B8"/>
    <w:rsid w:val="2FFFEE04"/>
    <w:rsid w:val="305E02F8"/>
    <w:rsid w:val="30E92033"/>
    <w:rsid w:val="30F86B23"/>
    <w:rsid w:val="33390740"/>
    <w:rsid w:val="34111416"/>
    <w:rsid w:val="34DF85B0"/>
    <w:rsid w:val="34EC597A"/>
    <w:rsid w:val="350533A7"/>
    <w:rsid w:val="358F4C0D"/>
    <w:rsid w:val="38FC359A"/>
    <w:rsid w:val="3B8F36BC"/>
    <w:rsid w:val="3C3473CD"/>
    <w:rsid w:val="3C7B0D49"/>
    <w:rsid w:val="3C9F5035"/>
    <w:rsid w:val="3D78424E"/>
    <w:rsid w:val="40751DDF"/>
    <w:rsid w:val="430E62A6"/>
    <w:rsid w:val="449C785A"/>
    <w:rsid w:val="45055191"/>
    <w:rsid w:val="46113492"/>
    <w:rsid w:val="46BC262A"/>
    <w:rsid w:val="487A5757"/>
    <w:rsid w:val="491FF225"/>
    <w:rsid w:val="49221512"/>
    <w:rsid w:val="4CAC41B8"/>
    <w:rsid w:val="4EE61066"/>
    <w:rsid w:val="4FFD214C"/>
    <w:rsid w:val="50395ABF"/>
    <w:rsid w:val="50A70C7B"/>
    <w:rsid w:val="55D34C97"/>
    <w:rsid w:val="563B7676"/>
    <w:rsid w:val="56B91708"/>
    <w:rsid w:val="57715950"/>
    <w:rsid w:val="5777D4F5"/>
    <w:rsid w:val="57D943D5"/>
    <w:rsid w:val="58D866C5"/>
    <w:rsid w:val="59D82326"/>
    <w:rsid w:val="59DD8326"/>
    <w:rsid w:val="5BF23559"/>
    <w:rsid w:val="5BF9252B"/>
    <w:rsid w:val="5CED4F6D"/>
    <w:rsid w:val="5D5D166D"/>
    <w:rsid w:val="5DEF592A"/>
    <w:rsid w:val="5E203449"/>
    <w:rsid w:val="5E3E0745"/>
    <w:rsid w:val="5E595AB0"/>
    <w:rsid w:val="5E9B11C8"/>
    <w:rsid w:val="5F381638"/>
    <w:rsid w:val="5FA928BE"/>
    <w:rsid w:val="5FC6BB1E"/>
    <w:rsid w:val="5FF720F1"/>
    <w:rsid w:val="60152297"/>
    <w:rsid w:val="6033338F"/>
    <w:rsid w:val="60411354"/>
    <w:rsid w:val="6047454F"/>
    <w:rsid w:val="60D96EE2"/>
    <w:rsid w:val="61905CE1"/>
    <w:rsid w:val="635C502F"/>
    <w:rsid w:val="63B868A3"/>
    <w:rsid w:val="64227D5B"/>
    <w:rsid w:val="64945303"/>
    <w:rsid w:val="666F593F"/>
    <w:rsid w:val="67A8B663"/>
    <w:rsid w:val="67FF5C0B"/>
    <w:rsid w:val="68501739"/>
    <w:rsid w:val="6A38073E"/>
    <w:rsid w:val="6B730C63"/>
    <w:rsid w:val="6C3F7B62"/>
    <w:rsid w:val="6C832144"/>
    <w:rsid w:val="6D321474"/>
    <w:rsid w:val="6D3631F9"/>
    <w:rsid w:val="6DAD3D37"/>
    <w:rsid w:val="6E676172"/>
    <w:rsid w:val="6EFC0924"/>
    <w:rsid w:val="6FA0387E"/>
    <w:rsid w:val="6FB74722"/>
    <w:rsid w:val="6FCC12D7"/>
    <w:rsid w:val="6FEF8B7E"/>
    <w:rsid w:val="71196940"/>
    <w:rsid w:val="71A6591B"/>
    <w:rsid w:val="71B90114"/>
    <w:rsid w:val="71F53537"/>
    <w:rsid w:val="72231CD3"/>
    <w:rsid w:val="72773C67"/>
    <w:rsid w:val="733C7E7A"/>
    <w:rsid w:val="737D59BA"/>
    <w:rsid w:val="73B87538"/>
    <w:rsid w:val="73DE103D"/>
    <w:rsid w:val="747A18CA"/>
    <w:rsid w:val="77C37683"/>
    <w:rsid w:val="78811502"/>
    <w:rsid w:val="789C1508"/>
    <w:rsid w:val="79AE3CFA"/>
    <w:rsid w:val="79FF515B"/>
    <w:rsid w:val="7C907F65"/>
    <w:rsid w:val="7D2C6EDF"/>
    <w:rsid w:val="7D8168BC"/>
    <w:rsid w:val="7E132BFC"/>
    <w:rsid w:val="7E9E1962"/>
    <w:rsid w:val="7E9F11B4"/>
    <w:rsid w:val="7E9F26E2"/>
    <w:rsid w:val="7EFF14B0"/>
    <w:rsid w:val="7F37EC1E"/>
    <w:rsid w:val="7F7DCD9D"/>
    <w:rsid w:val="7F970A6F"/>
    <w:rsid w:val="7FC1FFF3"/>
    <w:rsid w:val="7FC69637"/>
    <w:rsid w:val="7FDF8620"/>
    <w:rsid w:val="7FEECB86"/>
    <w:rsid w:val="7FFB242F"/>
    <w:rsid w:val="7FFDB408"/>
    <w:rsid w:val="7FFE4EEB"/>
    <w:rsid w:val="95FB2B98"/>
    <w:rsid w:val="9A639BC2"/>
    <w:rsid w:val="9FF7D786"/>
    <w:rsid w:val="ABBFB23D"/>
    <w:rsid w:val="C3B4DA5A"/>
    <w:rsid w:val="CBFF70E0"/>
    <w:rsid w:val="CFF50B82"/>
    <w:rsid w:val="CFFFAD89"/>
    <w:rsid w:val="DFFE359E"/>
    <w:rsid w:val="DFFE4FFD"/>
    <w:rsid w:val="EEABED75"/>
    <w:rsid w:val="EFFD9E99"/>
    <w:rsid w:val="F56FDF51"/>
    <w:rsid w:val="F6B69F17"/>
    <w:rsid w:val="F6F514E3"/>
    <w:rsid w:val="F77F1D61"/>
    <w:rsid w:val="F7FED3A9"/>
    <w:rsid w:val="F8C9DB26"/>
    <w:rsid w:val="F97E8EAE"/>
    <w:rsid w:val="FB36E1A6"/>
    <w:rsid w:val="FB3BE134"/>
    <w:rsid w:val="FCFF4275"/>
    <w:rsid w:val="FD7FEEEA"/>
    <w:rsid w:val="FDFFB577"/>
    <w:rsid w:val="FEEA50FE"/>
    <w:rsid w:val="FF7D47A9"/>
    <w:rsid w:val="FFCF21CB"/>
    <w:rsid w:val="FFD7F91A"/>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Plain Text"/>
    <w:basedOn w:val="1"/>
    <w:qFormat/>
    <w:uiPriority w:val="0"/>
    <w:rPr>
      <w:rFonts w:ascii="宋体" w:hAnsi="Courier New" w:eastAsia="宋体"/>
    </w:r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4"/>
    <w:semiHidden/>
    <w:qFormat/>
    <w:uiPriority w:val="0"/>
    <w:pPr>
      <w:snapToGrid w:val="0"/>
      <w:jc w:val="left"/>
    </w:pPr>
    <w:rPr>
      <w:sz w:val="18"/>
      <w:szCs w:val="18"/>
    </w:rPr>
  </w:style>
  <w:style w:type="paragraph" w:styleId="10">
    <w:name w:val="Normal (Web)"/>
    <w:basedOn w:val="1"/>
    <w:unhideWhenUsed/>
    <w:qFormat/>
    <w:uiPriority w:val="99"/>
    <w:pPr>
      <w:spacing w:before="100" w:beforeAutospacing="1" w:after="100" w:afterAutospacing="1"/>
      <w:jc w:val="left"/>
    </w:pPr>
    <w:rPr>
      <w:rFonts w:ascii="Calibri" w:hAnsi="Calibri"/>
      <w:kern w:val="0"/>
      <w:sz w:val="24"/>
      <w:szCs w:val="24"/>
    </w:rPr>
  </w:style>
  <w:style w:type="paragraph" w:styleId="11">
    <w:name w:val="Body Text First Indent"/>
    <w:basedOn w:val="2"/>
    <w:qFormat/>
    <w:uiPriority w:val="0"/>
    <w:pPr>
      <w:spacing w:line="360" w:lineRule="auto"/>
      <w:ind w:firstLine="420" w:firstLineChars="100"/>
    </w:pPr>
    <w:rPr>
      <w:rFonts w:eastAsia="华文仿宋"/>
      <w:sz w:val="30"/>
      <w:szCs w:val="21"/>
    </w:rPr>
  </w:style>
  <w:style w:type="character" w:customStyle="1" w:styleId="14">
    <w:name w:val="页眉 Char"/>
    <w:basedOn w:val="13"/>
    <w:link w:val="8"/>
    <w:qFormat/>
    <w:uiPriority w:val="99"/>
    <w:rPr>
      <w:sz w:val="18"/>
      <w:szCs w:val="18"/>
    </w:rPr>
  </w:style>
  <w:style w:type="character" w:customStyle="1" w:styleId="15">
    <w:name w:val="页脚 Char"/>
    <w:basedOn w:val="13"/>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6"/>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6308</Words>
  <Characters>7589</Characters>
  <Lines>63</Lines>
  <Paragraphs>18</Paragraphs>
  <TotalTime>11</TotalTime>
  <ScaleCrop>false</ScaleCrop>
  <LinksUpToDate>false</LinksUpToDate>
  <CharactersWithSpaces>8556</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2020-07-08T18:32:00Z</dcterms:created>
  <dc:creator>李航 null</dc:creator>
  <cp:lastModifiedBy>蒋琼</cp:lastModifiedBy>
  <cp:lastPrinted>2024-08-09T02:20:00Z</cp:lastPrinted>
  <dcterms:modified xsi:type="dcterms:W3CDTF">2026-09-15T03:20:57Z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98519A27963D4771B64F88C25408AA17_12</vt:lpwstr>
  </property>
  <property fmtid="{D5CDD505-2E9C-101B-9397-08002B2CF9AE}" pid="4" name="KSOTemplateDocerSaveRecord">
    <vt:lpwstr>eyJoZGlkIjoiZjBmN2Q2NjNlM2M3NWQyODAxNzQyOGZiOTQ1MmZhZmUiLCJ1c2VySWQiOiI2MDMzNzQ5ODkifQ==</vt:lpwstr>
  </property>
</Properties>
</file>