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p>
                  </w:txbxContent>
                </v:textbox>
              </v:shape>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5"/>
        <w:jc w:val="center"/>
        <w:rPr>
          <w:rFonts w:hint="eastAsia" w:ascii="方正小标宋_GBK" w:hAnsi="方正小标宋_GBK" w:eastAsia="方正小标宋_GBK" w:cs="方正小标宋_GBK"/>
          <w:sz w:val="56"/>
          <w:szCs w:val="56"/>
        </w:rPr>
      </w:pPr>
      <w:r>
        <w:rPr>
          <w:rFonts w:hint="eastAsia" w:ascii="方正小标宋_GBK" w:hAnsi="方正小标宋_GBK" w:eastAsia="方正小标宋_GBK" w:cs="方正小标宋_GBK"/>
          <w:sz w:val="84"/>
          <w:szCs w:val="84"/>
        </w:rPr>
        <w:t>道县第五中学部门决算</w:t>
      </w: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spacing w:line="540" w:lineRule="exact"/>
        <w:jc w:val="center"/>
        <w:rPr>
          <w:sz w:val="56"/>
          <w:szCs w:val="56"/>
        </w:rPr>
      </w:pPr>
    </w:p>
    <w:p>
      <w:pPr>
        <w:pStyle w:val="15"/>
        <w:spacing w:line="500" w:lineRule="exact"/>
        <w:jc w:val="both"/>
        <w:rPr>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道县第五中学</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ind w:firstLine="700" w:firstLineChars="25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val="en-US" w:eastAsia="zh-CN"/>
        </w:rPr>
        <w:t>及决算单位构成</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5"/>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道县第五中学</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both"/>
        <w:rPr>
          <w:sz w:val="72"/>
          <w:szCs w:val="72"/>
        </w:rPr>
      </w:pPr>
    </w:p>
    <w:p>
      <w:pPr>
        <w:jc w:val="both"/>
        <w:rPr>
          <w:sz w:val="72"/>
          <w:szCs w:val="72"/>
        </w:rPr>
      </w:pPr>
    </w:p>
    <w:p>
      <w:pPr>
        <w:jc w:val="both"/>
        <w:rPr>
          <w:sz w:val="72"/>
          <w:szCs w:val="72"/>
        </w:rPr>
      </w:pPr>
    </w:p>
    <w:p>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道县第五中学的主要职责是</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 xml:space="preserve">道县第五中学是一所集初中、高中为一校的六年一贯制学校，坚持教书育人、管理育人，坚持学校教育、家庭教育和社会教育相结合，以全面贯彻党的教育方针，全面实施素质教育为办学目标。 </w:t>
      </w:r>
    </w:p>
    <w:p>
      <w:pPr>
        <w:widowControl/>
        <w:numPr>
          <w:ilvl w:val="0"/>
          <w:numId w:val="0"/>
        </w:numPr>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sz w:val="32"/>
          <w:szCs w:val="32"/>
        </w:rPr>
        <w:t>道县第五中学属全额拨款教育事业公益性单位</w:t>
      </w:r>
      <w:r>
        <w:rPr>
          <w:rFonts w:hint="eastAsia" w:ascii="Times New Roman" w:hAnsi="Times New Roman" w:eastAsia="仿宋_GB2312" w:cs="仿宋_GB2312"/>
          <w:sz w:val="32"/>
          <w:szCs w:val="32"/>
          <w:lang w:eastAsia="zh-CN"/>
        </w:rPr>
        <w:t>。</w:t>
      </w:r>
    </w:p>
    <w:p>
      <w:pPr>
        <w:widowControl/>
        <w:spacing w:line="600" w:lineRule="exact"/>
        <w:ind w:firstLine="640" w:firstLineChars="200"/>
        <w:rPr>
          <w:rFonts w:hint="default" w:ascii="仿宋_GB2312" w:eastAsia="仿宋_GB2312" w:hAnsiTheme="minorEastAsia"/>
          <w:sz w:val="28"/>
          <w:szCs w:val="32"/>
          <w:lang w:val="en-US"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sz w:val="32"/>
          <w:szCs w:val="32"/>
        </w:rPr>
        <w:t>道县第五中学部门只有本级，没有其他二级预算单位，因此，纳入</w:t>
      </w:r>
      <w:r>
        <w:rPr>
          <w:rFonts w:hint="eastAsia" w:ascii="Times New Roman" w:hAnsi="Times New Roman" w:eastAsia="仿宋_GB2312" w:cs="仿宋_GB2312"/>
          <w:sz w:val="32"/>
          <w:szCs w:val="32"/>
          <w:lang w:eastAsia="zh-CN"/>
        </w:rPr>
        <w:t>2025</w:t>
      </w:r>
      <w:r>
        <w:rPr>
          <w:rFonts w:hint="eastAsia" w:ascii="Times New Roman" w:hAnsi="Times New Roman" w:eastAsia="仿宋_GB2312" w:cs="仿宋_GB2312"/>
          <w:sz w:val="32"/>
          <w:szCs w:val="32"/>
        </w:rPr>
        <w:t>年部门</w:t>
      </w:r>
      <w:r>
        <w:rPr>
          <w:rFonts w:hint="eastAsia" w:ascii="Times New Roman" w:hAnsi="Times New Roman" w:eastAsia="仿宋_GB2312" w:cs="仿宋_GB2312"/>
          <w:sz w:val="32"/>
          <w:szCs w:val="32"/>
          <w:lang w:eastAsia="zh-CN"/>
        </w:rPr>
        <w:t>决算</w:t>
      </w:r>
      <w:r>
        <w:rPr>
          <w:rFonts w:hint="eastAsia" w:ascii="Times New Roman" w:hAnsi="Times New Roman" w:eastAsia="仿宋_GB2312" w:cs="仿宋_GB2312"/>
          <w:sz w:val="32"/>
          <w:szCs w:val="32"/>
        </w:rPr>
        <w:t>编制范围的只有道县第五中学本级。</w:t>
      </w:r>
      <w:r>
        <w:rPr>
          <w:rFonts w:hint="eastAsia" w:ascii="Times New Roman" w:hAnsi="Times New Roman" w:eastAsia="仿宋_GB2312" w:cs="仿宋_GB2312"/>
          <w:sz w:val="32"/>
          <w:szCs w:val="32"/>
          <w:lang w:val="en-US" w:eastAsia="zh-CN"/>
        </w:rPr>
        <w:t>上年度在编教师278人，本年度317人。</w:t>
      </w: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264"/>
        <w:gridCol w:w="580"/>
        <w:gridCol w:w="1167"/>
        <w:gridCol w:w="1809"/>
        <w:gridCol w:w="1809"/>
        <w:gridCol w:w="1809"/>
        <w:gridCol w:w="1809"/>
        <w:gridCol w:w="1809"/>
        <w:gridCol w:w="1809"/>
        <w:gridCol w:w="2563"/>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06"/>
              <w:gridCol w:w="565"/>
              <w:gridCol w:w="1250"/>
              <w:gridCol w:w="4423"/>
              <w:gridCol w:w="1866"/>
              <w:gridCol w:w="644"/>
              <w:gridCol w:w="865"/>
              <w:gridCol w:w="18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06"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5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42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10"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744"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06"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部门：道县第五中学</w:t>
                  </w:r>
                </w:p>
              </w:tc>
              <w:tc>
                <w:tcPr>
                  <w:tcW w:w="5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5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42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10"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744"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572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79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62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4489.12</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637.48</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5126.60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5126.60</w:t>
                  </w:r>
                </w:p>
              </w:tc>
              <w:tc>
                <w:tcPr>
                  <w:tcW w:w="4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5126.60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62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79" w:type="dxa"/>
                <w:trHeight w:val="448" w:hRule="atLeast"/>
              </w:trPr>
              <w:tc>
                <w:tcPr>
                  <w:tcW w:w="39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5126.60</w:t>
                  </w:r>
                </w:p>
              </w:tc>
              <w:tc>
                <w:tcPr>
                  <w:tcW w:w="44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5126.60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pStyle w:val="8"/>
                    <w:rPr>
                      <w:rFonts w:hint="eastAsia"/>
                      <w:lang w:val="en-US" w:eastAsia="zh-CN"/>
                    </w:rPr>
                  </w:pPr>
                </w:p>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6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6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84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16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201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8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80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8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8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84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16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84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67"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2011"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8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8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8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8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2011"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5126.60</w:t>
            </w: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ascii="宋体" w:hAnsi="宋体" w:eastAsia="宋体" w:cs="宋体"/>
                <w:i w:val="0"/>
                <w:color w:val="000000"/>
                <w:sz w:val="22"/>
                <w:szCs w:val="22"/>
                <w:u w:val="none"/>
                <w:lang w:val="en-US" w:eastAsia="zh-CN"/>
              </w:rPr>
              <w:t>4489.12</w:t>
            </w: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ascii="宋体" w:hAnsi="宋体" w:eastAsia="宋体" w:cs="宋体"/>
                <w:i w:val="0"/>
                <w:color w:val="000000"/>
                <w:sz w:val="22"/>
                <w:szCs w:val="22"/>
                <w:u w:val="none"/>
                <w:lang w:val="en-US" w:eastAsia="zh-CN"/>
              </w:rPr>
              <w:t>637.48</w:t>
            </w: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2050204</w:t>
            </w:r>
          </w:p>
        </w:tc>
        <w:tc>
          <w:tcPr>
            <w:tcW w:w="11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高中教育</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5126.60</w:t>
            </w: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4489.12</w:t>
            </w: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637.48</w:t>
            </w: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5126.60</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5126.60</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r>
              <w:rPr>
                <w:rFonts w:hint="eastAsia"/>
              </w:rPr>
              <w:t>2050204</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r>
              <w:rPr>
                <w:rFonts w:hint="eastAsia"/>
              </w:rPr>
              <w:t>　高中教育</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5126.60</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5126.60</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0"/>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4489.12</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87"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4489.12</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color w:val="000000"/>
                <w:sz w:val="22"/>
                <w:szCs w:val="22"/>
                <w:u w:val="none"/>
                <w:lang w:val="en-US" w:eastAsia="zh-CN"/>
              </w:rPr>
              <w:t>4489.12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color w:val="000000"/>
                <w:sz w:val="22"/>
                <w:szCs w:val="22"/>
                <w:u w:val="none"/>
                <w:lang w:val="en-US" w:eastAsia="zh-CN"/>
              </w:rPr>
              <w:t>4489.12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高中教育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4489.12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4489.12</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954"/>
        <w:gridCol w:w="2"/>
        <w:gridCol w:w="237"/>
        <w:gridCol w:w="1328"/>
        <w:gridCol w:w="1943"/>
        <w:gridCol w:w="97"/>
        <w:gridCol w:w="1345"/>
        <w:gridCol w:w="883"/>
        <w:gridCol w:w="167"/>
        <w:gridCol w:w="1893"/>
        <w:gridCol w:w="146"/>
        <w:gridCol w:w="1477"/>
        <w:gridCol w:w="711"/>
        <w:gridCol w:w="273"/>
        <w:gridCol w:w="1727"/>
        <w:gridCol w:w="1039"/>
        <w:gridCol w:w="1075"/>
        <w:gridCol w:w="292"/>
      </w:tblGrid>
      <w:tr>
        <w:tblPrEx>
          <w:tblCellMar>
            <w:top w:w="0" w:type="dxa"/>
            <w:left w:w="108" w:type="dxa"/>
            <w:bottom w:w="0" w:type="dxa"/>
            <w:right w:w="108" w:type="dxa"/>
          </w:tblCellMar>
        </w:tblPrEx>
        <w:trPr>
          <w:trHeight w:val="113" w:hRule="atLeast"/>
        </w:trPr>
        <w:tc>
          <w:tcPr>
            <w:tcW w:w="15589"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单位：元</w:t>
            </w:r>
          </w:p>
        </w:tc>
      </w:tr>
      <w:tr>
        <w:tblPrEx>
          <w:tblCellMar>
            <w:top w:w="0" w:type="dxa"/>
            <w:left w:w="108" w:type="dxa"/>
            <w:bottom w:w="0" w:type="dxa"/>
            <w:right w:w="108" w:type="dxa"/>
          </w:tblCellMar>
        </w:tblPrEx>
        <w:trPr>
          <w:trHeight w:val="113" w:hRule="atLeast"/>
        </w:trPr>
        <w:tc>
          <w:tcPr>
            <w:tcW w:w="95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508"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44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62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8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76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6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39163333.18</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5607626</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16856098.50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1608300.97</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578935.00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126001</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9271447.00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5209460.00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430906.13</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3668607.20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257937.92</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918154.92</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1875708.32</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120531.29</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tabs>
                <w:tab w:val="left" w:pos="518"/>
              </w:tabs>
              <w:jc w:val="lef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404442.48</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tabs>
                <w:tab w:val="left" w:pos="513"/>
              </w:tabs>
              <w:jc w:val="lef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Cs w:val="20"/>
                <w:lang w:eastAsia="zh-CN"/>
              </w:rPr>
              <w:t>1971035.41</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tabs>
                <w:tab w:val="left" w:pos="323"/>
              </w:tabs>
              <w:jc w:val="lef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Cs w:val="20"/>
                <w:lang w:eastAsia="zh-CN"/>
              </w:rPr>
              <w:t>380479.7</w:t>
            </w:r>
            <w:r>
              <w:rPr>
                <w:rFonts w:hint="eastAsia" w:ascii="宋体" w:hAnsi="宋体" w:eastAsia="宋体" w:cs="宋体"/>
                <w:color w:val="000000"/>
                <w:kern w:val="0"/>
                <w:szCs w:val="20"/>
                <w:lang w:val="en-US" w:eastAsia="zh-CN"/>
              </w:rPr>
              <w:t>6</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120220.00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tabs>
                <w:tab w:val="left" w:pos="378"/>
              </w:tabs>
              <w:jc w:val="lef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Cs w:val="20"/>
                <w:lang w:eastAsia="zh-CN"/>
              </w:rPr>
              <w:t>271161.00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tabs>
                <w:tab w:val="left" w:pos="498"/>
              </w:tabs>
              <w:jc w:val="lef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Cs w:val="20"/>
                <w:lang w:eastAsia="zh-CN"/>
              </w:rPr>
              <w:t>267960.00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120220.00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116460.00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tabs>
                <w:tab w:val="left" w:pos="498"/>
              </w:tabs>
              <w:jc w:val="lef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Cs w:val="20"/>
                <w:lang w:eastAsia="zh-CN"/>
              </w:rPr>
              <w:t>254400.00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2089.00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95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5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44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p>
        </w:tc>
        <w:tc>
          <w:tcPr>
            <w:tcW w:w="88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6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6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color w:val="000000"/>
                <w:kern w:val="0"/>
                <w:szCs w:val="20"/>
              </w:rPr>
              <w:t>180843.28</w:t>
            </w:r>
          </w:p>
        </w:tc>
        <w:tc>
          <w:tcPr>
            <w:tcW w:w="98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36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46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4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39283553.18</w:t>
            </w:r>
          </w:p>
        </w:tc>
        <w:tc>
          <w:tcPr>
            <w:tcW w:w="8316"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3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rPr>
            </w:pPr>
            <w:r>
              <w:rPr>
                <w:rFonts w:hint="eastAsia" w:ascii="宋体" w:hAnsi="宋体" w:eastAsia="宋体" w:cs="宋体"/>
                <w:color w:val="000000"/>
                <w:kern w:val="0"/>
                <w:szCs w:val="18"/>
                <w:lang w:val="en-US" w:eastAsia="zh-CN"/>
              </w:rPr>
              <w:t>5607626</w:t>
            </w:r>
            <w:r>
              <w:rPr>
                <w:rFonts w:hint="eastAsia" w:ascii="宋体" w:hAnsi="宋体" w:eastAsia="宋体" w:cs="宋体"/>
                <w:color w:val="000000"/>
                <w:kern w:val="0"/>
                <w:szCs w:val="18"/>
              </w:rPr>
              <w:t>　</w:t>
            </w:r>
            <w:r>
              <w:rPr>
                <w:rFonts w:hint="eastAsia"/>
              </w:rPr>
              <w:t>16408212.04</w:t>
            </w:r>
          </w:p>
          <w:p>
            <w:pPr>
              <w:widowControl/>
              <w:jc w:val="left"/>
              <w:rPr>
                <w:rFonts w:ascii="宋体" w:hAnsi="宋体" w:eastAsia="宋体" w:cs="宋体"/>
                <w:color w:val="000000"/>
                <w:kern w:val="0"/>
                <w:szCs w:val="18"/>
              </w:rPr>
            </w:pPr>
          </w:p>
        </w:tc>
      </w:tr>
      <w:tr>
        <w:tblPrEx>
          <w:tblCellMar>
            <w:top w:w="0" w:type="dxa"/>
            <w:left w:w="108" w:type="dxa"/>
            <w:bottom w:w="0" w:type="dxa"/>
            <w:right w:w="108" w:type="dxa"/>
          </w:tblCellMar>
        </w:tblPrEx>
        <w:trPr>
          <w:trHeight w:val="284" w:hRule="exact"/>
        </w:trPr>
        <w:tc>
          <w:tcPr>
            <w:tcW w:w="15589"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690" w:hRule="atLeast"/>
        </w:trPr>
        <w:tc>
          <w:tcPr>
            <w:tcW w:w="15297"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345" w:hRule="atLeast"/>
        </w:trPr>
        <w:tc>
          <w:tcPr>
            <w:tcW w:w="954"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2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4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39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3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8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0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4"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690" w:hRule="atLeast"/>
        </w:trPr>
        <w:tc>
          <w:tcPr>
            <w:tcW w:w="954"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2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4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39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3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8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0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4"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459" w:hRule="atLeast"/>
        </w:trPr>
        <w:tc>
          <w:tcPr>
            <w:tcW w:w="25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20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3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609" w:hRule="atLeast"/>
        </w:trPr>
        <w:tc>
          <w:tcPr>
            <w:tcW w:w="11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0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3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409" w:hRule="atLeast"/>
        </w:trPr>
        <w:tc>
          <w:tcPr>
            <w:tcW w:w="11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11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25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25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1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1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1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1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1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509" w:hRule="atLeast"/>
        </w:trPr>
        <w:tc>
          <w:tcPr>
            <w:tcW w:w="1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2" w:type="dxa"/>
          <w:trHeight w:val="725" w:hRule="atLeast"/>
        </w:trPr>
        <w:tc>
          <w:tcPr>
            <w:tcW w:w="15297"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5126.60</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减少850.10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减少14.20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学校学生人数变动，老师人数变动，相应经费变动。</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5126.60</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87.57</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637.48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12.43</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5126.60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5126.60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5"/>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减少840.74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减少15.8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学校学生人数变动，老师人数变动，相应经费变动。</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87.57</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减少840.74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减少15.8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学校学生人数变动，老师人数变动，相应经费变动。</w:t>
      </w:r>
    </w:p>
    <w:p>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万元，主要用于以下方面：教育（类）支出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Style w:val="19"/>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教育支出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普通教育</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高中教育</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4489.12</w:t>
      </w:r>
      <w:r>
        <w:rPr>
          <w:rFonts w:hint="eastAsia" w:ascii="Times New Roman" w:hAnsi="Times New Roman" w:eastAsia="仿宋_GB2312"/>
          <w:sz w:val="32"/>
          <w:szCs w:val="32"/>
        </w:rPr>
        <w:t>万元，其中：</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3928.36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87.51</w:t>
      </w:r>
      <w:r>
        <w:rPr>
          <w:rFonts w:hint="eastAsia" w:ascii="Times New Roman" w:hAnsi="Times New Roman" w:eastAsia="仿宋_GB2312"/>
          <w:sz w:val="32"/>
          <w:szCs w:val="32"/>
        </w:rPr>
        <w:t>%,主要包括基本工资、津贴补贴、绩效工资</w:t>
      </w:r>
      <w:r>
        <w:rPr>
          <w:rFonts w:hint="eastAsia" w:ascii="Times New Roman" w:hAnsi="Times New Roman" w:eastAsia="仿宋_GB2312"/>
          <w:sz w:val="32"/>
          <w:szCs w:val="32"/>
          <w:lang w:eastAsia="zh-CN"/>
        </w:rPr>
        <w:t>、机关事业单位基本养老保险缴费、职业年金缴费、职工基本医疗保险缴费、其他社会保障缴费、住房公积金、抚恤金、其他对个人和家庭的补助。</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sz w:val="32"/>
          <w:szCs w:val="32"/>
          <w:lang w:eastAsia="zh-CN"/>
        </w:rPr>
        <w:t>公用经费</w:t>
      </w:r>
      <w:r>
        <w:rPr>
          <w:rFonts w:hint="eastAsia" w:ascii="Times New Roman" w:hAnsi="Times New Roman" w:eastAsia="仿宋_GB2312"/>
          <w:sz w:val="32"/>
          <w:szCs w:val="32"/>
          <w:lang w:val="en-US" w:eastAsia="zh-CN"/>
        </w:rPr>
        <w:t>560.76</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占基本支出的</w:t>
      </w:r>
      <w:r>
        <w:rPr>
          <w:rFonts w:hint="eastAsia" w:ascii="Times New Roman" w:hAnsi="Times New Roman" w:eastAsia="仿宋_GB2312"/>
          <w:sz w:val="32"/>
          <w:szCs w:val="32"/>
          <w:lang w:val="en-US" w:eastAsia="zh-CN"/>
        </w:rPr>
        <w:t>12.49</w:t>
      </w:r>
      <w:r>
        <w:rPr>
          <w:rFonts w:hint="eastAsia" w:ascii="Times New Roman" w:hAnsi="Times New Roman" w:eastAsia="仿宋_GB2312"/>
          <w:sz w:val="32"/>
          <w:szCs w:val="32"/>
        </w:rPr>
        <w:t>%，主要包括办公费、印刷费、水费、电费</w:t>
      </w:r>
      <w:r>
        <w:rPr>
          <w:rFonts w:hint="eastAsia" w:ascii="Times New Roman" w:hAnsi="Times New Roman" w:eastAsia="仿宋_GB2312"/>
          <w:sz w:val="32"/>
          <w:szCs w:val="32"/>
          <w:lang w:eastAsia="zh-CN"/>
        </w:rPr>
        <w:t>、邮电费、差旅费、维修（护）费、培训费、专用材料费、工会经费</w:t>
      </w:r>
      <w:r>
        <w:rPr>
          <w:rFonts w:hint="eastAsia" w:ascii="Times New Roman" w:hAnsi="Times New Roman" w:eastAsia="仿宋_GB2312"/>
          <w:sz w:val="32"/>
          <w:szCs w:val="32"/>
          <w:lang w:val="en-US" w:eastAsia="zh-CN"/>
        </w:rPr>
        <w:t>等等</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5"/>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开支内容包括：</w:t>
      </w:r>
      <w:r>
        <w:rPr>
          <w:rFonts w:hint="eastAsia" w:ascii="Times New Roman" w:hAnsi="Times New Roman" w:eastAsia="仿宋_GB2312"/>
          <w:sz w:val="32"/>
          <w:szCs w:val="32"/>
          <w:lang w:val="en-US" w:eastAsia="zh-CN"/>
        </w:rPr>
        <w:t>无。</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万元，单位本级更新公务用车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theme="minorBidi"/>
          <w:color w:val="auto"/>
          <w:kern w:val="2"/>
          <w:sz w:val="32"/>
          <w:szCs w:val="32"/>
          <w:lang w:val="en-US" w:eastAsia="zh-CN" w:bidi="ar-SA"/>
        </w:rPr>
        <w:t>本单位无政府性基金收支</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27.12</w:t>
      </w:r>
      <w:r>
        <w:rPr>
          <w:rFonts w:hint="eastAsia" w:ascii="Times New Roman" w:hAnsi="Times New Roman" w:eastAsia="仿宋_GB2312"/>
          <w:sz w:val="32"/>
          <w:szCs w:val="32"/>
        </w:rPr>
        <w:t>万元，用于开展教师培训，人</w:t>
      </w:r>
      <w:r>
        <w:rPr>
          <w:rFonts w:hint="eastAsia" w:ascii="Times New Roman" w:hAnsi="Times New Roman" w:eastAsia="仿宋_GB2312"/>
          <w:sz w:val="32"/>
          <w:szCs w:val="32"/>
          <w:lang w:val="en-US" w:eastAsia="zh-CN"/>
        </w:rPr>
        <w:t>次317</w:t>
      </w:r>
      <w:r>
        <w:rPr>
          <w:rFonts w:hint="eastAsia" w:ascii="Times New Roman" w:hAnsi="Times New Roman" w:eastAsia="仿宋_GB2312"/>
          <w:sz w:val="32"/>
          <w:szCs w:val="32"/>
        </w:rPr>
        <w:t>人，内容为各学科教师业务提高培训；举办</w:t>
      </w:r>
      <w:r>
        <w:rPr>
          <w:rFonts w:hint="eastAsia" w:ascii="Times New Roman" w:hAnsi="Times New Roman" w:eastAsia="仿宋_GB2312"/>
          <w:sz w:val="32"/>
          <w:szCs w:val="32"/>
          <w:lang w:val="en-US" w:eastAsia="zh-CN"/>
        </w:rPr>
        <w:t>0场</w:t>
      </w:r>
      <w:r>
        <w:rPr>
          <w:rFonts w:hint="eastAsia" w:ascii="Times New Roman" w:hAnsi="Times New Roman" w:eastAsia="仿宋_GB2312"/>
          <w:sz w:val="32"/>
          <w:szCs w:val="32"/>
        </w:rPr>
        <w:t>等节庆、晚会、论坛、赛事活动，开支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rPr>
          <w:rFonts w:hint="eastAsia"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近年来，道县第五中学积极响应国家教育改革的号召，深入贯彻素质教育理念，不断提升教育教学质量与管理效能。在绩效管理方面，学校高度重视，积极探索并实践了一套科学、公正、高效的绩效管理体系，以促进教师队伍的专业成长，激发教职工的工作积极性和创造力，进而推动学校整体办学水平的持续提升。</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一、制度建设与完善</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学校首先建立健全了绩效管理制度体系，包括《道县第五中学教职工绩效考核办法》、《教师教学质量评估细则》、《教职工年度考核实施方案》等一系列规章制度，明确了考核标准、程序、方法及结果应用，确保绩效管理工作有章可循、有据可依。同时，根据教育发展的新要求和学校实际情况，定期对制度进行修订和完善，确保其科学性和时效性。</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二、考核内容与方法</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绩效考核内容全面覆盖教师的教学工作、德育工作、科研能力、班级管理、团队合作及师德师风等多个方面，既注重量化指标的达成，也强调质性评价的重要性。考核方法上，采用自评、互评、学生评教、家长反馈及学校综合评价相结合的方式，确保考核结果的全面性和客观性。此外，学校还引入了信息化手段，利用绩效管理系统进行数据采集与分析，提高了考核工作的效率和准确性。</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三、激励机制与结果应用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学校建立了完善的激励机制，将绩效考核结果与教职工的评优评先、职称晋升、岗位聘任、绩效奖励等紧密挂钩，形成了“多劳多得、优绩优酬”的良好氛围。对于表现突出的教职工，学校不仅给予物质奖励，还通过表彰大会、经验分享会等形式进行精神激励，增强其职业荣誉感和归属感。同时，针对考核中发现的问题和不足，学校及时组织反馈与辅导，帮助教职工明确改进方向，促进其专业成长。</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四、持续改进与优化</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rPr>
          <w:rFonts w:hint="eastAsia" w:ascii="楷体" w:hAnsi="楷体" w:eastAsia="楷体" w:cs="楷体"/>
          <w:b/>
          <w:bCs/>
          <w:sz w:val="32"/>
          <w:szCs w:val="32"/>
          <w:lang w:eastAsia="zh-CN"/>
        </w:rPr>
      </w:pPr>
      <w:r>
        <w:rPr>
          <w:rFonts w:hint="default" w:ascii="Times New Roman" w:hAnsi="Times New Roman" w:eastAsia="仿宋_GB2312" w:cs="黑体"/>
          <w:color w:val="auto"/>
          <w:kern w:val="0"/>
          <w:sz w:val="32"/>
          <w:szCs w:val="32"/>
          <w:lang w:val="en-US" w:eastAsia="zh-CN" w:bidi="ar-SA"/>
        </w:rPr>
        <w:t>学校注重绩效管理工作的持续改进与优化，定期召开绩效管理工作会议，总结经验教训，听取教职工的意见和建议，不断优化考核指标体系、完善考核流程、强化结果应用。此外，学校还积极学习借鉴兄弟学校的先进经验，结合本校实际进行创新实践，努力构建更加符合教育规律、更加适应学校发展的绩效管理体系。</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320" w:firstLineChars="100"/>
        <w:jc w:val="left"/>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一、绩效目标完成情况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jc w:val="left"/>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本年度，道县第五中学围绕提高教学质量、优化资源配置、强化师资队伍建设、促进学生全面发展等核心绩效目标，制定了详细的实施计划。经过全体教职工的共同努力，各项绩效目标均取得了显著进展。教学质量稳步提升，学生综合素质明显提高；资源配置更加合理，教学设施与设备得到更新升级；师资队伍建设成效显著，教师专业素养与教学能力显著增强；学生全面发展工作扎实推进，各类课外活动与社团活动丰富多彩。</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320" w:firstLineChars="100"/>
        <w:jc w:val="left"/>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二、产出与效益情况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jc w:val="left"/>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在产出方面，道县第五中学完成了既定的教学计划与任务，学生学业成绩优异，升学率与就业率均保持在较高水平。同时，学校还积极组织各类学术竞赛、文体比赛及社会实践活动，为学生提供了广阔的展示平台与锻炼机会。在效益方面，学校的教育教学活动不仅促进了学生的个人成长与发展，还为社会培养了大量优秀人才，为地方经济社会发展做出了积极贡献。此外，学校还注重与社区、企业等外部单位的合作与交流，实现了资源共享与互利共赢。</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320" w:firstLineChars="100"/>
        <w:jc w:val="left"/>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三、资产管理与业务开展情况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168" w:beforeAutospacing="0" w:after="0" w:afterAutospacing="0" w:line="20" w:lineRule="atLeast"/>
        <w:ind w:left="0" w:right="0" w:firstLine="640" w:firstLineChars="200"/>
        <w:jc w:val="left"/>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在资产管理方面，道县第五中学建立了完善的资产管理制度体系，对学校的固定资产、流动资产及无形资产等进行了全面清查与登记。通过加强资产的日常管理与维护，确保了资产的安全完整与高效利用。在业务开展方面，学校紧紧围绕教育教学这一中心工作，积极开展教学改革与课程建设，加强教育科研与教学研究，不断提升教学质量与办学水平。同时，学校还注重学生的全面发展与综合素质提升，积极开展各类课外活动与社团活动，丰富学生的校园生活与课余生活。</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39" w:leftChars="-19" w:right="0" w:rightChars="0" w:firstLine="640" w:firstLineChars="200"/>
        <w:rPr>
          <w:rFonts w:hint="default" w:ascii="Times New Roman" w:hAnsi="Times New Roman" w:eastAsia="仿宋_GB2312" w:cs="黑体"/>
          <w:color w:val="auto"/>
          <w:kern w:val="0"/>
          <w:sz w:val="32"/>
          <w:szCs w:val="32"/>
          <w:lang w:val="en-US" w:eastAsia="zh-CN" w:bidi="ar-SA"/>
        </w:rPr>
      </w:pPr>
      <w:r>
        <w:rPr>
          <w:rFonts w:hint="default" w:ascii="Times New Roman" w:hAnsi="Times New Roman" w:eastAsia="仿宋_GB2312" w:cs="黑体"/>
          <w:color w:val="auto"/>
          <w:kern w:val="0"/>
          <w:sz w:val="32"/>
          <w:szCs w:val="32"/>
          <w:lang w:val="en-US" w:eastAsia="zh-CN" w:bidi="ar-SA"/>
        </w:rPr>
        <w:t>预算编制不够精细：部分预算项目在编制时缺乏充分的调研与论证，导致预算资金分配不够合理与精准。这主要是由于预算编制时间紧张、信息获取不充分等原因造成的。</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72" w:beforeAutospacing="0" w:after="0" w:afterAutospacing="0" w:line="20" w:lineRule="atLeast"/>
        <w:ind w:left="-39" w:leftChars="-19" w:right="0" w:rightChars="0" w:firstLine="640" w:firstLineChars="200"/>
        <w:rPr>
          <w:sz w:val="72"/>
          <w:szCs w:val="72"/>
        </w:rPr>
      </w:pPr>
      <w:r>
        <w:rPr>
          <w:rFonts w:hint="default" w:ascii="Times New Roman" w:hAnsi="Times New Roman" w:eastAsia="仿宋_GB2312" w:cs="黑体"/>
          <w:color w:val="auto"/>
          <w:kern w:val="0"/>
          <w:sz w:val="32"/>
          <w:szCs w:val="32"/>
          <w:lang w:val="en-US" w:eastAsia="zh-CN" w:bidi="ar-SA"/>
        </w:rPr>
        <w:t>预算执行力度不足：部分预算项目在执行过程中存在进度滞后、资金使用效率不高等问题。这主要是由于项目管理不够严格、监督机制不够健全等原因造成的。</w:t>
      </w: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96"/>
          <w:szCs w:val="96"/>
        </w:rPr>
      </w:pPr>
      <w:r>
        <w:rPr>
          <w:rFonts w:hint="eastAsia" w:ascii="方正小标宋_GBK" w:hAnsi="方正小标宋_GBK" w:eastAsia="方正小标宋_GBK" w:cs="方正小标宋_GBK"/>
          <w:sz w:val="96"/>
          <w:szCs w:val="96"/>
        </w:rPr>
        <w:t>第四部分</w:t>
      </w: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p>
    <w:p>
      <w:pPr>
        <w:jc w:val="both"/>
        <w:rPr>
          <w:rFonts w:hint="eastAsia" w:ascii="方正小标宋_GBK" w:hAnsi="方正小标宋_GBK" w:eastAsia="方正小标宋_GBK" w:cs="方正小标宋_GBK"/>
          <w:color w:val="000000"/>
          <w:kern w:val="0"/>
          <w:sz w:val="70"/>
          <w:szCs w:val="70"/>
        </w:rPr>
      </w:pPr>
    </w:p>
    <w:p>
      <w:pPr>
        <w:widowControl/>
        <w:jc w:val="left"/>
        <w:rPr>
          <w:rFonts w:cs="黑体" w:asciiTheme="minorEastAsia" w:hAnsiTheme="minorEastAsia"/>
          <w:color w:val="000000"/>
          <w:kern w:val="0"/>
          <w:sz w:val="32"/>
          <w:szCs w:val="32"/>
        </w:rPr>
      </w:pPr>
    </w:p>
    <w:p>
      <w:pPr>
        <w:widowControl/>
        <w:jc w:val="left"/>
        <w:rPr>
          <w:rFonts w:cs="黑体" w:asciiTheme="minorEastAsia" w:hAnsiTheme="minorEastAsia"/>
          <w:color w:val="000000"/>
          <w:kern w:val="0"/>
          <w:sz w:val="32"/>
          <w:szCs w:val="32"/>
        </w:rPr>
      </w:pPr>
    </w:p>
    <w:p>
      <w:pPr>
        <w:widowControl/>
        <w:jc w:val="left"/>
        <w:rPr>
          <w:rFonts w:cs="黑体" w:asciiTheme="minorEastAsia" w:hAnsiTheme="minorEastAsia"/>
          <w:color w:val="000000"/>
          <w:kern w:val="0"/>
          <w:sz w:val="32"/>
          <w:szCs w:val="32"/>
        </w:rPr>
      </w:pPr>
    </w:p>
    <w:p>
      <w:pPr>
        <w:pStyle w:val="15"/>
        <w:keepNext w:val="0"/>
        <w:keepLines w:val="0"/>
        <w:pageBreakBefore w:val="0"/>
        <w:widowControl w:val="0"/>
        <w:numPr>
          <w:ilvl w:val="0"/>
          <w:numId w:val="3"/>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机关运行经费：是指各单位的公用经费，包括办公及 印刷费、邮电费、差旅费、会议费、福利费、日常维修费、专 用资料及一般设备购置费、办公用房水电费、办公用房取暖费、 办公用房物业管理费、公务用车运行维护费以及其他费用。 </w:t>
      </w:r>
    </w:p>
    <w:p>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 xml:space="preserve">2．“三公”经费：纳入省（市/县）财政预算管理的“三 公”经费，是指用一般公共预算拨款安排的公务接待费、公务 用车购置及运行维护费和因公出国（境）费。其中，公务接待 费反映单位按规定开支的各类公务接待支出；公务用车购置及 运行费反映单位公务用车车辆购置支出（含车辆购置税），以及 燃料费、维修费、保险费等支出；因公出国（境）费反映单位 公务出国（境）的国际旅费、国外城市间交通费、住宿费、伙 食费、培训费、公杂费等等支出。 </w:t>
      </w:r>
    </w:p>
    <w:p>
      <w:pP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2"/>
        <w:bidi w:val="0"/>
        <w:jc w:val="center"/>
        <w:rPr>
          <w:rFonts w:hint="eastAsia" w:ascii="Times New Roman" w:hAnsi="Times New Roman" w:eastAsia="仿宋_GB2312" w:cs="黑体"/>
          <w:b/>
          <w:bCs/>
          <w:color w:val="000000"/>
          <w:kern w:val="0"/>
          <w:sz w:val="40"/>
          <w:szCs w:val="40"/>
          <w:lang w:val="en-US" w:eastAsia="zh-CN" w:bidi="ar-SA"/>
        </w:rPr>
      </w:pPr>
      <w:r>
        <w:rPr>
          <w:rFonts w:hint="eastAsia" w:ascii="Times New Roman" w:hAnsi="Times New Roman" w:eastAsia="仿宋_GB2312" w:cs="黑体"/>
          <w:b/>
          <w:bCs/>
          <w:color w:val="000000"/>
          <w:kern w:val="0"/>
          <w:sz w:val="40"/>
          <w:szCs w:val="40"/>
          <w:lang w:val="en-US" w:eastAsia="zh-CN" w:bidi="ar-SA"/>
        </w:rPr>
        <w:t>2025车度道县第五中学整体支出绩效评价报告</w:t>
      </w:r>
    </w:p>
    <w:p>
      <w:pPr>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一、基本情况</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（一）部门（单位）基本情况</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道县第五中学是一所普通高级中学，坚持教书育人、管理育人，以学校、学生发展为本的原则；坚持学校教育、家庭教育、和社会教育相结合，以全面贯彻党的教育方针，全面实施素质教育为办学目标；切实加强和不断改进学校德育工作；坚持学校工作以教学工作为主，遵循教育规律和学生认知特点组织教学，大力提高教育质量。</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1、工作职能</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道县第五中学是一所集初中、高中为一校的六年一贯制学校，坚持教书育人、管理育人，坚持学校教育、家庭教育和社会教育相结合，以全面贯彻党的教育方针，全面实施素质教育为办学目标。</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2、学校内设机构</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道县第五中学是决算独立的正科级全额拨款事业单，系全额拨款事业编制。包括教科处，教务处，总务处及各年级部等等。</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3、人员编制及实有在职人数</w:t>
      </w:r>
    </w:p>
    <w:p>
      <w:p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道县机构编制委员会核定学校编制数为317名。2025年度年末在职在编职工317人。</w:t>
      </w:r>
    </w:p>
    <w:p>
      <w:pPr>
        <w:numPr>
          <w:ilvl w:val="0"/>
          <w:numId w:val="4"/>
        </w:numPr>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部门整体支出规模、使用方向和主要内容</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2025年部门整体共支出</w:t>
      </w:r>
      <w:r>
        <w:rPr>
          <w:rFonts w:hint="eastAsia" w:ascii="Times New Roman" w:hAnsi="Times New Roman" w:eastAsia="仿宋_GB2312"/>
          <w:sz w:val="32"/>
          <w:szCs w:val="32"/>
          <w:lang w:val="en-US" w:eastAsia="zh-CN"/>
        </w:rPr>
        <w:t>5126.60</w:t>
      </w:r>
      <w:r>
        <w:rPr>
          <w:rFonts w:hint="eastAsia" w:ascii="Times New Roman" w:hAnsi="Times New Roman" w:eastAsia="仿宋_GB2312" w:cs="黑体"/>
          <w:b w:val="0"/>
          <w:color w:val="000000"/>
          <w:kern w:val="0"/>
          <w:sz w:val="32"/>
          <w:szCs w:val="32"/>
          <w:lang w:val="en-US" w:eastAsia="zh-CN" w:bidi="ar-SA"/>
        </w:rPr>
        <w:t>万元。其中，教育支出</w:t>
      </w:r>
      <w:r>
        <w:rPr>
          <w:rFonts w:hint="eastAsia" w:ascii="Times New Roman" w:hAnsi="Times New Roman" w:eastAsia="仿宋_GB2312"/>
          <w:sz w:val="32"/>
          <w:szCs w:val="32"/>
          <w:lang w:val="en-US" w:eastAsia="zh-CN"/>
        </w:rPr>
        <w:t>5126.60</w:t>
      </w:r>
      <w:r>
        <w:rPr>
          <w:rFonts w:hint="eastAsia" w:ascii="Times New Roman" w:hAnsi="Times New Roman" w:eastAsia="仿宋_GB2312" w:cs="黑体"/>
          <w:b w:val="0"/>
          <w:color w:val="000000"/>
          <w:kern w:val="0"/>
          <w:sz w:val="32"/>
          <w:szCs w:val="32"/>
          <w:lang w:val="en-US" w:eastAsia="zh-CN" w:bidi="ar-SA"/>
        </w:rPr>
        <w:t>万元，用于人员工资、日常运转及改普学校办学条件。</w:t>
      </w:r>
    </w:p>
    <w:p>
      <w:pPr>
        <w:numPr>
          <w:ilvl w:val="0"/>
          <w:numId w:val="0"/>
        </w:numPr>
        <w:ind w:firstLine="640" w:firstLineChars="200"/>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二、部门整体支出管理及使用情况</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2025年部门整体收入</w:t>
      </w:r>
      <w:r>
        <w:rPr>
          <w:rFonts w:hint="eastAsia" w:ascii="Times New Roman" w:hAnsi="Times New Roman" w:eastAsia="仿宋_GB2312"/>
          <w:sz w:val="32"/>
          <w:szCs w:val="32"/>
          <w:lang w:val="en-US" w:eastAsia="zh-CN"/>
        </w:rPr>
        <w:t>5126.60</w:t>
      </w:r>
      <w:r>
        <w:rPr>
          <w:rFonts w:hint="eastAsia" w:ascii="Times New Roman" w:hAnsi="Times New Roman" w:eastAsia="仿宋_GB2312" w:cs="黑体"/>
          <w:b w:val="0"/>
          <w:color w:val="000000"/>
          <w:kern w:val="0"/>
          <w:sz w:val="32"/>
          <w:szCs w:val="32"/>
          <w:lang w:val="en-US" w:eastAsia="zh-CN" w:bidi="ar-SA"/>
        </w:rPr>
        <w:t>万元。其中一般公共预算拨款收入4489.12万元，事业收入637.48万元。具体安排情况如下：</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（一）基本支出情况：</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2025年基本支出</w:t>
      </w:r>
      <w:r>
        <w:rPr>
          <w:rFonts w:hint="eastAsia" w:ascii="Times New Roman" w:hAnsi="Times New Roman" w:eastAsia="仿宋_GB2312"/>
          <w:sz w:val="32"/>
          <w:szCs w:val="32"/>
          <w:lang w:val="en-US" w:eastAsia="zh-CN"/>
        </w:rPr>
        <w:t>5126.60</w:t>
      </w:r>
      <w:r>
        <w:rPr>
          <w:rFonts w:hint="eastAsia" w:ascii="Times New Roman" w:hAnsi="Times New Roman" w:eastAsia="仿宋_GB2312" w:cs="黑体"/>
          <w:b w:val="0"/>
          <w:color w:val="000000"/>
          <w:kern w:val="0"/>
          <w:sz w:val="32"/>
          <w:szCs w:val="32"/>
          <w:lang w:val="en-US" w:eastAsia="zh-CN" w:bidi="ar-SA"/>
        </w:rPr>
        <w:t>万元。其中：工资福利支出支出4445.42万元，主要是包括教职工的工资、绩效、奖金及各项社会保险缴费；</w:t>
      </w:r>
    </w:p>
    <w:p>
      <w:pPr>
        <w:numPr>
          <w:ilvl w:val="0"/>
          <w:numId w:val="0"/>
        </w:numPr>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一般商品和服务支出669.16万元，用于为保障我校正常运转、完成日常工作任务而发生的支出，包括办公经费、水电费、差旅费、会议费、教师培训费，工会经费等：对个人和家庭的补助支出12.02万元，主要是抚恤金、生活补助、助学金等。</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（二）三公经费使用情况：</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2025年“三公”经费支出0万元，其中，公务接待费0万元，公务用车购置及运行费0万元（其中，公务用车购置费0万元，公务用车运行费0万元），因公出国（境）费0万元。我校严格按照中央密切联系群众、改进工作作风的八项规定，严格公务接待费用，规泡“三公”经费相关支出。</w:t>
      </w:r>
    </w:p>
    <w:p>
      <w:pPr>
        <w:numPr>
          <w:ilvl w:val="0"/>
          <w:numId w:val="0"/>
        </w:numPr>
        <w:ind w:firstLine="640" w:firstLineChars="200"/>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三、政府性基金预算支出情况</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无</w:t>
      </w:r>
    </w:p>
    <w:p>
      <w:pPr>
        <w:numPr>
          <w:ilvl w:val="0"/>
          <w:numId w:val="0"/>
        </w:numPr>
        <w:ind w:firstLine="640" w:firstLineChars="200"/>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四、国有资本经营预算支出情况</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无</w:t>
      </w:r>
    </w:p>
    <w:p>
      <w:pPr>
        <w:numPr>
          <w:ilvl w:val="0"/>
          <w:numId w:val="0"/>
        </w:numPr>
        <w:ind w:firstLine="640" w:firstLineChars="200"/>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五、社会保险基金预算支出情况</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无</w:t>
      </w:r>
    </w:p>
    <w:p>
      <w:pPr>
        <w:numPr>
          <w:ilvl w:val="0"/>
          <w:numId w:val="0"/>
        </w:numPr>
        <w:ind w:firstLine="640" w:firstLineChars="200"/>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六、部门整体支出绩效情况</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2025年，是全面贯彻党的二十大精神的开局之年。学校坚持以制习近平新时代中国特色社会主义思想为指导，深入贯彻落实二十大关于现代职业教育工作的决策部署和习近平总书记有关职业教育重要指示批示精神，坚持德育为先、五育并举，聚焦质量和内涵建设，不断加强教育教学管理，全面贯彻党的教育方针，落实立德树人根本任务，扎实办好人民满意的教育。</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（一）主要工作</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1.坚持党建引领，凝聚学校发展活力。高度重视觉建工作，抓党建促业务。一是深入开展学习贯彻习近平新时代中国特色社会主义思想主题教育及大兴调查研究工作。把开展主题教育同贯彻中央和上级党委决策部署紧密结合、与深化学校教育教学改革发展和党的建设主责主业紧密结合，推动主题教育走深走实。</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 坚持立德树人，引导学生成长成才。一是加强学生养成教育，培养良好行为习惯。定期开展学生心理健康测评，全面加强和改进新时代学生心理健康工作，着力提升学生心理健康素养。</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3.坚持教学中心地位，高质量抓好教学工作。深化教学模式改革。按照县委县政府的安排部署，深化学校教学模式改革。</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4. 坚持高水平队伍建设，提升师资核心竞争力。是扎实推进师德师风和作风建设。坚持把师德师风建设作为教师队伍建设的第一要务。</w:t>
      </w:r>
    </w:p>
    <w:p>
      <w:pPr>
        <w:numPr>
          <w:ilvl w:val="0"/>
          <w:numId w:val="0"/>
        </w:numPr>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面向社会公开招，临时缓解学校教师编制缺口紧张问题。</w:t>
      </w:r>
    </w:p>
    <w:p>
      <w:pPr>
        <w:numPr>
          <w:ilvl w:val="0"/>
          <w:numId w:val="0"/>
        </w:numPr>
        <w:ind w:firstLine="640" w:firstLineChars="200"/>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七、存在的主要问题</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1、教师编制缺口较大。近年来，学校办学规模持续扩大，教师编制数却没有增加。</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2、学生文化基础薄弱。不少学生文化基础薄弱，存在厌学情绪重、行为习惯不良、成绩不理想等现象，导致学校教学质量提升的难度大。</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3、教学设施设备陈旧。不少教师反映的教学硬件设施设备陈旧问题，学校没有及时更新改进，不适应现代新课程改革深入展开，影响教学质量和育人水平提升。</w:t>
      </w:r>
    </w:p>
    <w:p>
      <w:pPr>
        <w:numPr>
          <w:ilvl w:val="0"/>
          <w:numId w:val="0"/>
        </w:numPr>
        <w:ind w:firstLine="640" w:firstLineChars="200"/>
        <w:rPr>
          <w:rFonts w:hint="eastAsia" w:ascii="Times New Roman" w:hAnsi="Times New Roman" w:eastAsia="仿宋_GB2312" w:cs="黑体"/>
          <w:b/>
          <w:bCs/>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八、下一步改进措施和有关建议</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全面贯彻党的教育方针，大力弘扬教育家精神，落实立德树人根本任务，聚焦教学中心，紧紧抓住“老师、学生”这两个教学质量提升的关键因素，开启“老师和学生积极性”这两台提高教学质量的强大动力，深化教育改革创新，推进职普融通、产教融合、科教融汇，培养更多高素质技术技能人才，提升教育教学质量，办好人民满意的教育。</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一）切实筑牢校园安全屏障。在学校安全工作上务必要高站位，坚决深入贯彻落实习近平总书记关于安全生产重要指示精神，切实保障学生生命财产安全，防范和化解重大事故风险。各部门要齐抓共管，狠抓日常监管，进一步完善学校安全管理、防范、应急和处理机制，重点加强宿舍管理、学生管理、课外管理，织密安全防护网，筑牢校园安全屏障，确保学生健康成长成才。</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二）全面提升育人质量。一是加大教育教学改革力度。正视学生文化基础薄弱和心理健康问题突出等问题，进一步加大教育教学改革力度，抓好公共基础课普测工作和职业技能等级考试工作，实施对口高考攻坚工程，大力弘扬“三苦”精神，落实县委、县政府教育强县日标，完成交办学校对口高考二本及以上上线人数的任务指标。</w:t>
      </w:r>
    </w:p>
    <w:p>
      <w:pPr>
        <w:numPr>
          <w:ilvl w:val="0"/>
          <w:numId w:val="0"/>
        </w:numPr>
        <w:ind w:firstLine="640" w:firstLineChars="200"/>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三）加强师德师风建设，教师是立教之本、兴教之源，是学校发展和教学质量提升的第一资源。习近平总书记在第三十九个教师节强调的关于大力弘扬教育家精神的重要指示精神，为新时代加强和改进教师队伍建设指明了方向。在师德师风建设上要出实招，真抓实干，严格落实师德师风建设主体责任，压实书记、校长第一责任人责任和班子成员“一岗双责”，务必践行“三个牢固树立”“四有好老师”“四个引路人”“四个统一”“言为士则，行为世范”的标准和要求，打造高素质教师队伍，建立和完善激励机制，调动教师工作积极性、主动性和创造性，营造比学赶超的教学氛围，争做新时代大先生。</w:t>
      </w:r>
    </w:p>
    <w:p>
      <w:pPr>
        <w:numPr>
          <w:ilvl w:val="0"/>
          <w:numId w:val="0"/>
        </w:numPr>
        <w:jc w:val="right"/>
        <w:rPr>
          <w:rFonts w:hint="eastAsia" w:ascii="Times New Roman" w:hAnsi="Times New Roman" w:eastAsia="仿宋_GB2312" w:cs="黑体"/>
          <w:b w:val="0"/>
          <w:color w:val="000000"/>
          <w:kern w:val="0"/>
          <w:sz w:val="32"/>
          <w:szCs w:val="32"/>
          <w:lang w:val="en-US" w:eastAsia="zh-CN" w:bidi="ar-SA"/>
        </w:rPr>
      </w:pPr>
    </w:p>
    <w:p>
      <w:pPr>
        <w:numPr>
          <w:ilvl w:val="0"/>
          <w:numId w:val="0"/>
        </w:numPr>
        <w:jc w:val="center"/>
        <w:rPr>
          <w:rFonts w:hint="eastAsia" w:ascii="Times New Roman" w:hAnsi="Times New Roman" w:eastAsia="仿宋_GB2312" w:cs="黑体"/>
          <w:b w:val="0"/>
          <w:color w:val="000000"/>
          <w:kern w:val="0"/>
          <w:sz w:val="32"/>
          <w:szCs w:val="32"/>
          <w:lang w:val="en-US" w:eastAsia="zh-CN" w:bidi="ar-SA"/>
        </w:rPr>
      </w:pPr>
      <w:r>
        <w:rPr>
          <w:rFonts w:hint="eastAsia" w:ascii="Times New Roman" w:hAnsi="Times New Roman" w:eastAsia="仿宋_GB2312" w:cs="黑体"/>
          <w:b w:val="0"/>
          <w:color w:val="000000"/>
          <w:kern w:val="0"/>
          <w:sz w:val="32"/>
          <w:szCs w:val="32"/>
          <w:lang w:val="en-US" w:eastAsia="zh-CN" w:bidi="ar-SA"/>
        </w:rPr>
        <w:t xml:space="preserve">                                             道县第五中学</w:t>
      </w:r>
    </w:p>
    <w:p>
      <w:pPr>
        <w:numPr>
          <w:ilvl w:val="0"/>
          <w:numId w:val="0"/>
        </w:numPr>
        <w:jc w:val="right"/>
        <w:rPr>
          <w:rFonts w:hint="default" w:ascii="Times New Roman" w:hAnsi="Times New Roman" w:eastAsia="仿宋_GB2312" w:cs="黑体"/>
          <w:b w:val="0"/>
          <w:color w:val="000000"/>
          <w:kern w:val="0"/>
          <w:sz w:val="32"/>
          <w:szCs w:val="32"/>
          <w:lang w:val="en-US" w:eastAsia="zh-CN" w:bidi="ar-SA"/>
        </w:rPr>
      </w:pPr>
      <w:bookmarkStart w:id="3" w:name="_GoBack"/>
      <w:bookmarkEnd w:id="3"/>
      <w:r>
        <w:rPr>
          <w:rFonts w:hint="eastAsia" w:ascii="Times New Roman" w:hAnsi="Times New Roman" w:eastAsia="仿宋_GB2312" w:cs="黑体"/>
          <w:b w:val="0"/>
          <w:color w:val="000000"/>
          <w:kern w:val="0"/>
          <w:sz w:val="32"/>
          <w:szCs w:val="32"/>
          <w:lang w:val="en-US" w:eastAsia="zh-CN" w:bidi="ar-SA"/>
        </w:rPr>
        <w:t>2026年09月01日</w:t>
      </w:r>
    </w:p>
    <w:p>
      <w:pPr>
        <w:pStyle w:val="15"/>
        <w:keepNext w:val="0"/>
        <w:keepLines w:val="0"/>
        <w:pageBreakBefore w:val="0"/>
        <w:widowControl w:val="0"/>
        <w:kinsoku/>
        <w:wordWrap/>
        <w:overflowPunct/>
        <w:topLinePunct w:val="0"/>
        <w:bidi w:val="0"/>
        <w:snapToGrid/>
        <w:spacing w:line="600" w:lineRule="exact"/>
        <w:jc w:val="left"/>
        <w:textAlignment w:val="auto"/>
        <w:rPr>
          <w:rFonts w:hint="default" w:ascii="楷体" w:hAnsi="楷体" w:eastAsia="楷体" w:cs="楷体"/>
          <w:b/>
          <w:bCs/>
          <w:sz w:val="32"/>
          <w:szCs w:val="32"/>
          <w:lang w:val="en-US" w:eastAsia="zh-CN"/>
        </w:rPr>
      </w:pPr>
    </w:p>
    <w:p>
      <w:pPr>
        <w:pStyle w:val="15"/>
        <w:jc w:val="center"/>
        <w:rPr>
          <w:sz w:val="72"/>
          <w:szCs w:val="72"/>
        </w:rPr>
      </w:pPr>
    </w:p>
    <w:p>
      <w:pPr>
        <w:pStyle w:val="15"/>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02C57"/>
    <w:multiLevelType w:val="singleLevel"/>
    <w:tmpl w:val="8BD02C57"/>
    <w:lvl w:ilvl="0" w:tentative="0">
      <w:start w:val="1"/>
      <w:numFmt w:val="decimal"/>
      <w:suff w:val="nothing"/>
      <w:lvlText w:val="%1．"/>
      <w:lvlJc w:val="left"/>
    </w:lvl>
  </w:abstractNum>
  <w:abstractNum w:abstractNumId="1">
    <w:nsid w:val="C152A346"/>
    <w:multiLevelType w:val="singleLevel"/>
    <w:tmpl w:val="C152A346"/>
    <w:lvl w:ilvl="0" w:tentative="0">
      <w:start w:val="1"/>
      <w:numFmt w:val="decimal"/>
      <w:suff w:val="nothing"/>
      <w:lvlText w:val="%1、"/>
      <w:lvlJc w:val="left"/>
    </w:lvl>
  </w:abstractNum>
  <w:abstractNum w:abstractNumId="2">
    <w:nsid w:val="F1546E02"/>
    <w:multiLevelType w:val="singleLevel"/>
    <w:tmpl w:val="F1546E02"/>
    <w:lvl w:ilvl="0" w:tentative="0">
      <w:start w:val="2"/>
      <w:numFmt w:val="chineseCounting"/>
      <w:suff w:val="nothing"/>
      <w:lvlText w:val="（%1）"/>
      <w:lvlJc w:val="left"/>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43F33"/>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21323"/>
    <w:rsid w:val="03CD3F53"/>
    <w:rsid w:val="075D57B4"/>
    <w:rsid w:val="07664B28"/>
    <w:rsid w:val="096E162E"/>
    <w:rsid w:val="0B3D1AD4"/>
    <w:rsid w:val="0B4C689D"/>
    <w:rsid w:val="0E024279"/>
    <w:rsid w:val="0F02074E"/>
    <w:rsid w:val="10BD4364"/>
    <w:rsid w:val="12E60C9C"/>
    <w:rsid w:val="16007AB2"/>
    <w:rsid w:val="182910FC"/>
    <w:rsid w:val="182B18CC"/>
    <w:rsid w:val="186928F1"/>
    <w:rsid w:val="196C7123"/>
    <w:rsid w:val="19D52D64"/>
    <w:rsid w:val="1A4A39E4"/>
    <w:rsid w:val="1C69160C"/>
    <w:rsid w:val="1CE61D06"/>
    <w:rsid w:val="1D3554B1"/>
    <w:rsid w:val="1D97DEFF"/>
    <w:rsid w:val="1DED4DC0"/>
    <w:rsid w:val="1DFF72E5"/>
    <w:rsid w:val="1EFC6F07"/>
    <w:rsid w:val="20F20FC6"/>
    <w:rsid w:val="21374E7B"/>
    <w:rsid w:val="22342FBD"/>
    <w:rsid w:val="22D80812"/>
    <w:rsid w:val="250E5D48"/>
    <w:rsid w:val="252B1D17"/>
    <w:rsid w:val="258D19DE"/>
    <w:rsid w:val="26DD14A4"/>
    <w:rsid w:val="2E61490C"/>
    <w:rsid w:val="2E683E1A"/>
    <w:rsid w:val="2FAF5D60"/>
    <w:rsid w:val="2FDF85B8"/>
    <w:rsid w:val="2FFFEE04"/>
    <w:rsid w:val="30353063"/>
    <w:rsid w:val="306A4C2D"/>
    <w:rsid w:val="308679FC"/>
    <w:rsid w:val="31AF7D8C"/>
    <w:rsid w:val="32D656FD"/>
    <w:rsid w:val="34647EDB"/>
    <w:rsid w:val="34DF85B0"/>
    <w:rsid w:val="34F0546A"/>
    <w:rsid w:val="357071D5"/>
    <w:rsid w:val="36C76BF1"/>
    <w:rsid w:val="37CA77F7"/>
    <w:rsid w:val="3ACA09CE"/>
    <w:rsid w:val="3B8F36BC"/>
    <w:rsid w:val="3BBA23D3"/>
    <w:rsid w:val="3CB81753"/>
    <w:rsid w:val="3CD12E39"/>
    <w:rsid w:val="3CFB6AD2"/>
    <w:rsid w:val="3DAE2C29"/>
    <w:rsid w:val="3E692E25"/>
    <w:rsid w:val="3F814FAB"/>
    <w:rsid w:val="3FFB233D"/>
    <w:rsid w:val="40CA6425"/>
    <w:rsid w:val="41140D4A"/>
    <w:rsid w:val="448434E2"/>
    <w:rsid w:val="491FF225"/>
    <w:rsid w:val="49F92273"/>
    <w:rsid w:val="4ACE7023"/>
    <w:rsid w:val="4B2D6177"/>
    <w:rsid w:val="4BCB1D03"/>
    <w:rsid w:val="4E2002E8"/>
    <w:rsid w:val="4F34044E"/>
    <w:rsid w:val="4FFD214C"/>
    <w:rsid w:val="505413E5"/>
    <w:rsid w:val="510B7C04"/>
    <w:rsid w:val="51B859B9"/>
    <w:rsid w:val="52497665"/>
    <w:rsid w:val="5399217B"/>
    <w:rsid w:val="54100864"/>
    <w:rsid w:val="546049A8"/>
    <w:rsid w:val="55497DA4"/>
    <w:rsid w:val="56BD5494"/>
    <w:rsid w:val="5777D4F5"/>
    <w:rsid w:val="57B679F5"/>
    <w:rsid w:val="59001E35"/>
    <w:rsid w:val="594D6137"/>
    <w:rsid w:val="59611BE3"/>
    <w:rsid w:val="59DD8326"/>
    <w:rsid w:val="5ADF54B5"/>
    <w:rsid w:val="5B5A2D8E"/>
    <w:rsid w:val="5CB27795"/>
    <w:rsid w:val="5DEF592A"/>
    <w:rsid w:val="5DF20759"/>
    <w:rsid w:val="5F2601ED"/>
    <w:rsid w:val="5FC6BB1E"/>
    <w:rsid w:val="5FCF653E"/>
    <w:rsid w:val="5FD92F3F"/>
    <w:rsid w:val="5FF720F1"/>
    <w:rsid w:val="62B965EC"/>
    <w:rsid w:val="62BC62B6"/>
    <w:rsid w:val="64D9288F"/>
    <w:rsid w:val="673503FE"/>
    <w:rsid w:val="67FF5C0B"/>
    <w:rsid w:val="69872399"/>
    <w:rsid w:val="6B5D4AE2"/>
    <w:rsid w:val="6EFC0924"/>
    <w:rsid w:val="6FB74722"/>
    <w:rsid w:val="6FCC67C6"/>
    <w:rsid w:val="6FEF8B7E"/>
    <w:rsid w:val="704D1047"/>
    <w:rsid w:val="71283F8C"/>
    <w:rsid w:val="71A6591B"/>
    <w:rsid w:val="72E23DCB"/>
    <w:rsid w:val="737D59BA"/>
    <w:rsid w:val="74E40BBC"/>
    <w:rsid w:val="76261376"/>
    <w:rsid w:val="76CA72D5"/>
    <w:rsid w:val="77C37683"/>
    <w:rsid w:val="7851628D"/>
    <w:rsid w:val="79FF515B"/>
    <w:rsid w:val="7AF545BE"/>
    <w:rsid w:val="7B0A2417"/>
    <w:rsid w:val="7B250D92"/>
    <w:rsid w:val="7C75184C"/>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Strong"/>
    <w:basedOn w:val="11"/>
    <w:qFormat/>
    <w:uiPriority w:val="22"/>
    <w:rPr>
      <w:b/>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8979</Words>
  <Characters>10215</Characters>
  <Lines>63</Lines>
  <Paragraphs>18</Paragraphs>
  <TotalTime>12</TotalTime>
  <ScaleCrop>false</ScaleCrop>
  <LinksUpToDate>false</LinksUpToDate>
  <CharactersWithSpaces>11208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2026-09-11T00:39:01Z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045188D1247C4141B8A12F4CC69E03C2_13</vt:lpwstr>
  </property>
</Properties>
</file>