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383D63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jc w:val="center"/>
        <w:rPr>
          <w:b/>
          <w:sz w:val="36"/>
          <w:szCs w:val="36"/>
        </w:rPr>
      </w:pPr>
      <w:r>
        <w:rPr>
          <w:rFonts w:hint="eastAsia" w:ascii="黑体" w:eastAsia="黑体"/>
          <w:bCs/>
          <w:sz w:val="36"/>
          <w:szCs w:val="36"/>
          <w:lang w:val="en-US" w:eastAsia="zh-CN"/>
        </w:rPr>
        <w:t>2025</w:t>
      </w:r>
      <w:r>
        <w:rPr>
          <w:rFonts w:hint="eastAsia" w:ascii="黑体" w:eastAsia="黑体"/>
          <w:bCs/>
          <w:sz w:val="36"/>
          <w:szCs w:val="36"/>
        </w:rPr>
        <w:t>年道县县委组织部</w:t>
      </w:r>
      <w:r>
        <w:rPr>
          <w:rFonts w:hint="eastAsia" w:ascii="黑体" w:eastAsia="黑体"/>
          <w:bCs/>
          <w:sz w:val="36"/>
          <w:szCs w:val="36"/>
          <w:lang w:eastAsia="zh-CN"/>
        </w:rPr>
        <w:t>整体绩效评价报告</w:t>
      </w:r>
    </w:p>
    <w:p w14:paraId="0145084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00" w:firstLineChars="200"/>
        <w:rPr>
          <w:rFonts w:hint="eastAsia" w:ascii="黑体" w:hAnsi="黑体" w:eastAsia="黑体" w:cs="黑体"/>
          <w:b w:val="0"/>
          <w:bCs/>
          <w:sz w:val="30"/>
          <w:szCs w:val="30"/>
          <w:lang w:eastAsia="zh-CN"/>
        </w:rPr>
      </w:pPr>
    </w:p>
    <w:p w14:paraId="4A7D4BEA">
      <w:pPr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spacing w:line="600" w:lineRule="exact"/>
        <w:ind w:firstLine="600" w:firstLineChars="200"/>
        <w:rPr>
          <w:rFonts w:hint="eastAsia" w:ascii="黑体" w:hAnsi="黑体" w:eastAsia="黑体" w:cs="黑体"/>
          <w:b w:val="0"/>
          <w:bCs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eastAsia="zh-CN"/>
        </w:rPr>
        <w:t>基本情况</w:t>
      </w:r>
    </w:p>
    <w:p w14:paraId="77DD819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楷体_GB2312" w:hAnsi="楷体_GB2312" w:eastAsia="楷体_GB2312" w:cs="楷体_GB2312"/>
          <w:sz w:val="30"/>
          <w:szCs w:val="30"/>
          <w:lang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sz w:val="30"/>
          <w:szCs w:val="30"/>
        </w:rPr>
        <w:t>、部门机构设置和人员以及增减变动情况</w:t>
      </w:r>
    </w:p>
    <w:p w14:paraId="25AA81C9">
      <w:pPr>
        <w:jc w:val="lef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 xml:space="preserve"> 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中国共产党道县委员会组织部内设机构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（室、中心）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 1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6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个：办公室（老干部管理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办公室）、研究室（法规室）、干部室（干部队伍建设规划办公室）、 公务员一室、公务员二室、干部教育室、干部监督室（举报中心）、组织指导室、党员管理室（党代表联络办）、党员教育中心、考核评价办公室、基层办、驻村办、直属工委、档案中心、人才中心。下设独立核算单位一个：县老干中心。</w:t>
      </w:r>
    </w:p>
    <w:p w14:paraId="49AFF2F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  <w:lang w:eastAsia="zh-CN"/>
        </w:rPr>
        <w:t>（二）主要工作职责</w:t>
      </w:r>
    </w:p>
    <w:p w14:paraId="1CC0CAD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宋体" w:eastAsia="仿宋_GB2312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贯彻执行党的组织和干部工作路线、方针、政策和省、市、县委的有关规定，研究制定全县党建工作意见并组织实施；指导党组织特别是党的基层组织建设，探索和指导各类新经济组织中党组织的设置和活动方式；主管党员的发展和管理工作；负责规划、指导和协调党员教育工作；组织新时期党的建设工作研究；负责指导全县党员干部电化教育工作。提出县委管理的领导班子及领导干部调整、配备的意见和建议；负责县委管理的干部的考察和办理任免、工资、奖惩、待遇、退（离）休、因公出国（境）审批手续。</w:t>
      </w:r>
    </w:p>
    <w:p w14:paraId="6D85D35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00" w:firstLineChars="200"/>
        <w:jc w:val="left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 xml:space="preserve"> 二、一般公共预算支出情况</w:t>
      </w:r>
    </w:p>
    <w:p w14:paraId="7534631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（一）基本支出情况</w:t>
      </w:r>
    </w:p>
    <w:p w14:paraId="2679A10F">
      <w:pPr>
        <w:widowControl/>
        <w:spacing w:line="600" w:lineRule="exact"/>
        <w:ind w:firstLine="660"/>
        <w:jc w:val="left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eastAsia="zh-CN"/>
        </w:rPr>
        <w:t>基本支出</w:t>
      </w:r>
      <w:r>
        <w:rPr>
          <w:rFonts w:hint="eastAsia" w:ascii="仿宋_GB2312" w:eastAsia="仿宋_GB2312"/>
          <w:sz w:val="32"/>
          <w:szCs w:val="32"/>
        </w:rPr>
        <w:t>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500.92</w:t>
      </w:r>
      <w:r>
        <w:rPr>
          <w:rFonts w:hint="eastAsia" w:ascii="仿宋_GB2312" w:eastAsia="仿宋_GB2312"/>
          <w:sz w:val="32"/>
          <w:szCs w:val="32"/>
        </w:rPr>
        <w:t>万元，</w:t>
      </w:r>
      <w:r>
        <w:rPr>
          <w:rFonts w:eastAsia="仿宋_GB2312"/>
          <w:color w:val="auto"/>
          <w:sz w:val="32"/>
          <w:szCs w:val="32"/>
          <w:u w:val="none"/>
        </w:rPr>
        <w:t>主要是保障部门正常运转、完成日常工作任务而发生的各项支出，包括用于基本工资、津贴补贴</w:t>
      </w:r>
      <w:r>
        <w:rPr>
          <w:rFonts w:hint="eastAsia" w:eastAsia="仿宋_GB2312"/>
          <w:color w:val="auto"/>
          <w:sz w:val="32"/>
          <w:szCs w:val="32"/>
          <w:u w:val="none"/>
          <w:lang w:val="en-US" w:eastAsia="zh-CN"/>
        </w:rPr>
        <w:t>、奖金、绩效工资、社会保障缴费、住房公积金、</w:t>
      </w:r>
      <w:r>
        <w:rPr>
          <w:rFonts w:eastAsia="仿宋_GB2312"/>
          <w:color w:val="auto"/>
          <w:sz w:val="32"/>
          <w:szCs w:val="32"/>
          <w:u w:val="none"/>
        </w:rPr>
        <w:t>办公费、印</w:t>
      </w:r>
      <w:bookmarkStart w:id="0" w:name="_GoBack"/>
      <w:bookmarkEnd w:id="0"/>
      <w:r>
        <w:rPr>
          <w:rFonts w:eastAsia="仿宋_GB2312"/>
          <w:color w:val="auto"/>
          <w:sz w:val="32"/>
          <w:szCs w:val="32"/>
          <w:u w:val="none"/>
        </w:rPr>
        <w:t>刷费、</w:t>
      </w:r>
      <w:r>
        <w:rPr>
          <w:rFonts w:hint="eastAsia" w:eastAsia="仿宋_GB2312"/>
          <w:color w:val="auto"/>
          <w:sz w:val="32"/>
          <w:szCs w:val="32"/>
          <w:u w:val="none"/>
          <w:lang w:eastAsia="zh-CN"/>
        </w:rPr>
        <w:t>咨询费</w:t>
      </w:r>
      <w:r>
        <w:rPr>
          <w:rFonts w:hint="eastAsia" w:eastAsia="仿宋_GB2312"/>
          <w:color w:val="auto"/>
          <w:sz w:val="32"/>
          <w:szCs w:val="32"/>
          <w:u w:val="none"/>
          <w:lang w:val="en-US" w:eastAsia="zh-CN"/>
        </w:rPr>
        <w:t>、手续费、</w:t>
      </w:r>
      <w:r>
        <w:rPr>
          <w:rFonts w:eastAsia="仿宋_GB2312"/>
          <w:color w:val="auto"/>
          <w:sz w:val="32"/>
          <w:szCs w:val="32"/>
          <w:u w:val="none"/>
        </w:rPr>
        <w:t>水电费、</w:t>
      </w:r>
      <w:r>
        <w:rPr>
          <w:rFonts w:hint="eastAsia" w:eastAsia="仿宋_GB2312"/>
          <w:color w:val="auto"/>
          <w:sz w:val="32"/>
          <w:szCs w:val="32"/>
          <w:u w:val="none"/>
          <w:lang w:eastAsia="zh-CN"/>
        </w:rPr>
        <w:t>邮电费</w:t>
      </w:r>
      <w:r>
        <w:rPr>
          <w:rFonts w:hint="eastAsia" w:eastAsia="仿宋_GB2312"/>
          <w:color w:val="auto"/>
          <w:sz w:val="32"/>
          <w:szCs w:val="32"/>
          <w:u w:val="none"/>
          <w:lang w:val="en-US" w:eastAsia="zh-CN"/>
        </w:rPr>
        <w:t>、差旅费、维修（护）费、会议费、培训费、专用材料费、劳务费、其他交通费、其他商品服务支出。</w:t>
      </w:r>
    </w:p>
    <w:p w14:paraId="694E000D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项目支出情况</w:t>
      </w:r>
    </w:p>
    <w:p w14:paraId="7C50B721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spacing w:line="600" w:lineRule="exact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eastAsia="zh-CN"/>
        </w:rPr>
        <w:t>项目支出</w:t>
      </w:r>
      <w:r>
        <w:rPr>
          <w:rFonts w:hint="eastAsia" w:ascii="仿宋_GB2312" w:eastAsia="仿宋_GB2312"/>
          <w:sz w:val="32"/>
          <w:szCs w:val="32"/>
        </w:rPr>
        <w:t>预算数为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290.8</w:t>
      </w:r>
      <w:r>
        <w:rPr>
          <w:rFonts w:hint="eastAsia" w:ascii="仿宋_GB2312" w:eastAsia="仿宋_GB2312"/>
          <w:sz w:val="32"/>
          <w:szCs w:val="32"/>
        </w:rPr>
        <w:t>万元，</w:t>
      </w:r>
      <w:r>
        <w:rPr>
          <w:rFonts w:hint="eastAsia" w:ascii="仿宋_GB2312" w:eastAsia="仿宋_GB2312"/>
          <w:sz w:val="32"/>
          <w:szCs w:val="32"/>
          <w:lang w:eastAsia="zh-CN"/>
        </w:rPr>
        <w:t>主要是</w:t>
      </w:r>
      <w:r>
        <w:rPr>
          <w:rFonts w:eastAsia="仿宋_GB2312"/>
          <w:color w:val="auto"/>
          <w:sz w:val="32"/>
          <w:szCs w:val="32"/>
          <w:u w:val="none"/>
        </w:rPr>
        <w:t>是部门完成特定行政工作任务或事业发展目标而发生的支出，包括</w:t>
      </w:r>
      <w:r>
        <w:rPr>
          <w:rFonts w:hint="eastAsia" w:eastAsia="仿宋_GB2312"/>
          <w:color w:val="auto"/>
          <w:sz w:val="32"/>
          <w:szCs w:val="32"/>
          <w:u w:val="none"/>
          <w:lang w:eastAsia="zh-CN"/>
        </w:rPr>
        <w:t>各项工作经费</w:t>
      </w:r>
      <w:r>
        <w:rPr>
          <w:rFonts w:eastAsia="仿宋_GB2312"/>
          <w:color w:val="auto"/>
          <w:sz w:val="32"/>
          <w:szCs w:val="32"/>
          <w:u w:val="none"/>
        </w:rPr>
        <w:t>、</w:t>
      </w:r>
      <w:r>
        <w:rPr>
          <w:rFonts w:hint="eastAsia" w:eastAsia="仿宋_GB2312"/>
          <w:color w:val="auto"/>
          <w:sz w:val="32"/>
          <w:szCs w:val="32"/>
          <w:u w:val="none"/>
          <w:lang w:eastAsia="zh-CN"/>
        </w:rPr>
        <w:t>选调生</w:t>
      </w:r>
      <w:r>
        <w:rPr>
          <w:rFonts w:eastAsia="仿宋_GB2312"/>
          <w:color w:val="auto"/>
          <w:sz w:val="32"/>
          <w:szCs w:val="32"/>
          <w:u w:val="none"/>
        </w:rPr>
        <w:t>专项</w:t>
      </w:r>
      <w:r>
        <w:rPr>
          <w:rFonts w:hint="eastAsia" w:eastAsia="仿宋_GB2312"/>
          <w:color w:val="auto"/>
          <w:sz w:val="32"/>
          <w:szCs w:val="32"/>
          <w:u w:val="none"/>
          <w:lang w:eastAsia="zh-CN"/>
        </w:rPr>
        <w:t>工作经费</w:t>
      </w:r>
      <w:r>
        <w:rPr>
          <w:rFonts w:eastAsia="仿宋_GB2312"/>
          <w:color w:val="auto"/>
          <w:sz w:val="32"/>
          <w:szCs w:val="32"/>
          <w:u w:val="none"/>
        </w:rPr>
        <w:t>等</w:t>
      </w:r>
      <w:r>
        <w:rPr>
          <w:rFonts w:hint="eastAsia" w:eastAsia="仿宋_GB2312"/>
          <w:color w:val="auto"/>
          <w:sz w:val="32"/>
          <w:szCs w:val="32"/>
          <w:u w:val="none"/>
          <w:lang w:eastAsia="zh-CN"/>
        </w:rPr>
        <w:t>。</w:t>
      </w:r>
    </w:p>
    <w:p w14:paraId="6E4CE24B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spacing w:line="600" w:lineRule="exact"/>
        <w:ind w:left="0" w:leftChars="0" w:firstLine="600" w:firstLineChars="200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2"/>
          <w:sz w:val="30"/>
          <w:szCs w:val="30"/>
          <w:lang w:val="en-US" w:eastAsia="zh-CN" w:bidi="ar-SA"/>
        </w:rPr>
        <w:t>三、</w:t>
      </w: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政府性基金预算支出情况</w:t>
      </w:r>
    </w:p>
    <w:p w14:paraId="40DC8C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left"/>
        <w:textAlignment w:val="auto"/>
        <w:rPr>
          <w:rFonts w:hint="eastAsia" w:ascii="仿宋_GB2312" w:hAnsi="宋体" w:eastAsia="仿宋_GB2312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无政府性基金预算支出。</w:t>
      </w:r>
    </w:p>
    <w:p w14:paraId="3772CAC2">
      <w:pPr>
        <w:keepNext w:val="0"/>
        <w:keepLines w:val="0"/>
        <w:pageBreakBefore w:val="0"/>
        <w:numPr>
          <w:ilvl w:val="0"/>
          <w:numId w:val="3"/>
        </w:numPr>
        <w:kinsoku/>
        <w:overflowPunct/>
        <w:topLinePunct w:val="0"/>
        <w:autoSpaceDE/>
        <w:autoSpaceDN/>
        <w:bidi w:val="0"/>
        <w:spacing w:line="600" w:lineRule="exact"/>
        <w:ind w:left="30" w:leftChars="0" w:firstLine="600" w:firstLineChars="0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国有资本经营预算支出情况</w:t>
      </w:r>
    </w:p>
    <w:p w14:paraId="3FB202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left"/>
        <w:textAlignment w:val="auto"/>
        <w:rPr>
          <w:rFonts w:hint="eastAsia" w:ascii="仿宋_GB2312" w:hAnsi="宋体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Times New Roman"/>
          <w:sz w:val="30"/>
          <w:szCs w:val="30"/>
          <w:lang w:val="en-US" w:eastAsia="zh-CN"/>
        </w:rPr>
        <w:t>无国有资本经营预算支出</w:t>
      </w:r>
    </w:p>
    <w:p w14:paraId="59ED52DB">
      <w:pPr>
        <w:keepNext w:val="0"/>
        <w:keepLines w:val="0"/>
        <w:pageBreakBefore w:val="0"/>
        <w:numPr>
          <w:ilvl w:val="0"/>
          <w:numId w:val="3"/>
        </w:numPr>
        <w:kinsoku/>
        <w:overflowPunct/>
        <w:topLinePunct w:val="0"/>
        <w:autoSpaceDE/>
        <w:autoSpaceDN/>
        <w:bidi w:val="0"/>
        <w:spacing w:line="600" w:lineRule="exact"/>
        <w:ind w:left="30" w:leftChars="0" w:firstLine="600" w:firstLineChars="0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社会保险基金预算支出情况</w:t>
      </w:r>
    </w:p>
    <w:p w14:paraId="31A6D24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left"/>
        <w:textAlignment w:val="auto"/>
        <w:rPr>
          <w:rFonts w:hint="default" w:ascii="仿宋_GB2312" w:hAnsi="宋体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Times New Roman"/>
          <w:sz w:val="30"/>
          <w:szCs w:val="30"/>
          <w:lang w:val="en-US" w:eastAsia="zh-CN"/>
        </w:rPr>
        <w:t>无社会保险基金预算支出</w:t>
      </w:r>
    </w:p>
    <w:p w14:paraId="53B06CAF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spacing w:line="600" w:lineRule="exact"/>
        <w:jc w:val="both"/>
        <w:rPr>
          <w:rFonts w:hint="default"/>
          <w:lang w:val="en-US"/>
        </w:rPr>
      </w:pPr>
    </w:p>
    <w:p w14:paraId="1E47F29D">
      <w:pPr>
        <w:keepNext w:val="0"/>
        <w:keepLines w:val="0"/>
        <w:pageBreakBefore w:val="0"/>
        <w:numPr>
          <w:ilvl w:val="0"/>
          <w:numId w:val="3"/>
        </w:numPr>
        <w:kinsoku/>
        <w:overflowPunct/>
        <w:topLinePunct w:val="0"/>
        <w:autoSpaceDE/>
        <w:autoSpaceDN/>
        <w:bidi w:val="0"/>
        <w:spacing w:line="600" w:lineRule="exact"/>
        <w:ind w:left="30" w:leftChars="0" w:firstLine="600" w:firstLineChars="0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部门整体支出绩效情况</w:t>
      </w:r>
    </w:p>
    <w:p w14:paraId="0D747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1.突出固本培元、凝心铸魂， 着力筑牢思想根基。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坚持不懈用用党的创新理论凝心铸魂，教育引导党员干部始终坚定理想信念，筑牢思想防线，立起精神支柱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 w14:paraId="17325E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2.突出政治标准、实干导向，着力锻造过硬队伍。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深化干部人事制度改革，鲜明树立选人用人正确导向，突出政治标准、实干实绩，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坚持严管厚爱结合,激励约束并重，激励干部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担当作为。</w:t>
      </w:r>
    </w:p>
    <w:p w14:paraId="31E3D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3.突出引育留用、聚智聚力，着力强化人才支撑。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牢固树立人才是“第一资源”理念，大兴爱才敬才之风，创新聚才兴才之举，为全县深入实施乡村振兴战略提供坚实人才支撑。</w:t>
      </w:r>
    </w:p>
    <w:p w14:paraId="1B9D4E97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color w:val="auto"/>
          <w:kern w:val="2"/>
          <w:sz w:val="32"/>
          <w:szCs w:val="32"/>
          <w:lang w:val="en-US" w:eastAsia="zh-CN" w:bidi="ar-SA"/>
        </w:rPr>
      </w:pPr>
    </w:p>
    <w:p w14:paraId="1ECB352B">
      <w:pPr>
        <w:keepNext w:val="0"/>
        <w:keepLines w:val="0"/>
        <w:pageBreakBefore w:val="0"/>
        <w:numPr>
          <w:ilvl w:val="0"/>
          <w:numId w:val="3"/>
        </w:numPr>
        <w:kinsoku/>
        <w:overflowPunct/>
        <w:topLinePunct w:val="0"/>
        <w:autoSpaceDE/>
        <w:autoSpaceDN/>
        <w:bidi w:val="0"/>
        <w:spacing w:line="600" w:lineRule="exact"/>
        <w:ind w:left="30" w:leftChars="0" w:firstLine="600" w:firstLineChars="0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存在的问题及原因分析</w:t>
      </w:r>
    </w:p>
    <w:p w14:paraId="35A20D0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1、</w:t>
      </w:r>
      <w:r>
        <w:rPr>
          <w:rFonts w:ascii="仿宋" w:hAnsi="仿宋" w:eastAsia="仿宋"/>
          <w:sz w:val="30"/>
          <w:szCs w:val="30"/>
        </w:rPr>
        <w:t>预算绩效管理机制有待进一步完善</w:t>
      </w:r>
      <w:r>
        <w:rPr>
          <w:rFonts w:hint="eastAsia" w:ascii="仿宋" w:hAnsi="仿宋" w:eastAsia="仿宋"/>
          <w:sz w:val="30"/>
          <w:szCs w:val="30"/>
        </w:rPr>
        <w:t>，</w:t>
      </w:r>
      <w:r>
        <w:rPr>
          <w:rFonts w:ascii="仿宋" w:hAnsi="仿宋" w:eastAsia="仿宋"/>
          <w:sz w:val="30"/>
          <w:szCs w:val="30"/>
        </w:rPr>
        <w:t>需进一步结合工作实际完善资金管理文件办法等</w:t>
      </w:r>
      <w:r>
        <w:rPr>
          <w:rFonts w:hint="eastAsia" w:ascii="仿宋" w:hAnsi="仿宋" w:eastAsia="仿宋"/>
          <w:sz w:val="30"/>
          <w:szCs w:val="30"/>
        </w:rPr>
        <w:t>。</w:t>
      </w:r>
    </w:p>
    <w:p w14:paraId="5017823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2、</w:t>
      </w:r>
      <w:r>
        <w:rPr>
          <w:rFonts w:ascii="仿宋" w:hAnsi="仿宋" w:eastAsia="仿宋"/>
          <w:sz w:val="30"/>
          <w:szCs w:val="30"/>
        </w:rPr>
        <w:t>绩效目标设定不够细化</w:t>
      </w:r>
      <w:r>
        <w:rPr>
          <w:rFonts w:hint="eastAsia" w:ascii="仿宋" w:hAnsi="仿宋" w:eastAsia="仿宋"/>
          <w:sz w:val="30"/>
          <w:szCs w:val="30"/>
        </w:rPr>
        <w:t>，</w:t>
      </w:r>
      <w:r>
        <w:rPr>
          <w:rFonts w:ascii="仿宋" w:hAnsi="仿宋" w:eastAsia="仿宋"/>
          <w:sz w:val="30"/>
          <w:szCs w:val="30"/>
        </w:rPr>
        <w:t>绩效目标的科学性、合理性以及量化可考核性有待进一步加强</w:t>
      </w:r>
      <w:r>
        <w:rPr>
          <w:rFonts w:hint="eastAsia" w:ascii="仿宋" w:hAnsi="仿宋" w:eastAsia="仿宋"/>
          <w:sz w:val="30"/>
          <w:szCs w:val="30"/>
        </w:rPr>
        <w:t>。</w:t>
      </w:r>
    </w:p>
    <w:p w14:paraId="60090DB4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spacing w:line="600" w:lineRule="exact"/>
        <w:ind w:left="630" w:leftChars="0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八、下一步改进措施</w:t>
      </w:r>
    </w:p>
    <w:p w14:paraId="144F907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1、规范账务处理，提高财务信息质量。严格按照《会计法》、《行政单位会计制度》、《行政单位财务规则》等规定执行财务核算，并结合实际情况，完整、准确地披露相关信息，做到决算与预算相衔接。</w:t>
      </w:r>
    </w:p>
    <w:p w14:paraId="7E61CBB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/>
          <w:color w:val="000000"/>
          <w:sz w:val="30"/>
          <w:szCs w:val="30"/>
        </w:rPr>
        <w:t>、加强会计机构队伍建设。按照《中华人民共和国会计法》要求建立会计机关，加强会计监督。</w:t>
      </w:r>
    </w:p>
    <w:p w14:paraId="2F13C0AC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spacing w:line="600" w:lineRule="exact"/>
        <w:ind w:left="630" w:leftChars="0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九、绩效自评结果拟应用和公开情况</w:t>
      </w:r>
    </w:p>
    <w:p w14:paraId="6F27EEA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00" w:firstLineChars="200"/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按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lang w:val="en-US" w:eastAsia="zh-CN" w:bidi="ar-SA"/>
        </w:rPr>
        <w:t>照要求将部门整体支出自评结果在部门门户网站进行公开，优化支出结构、完善相关办法、改进预算管理。强化结果应用，建立完善评价结果与预算调整、改进管理、完善政策挂钩机制。</w:t>
      </w:r>
    </w:p>
    <w:p w14:paraId="7D39C5EB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spacing w:line="600" w:lineRule="exact"/>
        <w:ind w:left="630" w:leftChars="0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十、其他需要说明的情况</w:t>
      </w:r>
    </w:p>
    <w:p w14:paraId="33442A6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00" w:firstLineChars="200"/>
        <w:rPr>
          <w:rFonts w:hint="eastAsia" w:ascii="仿宋" w:hAnsi="仿宋" w:eastAsia="仿宋" w:cs="宋体"/>
          <w:color w:val="00000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sz w:val="30"/>
          <w:szCs w:val="30"/>
        </w:rPr>
        <w:t>无。</w:t>
      </w:r>
    </w:p>
    <w:p w14:paraId="6469443A">
      <w:pPr>
        <w:pStyle w:val="1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rPr>
          <w:rFonts w:hint="eastAsia"/>
          <w:lang w:val="en-US" w:eastAsia="zh-CN"/>
        </w:rPr>
      </w:pPr>
    </w:p>
    <w:p w14:paraId="4F20018E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spacing w:line="600" w:lineRule="exact"/>
        <w:ind w:left="630" w:leftChars="0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</w:p>
    <w:p w14:paraId="3282099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rPr>
          <w:rFonts w:eastAsia="仿宋_GB2312"/>
          <w:sz w:val="32"/>
          <w:szCs w:val="32"/>
        </w:rPr>
      </w:pPr>
    </w:p>
    <w:p w14:paraId="1931EFE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righ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 xml:space="preserve">                      </w:t>
      </w:r>
      <w:r>
        <w:rPr>
          <w:rFonts w:hint="eastAsia" w:eastAsia="仿宋_GB2312"/>
          <w:sz w:val="32"/>
          <w:szCs w:val="32"/>
          <w:lang w:eastAsia="zh-CN"/>
        </w:rPr>
        <w:t>道县县委组织部</w:t>
      </w:r>
    </w:p>
    <w:p w14:paraId="431FCB03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2026</w:t>
      </w:r>
      <w:r>
        <w:rPr>
          <w:rFonts w:hint="eastAsia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9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hint="eastAsia" w:eastAsia="仿宋_GB2312"/>
          <w:sz w:val="32"/>
          <w:szCs w:val="32"/>
        </w:rPr>
        <w:t>日</w:t>
      </w:r>
    </w:p>
    <w:p w14:paraId="5F3E51B0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spacing w:line="600" w:lineRule="exact"/>
        <w:rPr>
          <w:rFonts w:hint="eastAsia" w:ascii="仿宋_GB2312" w:hAnsi="宋体" w:eastAsia="仿宋_GB2312"/>
          <w:sz w:val="30"/>
          <w:szCs w:val="30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55EBA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FBEEA8">
                          <w:pPr>
                            <w:pStyle w:val="6"/>
                            <w:rPr>
                              <w:rStyle w:val="10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Style w:val="10"/>
                              <w:b/>
                              <w:sz w:val="24"/>
                              <w:szCs w:val="24"/>
                            </w:rPr>
                            <w:instrText xml:space="preserve">PAGE  </w:instrTex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Style w:val="10"/>
                              <w:b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oB3MscBAACY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+zKr&#10;0weoMek+YFoa3vkhZ05+QGcmPaho8xfpEIyjtuertnJIRORH69V6XWFIYGy+IA57eB4ipPfSW5KN&#10;hkYcXtGUnz5CGlPnlFzN+TttDPp5bdw/DsTMHpZ7H3vMVhr2w9T43rdn5NPj3BvqcM0pMR8cyppX&#10;ZDbibOxn4xiiPnRlh3I9CLfHhE2U3nKFEXYqjAMr7Kblyhvx+F6yHn6o7V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PoB3MscBAACY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AFBEEA8">
                    <w:pPr>
                      <w:pStyle w:val="6"/>
                      <w:rPr>
                        <w:rStyle w:val="10"/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Style w:val="10"/>
                        <w:b/>
                        <w:sz w:val="24"/>
                        <w:szCs w:val="24"/>
                      </w:rPr>
                      <w:instrText xml:space="preserve">PAGE  </w:instrText>
                    </w:r>
                    <w:r>
                      <w:rPr>
                        <w:b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Style w:val="10"/>
                        <w:b/>
                        <w:sz w:val="24"/>
                        <w:szCs w:val="24"/>
                      </w:rPr>
                      <w:t>2</w:t>
                    </w:r>
                    <w:r>
                      <w:rPr>
                        <w:b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40C6E">
    <w:pPr>
      <w:pStyle w:val="6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fldChar w:fldCharType="end"/>
    </w:r>
  </w:p>
  <w:p w14:paraId="68E804D5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A95A9E"/>
    <w:multiLevelType w:val="singleLevel"/>
    <w:tmpl w:val="FDA95A9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3BB1694"/>
    <w:multiLevelType w:val="singleLevel"/>
    <w:tmpl w:val="23BB169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9120207"/>
    <w:multiLevelType w:val="singleLevel"/>
    <w:tmpl w:val="59120207"/>
    <w:lvl w:ilvl="0" w:tentative="0">
      <w:start w:val="4"/>
      <w:numFmt w:val="chineseCounting"/>
      <w:suff w:val="nothing"/>
      <w:lvlText w:val="%1、"/>
      <w:lvlJc w:val="left"/>
      <w:pPr>
        <w:ind w:left="30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lY2M5YTMwMTZjOWRlM2ViMGVhZTczOWY1MjdlZTQifQ=="/>
  </w:docVars>
  <w:rsids>
    <w:rsidRoot w:val="5CC50917"/>
    <w:rsid w:val="00067729"/>
    <w:rsid w:val="000723BA"/>
    <w:rsid w:val="000D7AA5"/>
    <w:rsid w:val="00127144"/>
    <w:rsid w:val="001E3EAD"/>
    <w:rsid w:val="002177A2"/>
    <w:rsid w:val="0026745A"/>
    <w:rsid w:val="002C27E4"/>
    <w:rsid w:val="0032332C"/>
    <w:rsid w:val="00374161"/>
    <w:rsid w:val="003834F7"/>
    <w:rsid w:val="003E1683"/>
    <w:rsid w:val="004D5521"/>
    <w:rsid w:val="004E201C"/>
    <w:rsid w:val="005521E7"/>
    <w:rsid w:val="006017A0"/>
    <w:rsid w:val="00652A24"/>
    <w:rsid w:val="006A1792"/>
    <w:rsid w:val="006A60B1"/>
    <w:rsid w:val="006C43A6"/>
    <w:rsid w:val="00716627"/>
    <w:rsid w:val="0078737A"/>
    <w:rsid w:val="007926EE"/>
    <w:rsid w:val="007A1D93"/>
    <w:rsid w:val="008D4910"/>
    <w:rsid w:val="00912401"/>
    <w:rsid w:val="00940EC6"/>
    <w:rsid w:val="00953802"/>
    <w:rsid w:val="009A5F49"/>
    <w:rsid w:val="00A37353"/>
    <w:rsid w:val="00A65C18"/>
    <w:rsid w:val="00AA5804"/>
    <w:rsid w:val="00AB4893"/>
    <w:rsid w:val="00AF18EC"/>
    <w:rsid w:val="00B12FE1"/>
    <w:rsid w:val="00B2490F"/>
    <w:rsid w:val="00B57839"/>
    <w:rsid w:val="00C21F32"/>
    <w:rsid w:val="00C94EF8"/>
    <w:rsid w:val="00D052ED"/>
    <w:rsid w:val="00D36DB4"/>
    <w:rsid w:val="00DD1D5D"/>
    <w:rsid w:val="00E0432F"/>
    <w:rsid w:val="00E36429"/>
    <w:rsid w:val="00F93D83"/>
    <w:rsid w:val="02E02DA2"/>
    <w:rsid w:val="061D0A41"/>
    <w:rsid w:val="07A32A25"/>
    <w:rsid w:val="0B0D559B"/>
    <w:rsid w:val="1298738F"/>
    <w:rsid w:val="15E84336"/>
    <w:rsid w:val="163D61A1"/>
    <w:rsid w:val="164C775B"/>
    <w:rsid w:val="17A22239"/>
    <w:rsid w:val="1B9D4618"/>
    <w:rsid w:val="1BC51174"/>
    <w:rsid w:val="1C470F26"/>
    <w:rsid w:val="1CF93CE4"/>
    <w:rsid w:val="1E3B51C7"/>
    <w:rsid w:val="1FA73AB5"/>
    <w:rsid w:val="20A91A0B"/>
    <w:rsid w:val="21481CDB"/>
    <w:rsid w:val="22053EE3"/>
    <w:rsid w:val="224D4AEB"/>
    <w:rsid w:val="250E3D94"/>
    <w:rsid w:val="25F05532"/>
    <w:rsid w:val="266B478E"/>
    <w:rsid w:val="26C51F45"/>
    <w:rsid w:val="287C2F9F"/>
    <w:rsid w:val="28B273B0"/>
    <w:rsid w:val="29691B80"/>
    <w:rsid w:val="2B206B8F"/>
    <w:rsid w:val="2F172BBF"/>
    <w:rsid w:val="2F355207"/>
    <w:rsid w:val="329D549E"/>
    <w:rsid w:val="332A1709"/>
    <w:rsid w:val="34C20C09"/>
    <w:rsid w:val="350A4942"/>
    <w:rsid w:val="388515AE"/>
    <w:rsid w:val="38F8523D"/>
    <w:rsid w:val="395C1320"/>
    <w:rsid w:val="3ADA7F1B"/>
    <w:rsid w:val="3CCA2253"/>
    <w:rsid w:val="3D2C78A4"/>
    <w:rsid w:val="3D3A58D5"/>
    <w:rsid w:val="407E5AB7"/>
    <w:rsid w:val="449C51D6"/>
    <w:rsid w:val="489F1D14"/>
    <w:rsid w:val="4A163200"/>
    <w:rsid w:val="4A5D0947"/>
    <w:rsid w:val="4B871D2C"/>
    <w:rsid w:val="4C53517F"/>
    <w:rsid w:val="4E34273F"/>
    <w:rsid w:val="4F992234"/>
    <w:rsid w:val="4F9F2419"/>
    <w:rsid w:val="4FE71FEB"/>
    <w:rsid w:val="4FFB2FC0"/>
    <w:rsid w:val="51CC1D6B"/>
    <w:rsid w:val="522D76D8"/>
    <w:rsid w:val="546F7C52"/>
    <w:rsid w:val="56D66962"/>
    <w:rsid w:val="578C31DF"/>
    <w:rsid w:val="59AC4315"/>
    <w:rsid w:val="5A733872"/>
    <w:rsid w:val="5B144BAD"/>
    <w:rsid w:val="5BAF6148"/>
    <w:rsid w:val="5C1376F2"/>
    <w:rsid w:val="5C1E768F"/>
    <w:rsid w:val="5CC50917"/>
    <w:rsid w:val="5DB713E4"/>
    <w:rsid w:val="5ECE4953"/>
    <w:rsid w:val="62846F6B"/>
    <w:rsid w:val="62BE2F08"/>
    <w:rsid w:val="63222143"/>
    <w:rsid w:val="66751AF2"/>
    <w:rsid w:val="69FE00F1"/>
    <w:rsid w:val="6E017D56"/>
    <w:rsid w:val="6E6E4C6C"/>
    <w:rsid w:val="6EB420DF"/>
    <w:rsid w:val="70972E0D"/>
    <w:rsid w:val="71C15555"/>
    <w:rsid w:val="724550CD"/>
    <w:rsid w:val="73F84298"/>
    <w:rsid w:val="76043D4A"/>
    <w:rsid w:val="785A7BB6"/>
    <w:rsid w:val="79E86146"/>
    <w:rsid w:val="7AAD03A1"/>
    <w:rsid w:val="7ADD4010"/>
    <w:rsid w:val="7AF365D0"/>
    <w:rsid w:val="7EBABEC0"/>
    <w:rsid w:val="ADDBC7B4"/>
    <w:rsid w:val="ED5B91F2"/>
    <w:rsid w:val="EDB70E75"/>
    <w:rsid w:val="EFFF149B"/>
    <w:rsid w:val="F7FFB72A"/>
    <w:rsid w:val="FFE3D96A"/>
    <w:rsid w:val="FFEB9D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paragraph" w:styleId="3">
    <w:name w:val="Body Text"/>
    <w:basedOn w:val="1"/>
    <w:next w:val="4"/>
    <w:semiHidden/>
    <w:qFormat/>
    <w:uiPriority w:val="0"/>
    <w:pPr>
      <w:widowControl w:val="0"/>
      <w:spacing w:before="100" w:beforeAutospacing="1" w:after="12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Body Text First Indent"/>
    <w:basedOn w:val="3"/>
    <w:qFormat/>
    <w:uiPriority w:val="0"/>
    <w:pPr>
      <w:spacing w:line="560" w:lineRule="exact"/>
      <w:ind w:firstLine="880" w:firstLineChars="200"/>
    </w:pPr>
    <w:rPr>
      <w:sz w:val="32"/>
      <w:szCs w:val="28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样式 文字 + 首行缩进:  2 字符3"/>
    <w:basedOn w:val="1"/>
    <w:qFormat/>
    <w:uiPriority w:val="99"/>
    <w:pPr>
      <w:spacing w:line="360" w:lineRule="auto"/>
      <w:jc w:val="left"/>
    </w:pPr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kylin\C:\home\kylin\E:\2023&#24180;&#24037;&#20316;\&#36130;&#25919;&#23616;\&#32489;&#25928;&#32929;\2022&#24180;&#36947;&#21439;&#32452;&#32455;&#37096;&#25972;&#20307;&#25903;&#20986;&#32489;&#25928;&#35780;&#20215;&#25253;&#21578;%20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2022年道县组织部整体支出绩效评价报告 .dot</Template>
  <Pages>4</Pages>
  <Words>1560</Words>
  <Characters>1595</Characters>
  <Lines>10</Lines>
  <Paragraphs>2</Paragraphs>
  <TotalTime>0</TotalTime>
  <ScaleCrop>false</ScaleCrop>
  <LinksUpToDate>false</LinksUpToDate>
  <CharactersWithSpaces>1623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2023-10-20T20:57:00Z</dcterms:created>
  <dc:creator>卢友联</dc:creator>
  <cp:lastModifiedBy>HO_oT</cp:lastModifiedBy>
  <dcterms:modified xsi:type="dcterms:W3CDTF">2026-09-15T04:52:07Z</dcterms:modified>
  <dc:title>道县县委组织部2012年预算(草案)编报说明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3EBD7D4D6832B6073B38BE6892EBF1BF_43</vt:lpwstr>
  </property>
  <property fmtid="{D5CDD505-2E9C-101B-9397-08002B2CF9AE}" pid="4" name="KSOTemplateDocerSaveRecord">
    <vt:lpwstr>eyJoZGlkIjoiYTc3YTVhZTIzMzE4NDBiMDIzOTVhMDBjZWY2YWQwODAiLCJ1c2VySWQiOiI0MTg5MzExMjIifQ==</vt:lpwstr>
  </property>
</Properties>
</file>